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 ContentType="application/vnd.visio"/>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577AD4" w14:textId="1C2AD219" w:rsidR="00B44B71" w:rsidRPr="00B44B71" w:rsidRDefault="00EF0A28" w:rsidP="00023291">
      <w:pPr>
        <w:tabs>
          <w:tab w:val="left" w:pos="9638"/>
        </w:tabs>
        <w:spacing w:after="0" w:line="240" w:lineRule="auto"/>
        <w:ind w:firstLine="709"/>
        <w:jc w:val="center"/>
        <w:rPr>
          <w:rFonts w:ascii="Times New Roman" w:eastAsia="Times New Roman" w:hAnsi="Times New Roman" w:cs="Times New Roman"/>
          <w:kern w:val="0"/>
          <w:sz w:val="23"/>
          <w:szCs w:val="23"/>
          <w:lang w:val="ru-RU" w:eastAsia="ru-RU"/>
          <w14:ligatures w14:val="none"/>
        </w:rPr>
      </w:pPr>
      <w:r w:rsidRPr="006F5634">
        <w:rPr>
          <w:rFonts w:ascii="Times New Roman" w:eastAsia="Times New Roman" w:hAnsi="Times New Roman" w:cs="Times New Roman"/>
          <w:kern w:val="0"/>
          <w:sz w:val="33"/>
          <w:szCs w:val="33"/>
          <w:lang w:val="ru-RU"/>
          <w14:ligatures w14:val="none"/>
        </w:rPr>
        <w:t>.</w:t>
      </w:r>
      <w:r w:rsidR="00B44B71" w:rsidRPr="00B44B71">
        <w:rPr>
          <w:rFonts w:ascii="Times New Roman" w:eastAsia="Times New Roman" w:hAnsi="Times New Roman" w:cs="Times New Roman"/>
          <w:kern w:val="0"/>
          <w:sz w:val="33"/>
          <w:szCs w:val="33"/>
          <w:lang w:val="ru-RU"/>
          <w14:ligatures w14:val="none"/>
        </w:rPr>
        <w:t>Національний університет оборони України</w:t>
      </w:r>
    </w:p>
    <w:p w14:paraId="09994ED8"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ru-RU"/>
          <w14:ligatures w14:val="none"/>
        </w:rPr>
      </w:pPr>
    </w:p>
    <w:p w14:paraId="59725B35"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ru-RU"/>
          <w14:ligatures w14:val="none"/>
        </w:rPr>
      </w:pPr>
    </w:p>
    <w:p w14:paraId="1321E213"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ru-RU"/>
          <w14:ligatures w14:val="none"/>
        </w:rPr>
      </w:pPr>
    </w:p>
    <w:p w14:paraId="15EABE95"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ru-RU"/>
          <w14:ligatures w14:val="none"/>
        </w:rPr>
      </w:pPr>
    </w:p>
    <w:p w14:paraId="699E1F23"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ru-RU"/>
          <w14:ligatures w14:val="none"/>
        </w:rPr>
      </w:pPr>
    </w:p>
    <w:p w14:paraId="721D66B7"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ru-RU"/>
          <w14:ligatures w14:val="none"/>
        </w:rPr>
      </w:pPr>
    </w:p>
    <w:p w14:paraId="6CFA74FC"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ru-RU"/>
          <w14:ligatures w14:val="none"/>
        </w:rPr>
      </w:pPr>
    </w:p>
    <w:p w14:paraId="5F66E726"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ru-RU"/>
          <w14:ligatures w14:val="none"/>
        </w:rPr>
      </w:pPr>
    </w:p>
    <w:p w14:paraId="09BE8389"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ru-RU"/>
          <w14:ligatures w14:val="none"/>
        </w:rPr>
      </w:pPr>
    </w:p>
    <w:p w14:paraId="6CC8D35E"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ru-RU"/>
          <w14:ligatures w14:val="none"/>
        </w:rPr>
      </w:pPr>
    </w:p>
    <w:p w14:paraId="6F61AA9E"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ru-RU"/>
          <w14:ligatures w14:val="none"/>
        </w:rPr>
      </w:pPr>
    </w:p>
    <w:p w14:paraId="10DB57C7"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ru-RU"/>
          <w14:ligatures w14:val="none"/>
        </w:rPr>
      </w:pPr>
    </w:p>
    <w:p w14:paraId="49C321D1" w14:textId="77777777" w:rsidR="00B44B71" w:rsidRPr="00591195" w:rsidRDefault="00B44B71" w:rsidP="00023291">
      <w:pPr>
        <w:tabs>
          <w:tab w:val="left" w:pos="2679"/>
          <w:tab w:val="left" w:pos="9638"/>
        </w:tabs>
        <w:spacing w:after="0" w:line="240" w:lineRule="auto"/>
        <w:ind w:firstLine="709"/>
        <w:jc w:val="center"/>
        <w:outlineLvl w:val="0"/>
        <w:rPr>
          <w:rFonts w:ascii="Times New Roman" w:eastAsia="Times New Roman" w:hAnsi="Times New Roman" w:cs="Times New Roman"/>
          <w:b/>
          <w:bCs/>
          <w:sz w:val="31"/>
          <w:szCs w:val="31"/>
          <w:lang w:val="uk-UA" w:eastAsia="uk-UA"/>
          <w14:ligatures w14:val="none"/>
        </w:rPr>
      </w:pPr>
      <w:r w:rsidRPr="00591195">
        <w:rPr>
          <w:rFonts w:ascii="Times New Roman" w:eastAsia="Times New Roman" w:hAnsi="Times New Roman" w:cs="Times New Roman"/>
          <w:bCs/>
          <w:kern w:val="0"/>
          <w:sz w:val="43"/>
          <w:szCs w:val="43"/>
          <w:lang w:val="uk-UA"/>
          <w14:ligatures w14:val="none"/>
        </w:rPr>
        <w:t>ВІЙСЬКОВА ОСВІТА</w:t>
      </w:r>
    </w:p>
    <w:p w14:paraId="5DF5356D" w14:textId="77777777" w:rsidR="00B44B71" w:rsidRPr="00591195"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ru-RU"/>
          <w14:ligatures w14:val="none"/>
        </w:rPr>
      </w:pPr>
    </w:p>
    <w:p w14:paraId="230F8305" w14:textId="77777777" w:rsidR="00B44B71" w:rsidRPr="00591195" w:rsidRDefault="00B44B71" w:rsidP="00023291">
      <w:pPr>
        <w:tabs>
          <w:tab w:val="left" w:pos="9638"/>
        </w:tabs>
        <w:spacing w:after="0" w:line="240" w:lineRule="auto"/>
        <w:ind w:firstLine="709"/>
        <w:jc w:val="center"/>
        <w:outlineLvl w:val="1"/>
        <w:rPr>
          <w:rFonts w:ascii="Times New Roman" w:eastAsia="Times New Roman" w:hAnsi="Times New Roman" w:cs="Times New Roman"/>
          <w:b/>
          <w:bCs/>
          <w:i/>
          <w:iCs/>
          <w:kern w:val="0"/>
          <w:sz w:val="27"/>
          <w:szCs w:val="27"/>
          <w:lang w:val="uk-UA" w:eastAsia="uk-UA"/>
          <w14:ligatures w14:val="none"/>
        </w:rPr>
      </w:pPr>
      <w:r w:rsidRPr="00591195">
        <w:rPr>
          <w:rFonts w:ascii="Times New Roman" w:eastAsia="Times New Roman" w:hAnsi="Times New Roman" w:cs="Times New Roman"/>
          <w:bCs/>
          <w:iCs/>
          <w:kern w:val="0"/>
          <w:sz w:val="33"/>
          <w:szCs w:val="33"/>
          <w:lang w:val="uk-UA"/>
          <w14:ligatures w14:val="none"/>
        </w:rPr>
        <w:t>Збірник наукових праць</w:t>
      </w:r>
    </w:p>
    <w:p w14:paraId="25222A4A" w14:textId="77777777" w:rsidR="00B44B71" w:rsidRPr="00591195" w:rsidRDefault="00B44B71" w:rsidP="00023291">
      <w:pPr>
        <w:tabs>
          <w:tab w:val="left" w:pos="9638"/>
        </w:tabs>
        <w:spacing w:after="0" w:line="240" w:lineRule="auto"/>
        <w:ind w:firstLine="709"/>
        <w:jc w:val="center"/>
        <w:rPr>
          <w:rFonts w:ascii="Times New Roman" w:eastAsia="Times New Roman" w:hAnsi="Times New Roman" w:cs="Times New Roman"/>
          <w:kern w:val="0"/>
          <w:sz w:val="23"/>
          <w:szCs w:val="23"/>
          <w:lang w:val="ru-RU" w:eastAsia="ru-RU"/>
          <w14:ligatures w14:val="none"/>
        </w:rPr>
      </w:pPr>
      <w:r w:rsidRPr="00591195">
        <w:rPr>
          <w:rFonts w:ascii="Times New Roman" w:eastAsia="Times New Roman" w:hAnsi="Times New Roman" w:cs="Times New Roman"/>
          <w:kern w:val="0"/>
          <w:sz w:val="33"/>
          <w:szCs w:val="33"/>
          <w:lang w:val="ru-RU"/>
          <w14:ligatures w14:val="none"/>
        </w:rPr>
        <w:t>Національного університету оборони України</w:t>
      </w:r>
    </w:p>
    <w:p w14:paraId="2ABD19B3" w14:textId="77777777" w:rsidR="00B44B71" w:rsidRPr="00591195" w:rsidRDefault="00B44B71" w:rsidP="00023291">
      <w:pPr>
        <w:tabs>
          <w:tab w:val="left" w:pos="9638"/>
        </w:tabs>
        <w:spacing w:after="0" w:line="240" w:lineRule="auto"/>
        <w:ind w:firstLine="709"/>
        <w:rPr>
          <w:rFonts w:ascii="Times New Roman" w:eastAsia="Times New Roman" w:hAnsi="Times New Roman" w:cs="Times New Roman"/>
          <w:kern w:val="0"/>
          <w:sz w:val="33"/>
          <w:szCs w:val="33"/>
          <w:lang w:val="ru-RU"/>
          <w14:ligatures w14:val="none"/>
        </w:rPr>
      </w:pPr>
    </w:p>
    <w:p w14:paraId="338FA013"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3"/>
          <w:szCs w:val="23"/>
          <w:lang w:val="ru-RU" w:eastAsia="ru-RU"/>
          <w14:ligatures w14:val="none"/>
        </w:rPr>
      </w:pPr>
      <w:r w:rsidRPr="00591195">
        <w:rPr>
          <w:rFonts w:ascii="Times New Roman" w:eastAsia="Times New Roman" w:hAnsi="Times New Roman" w:cs="Times New Roman"/>
          <w:kern w:val="0"/>
          <w:sz w:val="33"/>
          <w:szCs w:val="33"/>
          <w:lang w:val="ru-RU"/>
          <w14:ligatures w14:val="none"/>
        </w:rPr>
        <w:t>№ 1 (53)</w:t>
      </w:r>
      <w:r w:rsidRPr="00B44B71">
        <w:rPr>
          <w:rFonts w:ascii="Times New Roman" w:eastAsia="Times New Roman" w:hAnsi="Times New Roman" w:cs="Times New Roman"/>
          <w:kern w:val="0"/>
          <w:sz w:val="33"/>
          <w:szCs w:val="33"/>
          <w:lang w:val="ru-RU"/>
          <w14:ligatures w14:val="none"/>
        </w:rPr>
        <w:t xml:space="preserve"> </w:t>
      </w:r>
    </w:p>
    <w:p w14:paraId="27FCCDA6"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ru-RU"/>
          <w14:ligatures w14:val="none"/>
        </w:rPr>
      </w:pPr>
    </w:p>
    <w:p w14:paraId="286A1D7E"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ru-RU"/>
          <w14:ligatures w14:val="none"/>
        </w:rPr>
      </w:pPr>
    </w:p>
    <w:p w14:paraId="09FA297E"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ru-RU"/>
          <w14:ligatures w14:val="none"/>
        </w:rPr>
      </w:pPr>
    </w:p>
    <w:p w14:paraId="5D167B86"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ru-RU"/>
          <w14:ligatures w14:val="none"/>
        </w:rPr>
      </w:pPr>
    </w:p>
    <w:p w14:paraId="428D98B9"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ru-RU"/>
          <w14:ligatures w14:val="none"/>
        </w:rPr>
      </w:pPr>
    </w:p>
    <w:p w14:paraId="4D28D144"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ru-RU"/>
          <w14:ligatures w14:val="none"/>
        </w:rPr>
      </w:pPr>
    </w:p>
    <w:p w14:paraId="31F0F24C"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ru-RU"/>
          <w14:ligatures w14:val="none"/>
        </w:rPr>
      </w:pPr>
    </w:p>
    <w:p w14:paraId="038C2A3A"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ru-RU"/>
          <w14:ligatures w14:val="none"/>
        </w:rPr>
      </w:pPr>
    </w:p>
    <w:p w14:paraId="333C93AA"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ru-RU"/>
          <w14:ligatures w14:val="none"/>
        </w:rPr>
      </w:pPr>
    </w:p>
    <w:p w14:paraId="35F9BB1F"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ru-RU"/>
          <w14:ligatures w14:val="none"/>
        </w:rPr>
      </w:pPr>
    </w:p>
    <w:p w14:paraId="488C7059"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ru-RU"/>
          <w14:ligatures w14:val="none"/>
        </w:rPr>
      </w:pPr>
    </w:p>
    <w:p w14:paraId="4EBEE93D"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ru-RU"/>
          <w14:ligatures w14:val="none"/>
        </w:rPr>
      </w:pPr>
    </w:p>
    <w:p w14:paraId="0D069A03"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ru-RU"/>
          <w14:ligatures w14:val="none"/>
        </w:rPr>
      </w:pPr>
    </w:p>
    <w:p w14:paraId="514F1831"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ru-RU"/>
          <w14:ligatures w14:val="none"/>
        </w:rPr>
      </w:pPr>
    </w:p>
    <w:p w14:paraId="625FE4FE"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ru-RU"/>
          <w14:ligatures w14:val="none"/>
        </w:rPr>
      </w:pPr>
    </w:p>
    <w:p w14:paraId="13E0D245"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ru-RU"/>
          <w14:ligatures w14:val="none"/>
        </w:rPr>
      </w:pPr>
    </w:p>
    <w:p w14:paraId="32EF6D6B"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ru-RU"/>
          <w14:ligatures w14:val="none"/>
        </w:rPr>
      </w:pPr>
    </w:p>
    <w:p w14:paraId="26457F3C"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ru-RU"/>
          <w14:ligatures w14:val="none"/>
        </w:rPr>
      </w:pPr>
    </w:p>
    <w:p w14:paraId="532EE0B6"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ru-RU"/>
          <w14:ligatures w14:val="none"/>
        </w:rPr>
      </w:pPr>
    </w:p>
    <w:p w14:paraId="486F7DA2" w14:textId="77777777" w:rsidR="00B44B71" w:rsidRPr="00B44B71" w:rsidRDefault="00B44B71" w:rsidP="00023291">
      <w:pPr>
        <w:tabs>
          <w:tab w:val="left" w:pos="9638"/>
        </w:tabs>
        <w:spacing w:after="0" w:line="240" w:lineRule="auto"/>
        <w:ind w:firstLine="709"/>
        <w:jc w:val="center"/>
        <w:outlineLvl w:val="1"/>
        <w:rPr>
          <w:rFonts w:ascii="Times New Roman" w:eastAsia="Times New Roman" w:hAnsi="Times New Roman" w:cs="Times New Roman"/>
          <w:iCs/>
          <w:kern w:val="0"/>
          <w:sz w:val="29"/>
          <w:szCs w:val="29"/>
          <w:lang w:val="uk-UA"/>
          <w14:ligatures w14:val="none"/>
        </w:rPr>
      </w:pPr>
      <w:r w:rsidRPr="00B44B71">
        <w:rPr>
          <w:rFonts w:ascii="Times New Roman" w:eastAsia="Times New Roman" w:hAnsi="Times New Roman" w:cs="Times New Roman"/>
          <w:iCs/>
          <w:kern w:val="0"/>
          <w:sz w:val="29"/>
          <w:szCs w:val="29"/>
          <w:lang w:val="uk-UA"/>
          <w14:ligatures w14:val="none"/>
        </w:rPr>
        <w:t>Видання університету – 2026</w:t>
      </w:r>
    </w:p>
    <w:p w14:paraId="7EDBCEB7" w14:textId="77777777" w:rsidR="00D00269" w:rsidRPr="00EF0A28" w:rsidRDefault="00B44B71" w:rsidP="00023291">
      <w:pPr>
        <w:tabs>
          <w:tab w:val="left" w:pos="9638"/>
        </w:tabs>
        <w:spacing w:after="0" w:line="240" w:lineRule="auto"/>
        <w:ind w:firstLine="709"/>
        <w:outlineLvl w:val="1"/>
        <w:rPr>
          <w:rFonts w:ascii="Times New Roman" w:eastAsia="Times New Roman" w:hAnsi="Times New Roman" w:cs="Times New Roman"/>
          <w:iCs/>
          <w:kern w:val="0"/>
          <w:sz w:val="29"/>
          <w:szCs w:val="29"/>
          <w:lang w:val="ru-RU"/>
          <w14:ligatures w14:val="none"/>
        </w:rPr>
      </w:pPr>
      <w:r w:rsidRPr="00B44B71">
        <w:rPr>
          <w:rFonts w:ascii="Calibri" w:eastAsia="Times New Roman" w:hAnsi="Calibri" w:cs="Times New Roman"/>
          <w:noProof/>
          <w:kern w:val="0"/>
          <w:lang w:val="uk-UA" w:eastAsia="uk-UA"/>
          <w14:ligatures w14:val="none"/>
        </w:rPr>
        <mc:AlternateContent>
          <mc:Choice Requires="wps">
            <w:drawing>
              <wp:anchor distT="0" distB="0" distL="114300" distR="114300" simplePos="0" relativeHeight="251660288" behindDoc="0" locked="0" layoutInCell="1" allowOverlap="1" wp14:anchorId="65C323DB" wp14:editId="0A43828C">
                <wp:simplePos x="0" y="0"/>
                <wp:positionH relativeFrom="column">
                  <wp:posOffset>2916555</wp:posOffset>
                </wp:positionH>
                <wp:positionV relativeFrom="paragraph">
                  <wp:posOffset>690245</wp:posOffset>
                </wp:positionV>
                <wp:extent cx="307975" cy="271780"/>
                <wp:effectExtent l="6350" t="5080" r="9525" b="8890"/>
                <wp:wrapNone/>
                <wp:docPr id="5"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975" cy="27178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4E107E" id="Прямоугольник 5" o:spid="_x0000_s1026" style="position:absolute;margin-left:229.65pt;margin-top:54.35pt;width:24.25pt;height:21.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" strokecolor="white"/>
            </w:pict>
          </mc:Fallback>
        </mc:AlternateContent>
      </w:r>
      <w:r w:rsidRPr="00B44B71">
        <w:rPr>
          <w:rFonts w:ascii="Times New Roman" w:eastAsia="Times New Roman" w:hAnsi="Times New Roman" w:cs="Times New Roman"/>
          <w:iCs/>
          <w:kern w:val="0"/>
          <w:sz w:val="29"/>
          <w:szCs w:val="29"/>
          <w:lang w:val="uk-UA"/>
          <w14:ligatures w14:val="none"/>
        </w:rPr>
        <w:br w:type="page"/>
      </w:r>
    </w:p>
    <w:p w14:paraId="0E43B168" w14:textId="77777777" w:rsidR="00D00269" w:rsidRPr="00EF0A28" w:rsidRDefault="00D00269" w:rsidP="00023291">
      <w:pPr>
        <w:tabs>
          <w:tab w:val="left" w:pos="9638"/>
        </w:tabs>
        <w:spacing w:after="0" w:line="240" w:lineRule="auto"/>
        <w:ind w:firstLine="709"/>
        <w:outlineLvl w:val="1"/>
        <w:rPr>
          <w:rFonts w:ascii="Times New Roman" w:eastAsia="Times New Roman" w:hAnsi="Times New Roman" w:cs="Times New Roman"/>
          <w:iCs/>
          <w:kern w:val="0"/>
          <w:sz w:val="29"/>
          <w:szCs w:val="29"/>
          <w:lang w:val="ru-RU"/>
          <w14:ligatures w14:val="none"/>
        </w:rPr>
      </w:pPr>
    </w:p>
    <w:p w14:paraId="78338FAF" w14:textId="51964E39" w:rsidR="00B44B71" w:rsidRPr="00B44B71" w:rsidRDefault="00B44B71" w:rsidP="00023291">
      <w:pPr>
        <w:tabs>
          <w:tab w:val="left" w:pos="9638"/>
        </w:tabs>
        <w:spacing w:after="0" w:line="240" w:lineRule="auto"/>
        <w:ind w:firstLine="709"/>
        <w:outlineLvl w:val="1"/>
        <w:rPr>
          <w:rFonts w:ascii="Times New Roman" w:eastAsia="Times New Roman" w:hAnsi="Times New Roman" w:cs="Times New Roman"/>
          <w:b/>
          <w:bCs/>
          <w:iCs/>
          <w:kern w:val="0"/>
          <w:sz w:val="25"/>
          <w:szCs w:val="25"/>
          <w:lang w:val="uk-UA" w:eastAsia="uk-UA"/>
          <w14:ligatures w14:val="none"/>
        </w:rPr>
      </w:pPr>
      <w:r w:rsidRPr="00B44B71">
        <w:rPr>
          <w:rFonts w:ascii="Times New Roman" w:eastAsia="Times New Roman" w:hAnsi="Times New Roman" w:cs="Times New Roman"/>
          <w:bCs/>
          <w:iCs/>
          <w:kern w:val="0"/>
          <w:sz w:val="25"/>
          <w:szCs w:val="25"/>
          <w:lang w:val="uk-UA" w:eastAsia="uk-UA"/>
          <w14:ligatures w14:val="none"/>
        </w:rPr>
        <w:t>УДК 355(477) (066)</w:t>
      </w:r>
    </w:p>
    <w:p w14:paraId="6D1C12A0" w14:textId="77777777" w:rsidR="00B44B71" w:rsidRPr="00B44B71" w:rsidRDefault="00B44B71" w:rsidP="00023291">
      <w:pPr>
        <w:tabs>
          <w:tab w:val="left" w:pos="9638"/>
        </w:tabs>
        <w:spacing w:after="0" w:line="240" w:lineRule="auto"/>
        <w:ind w:firstLine="709"/>
        <w:jc w:val="both"/>
        <w:outlineLvl w:val="2"/>
        <w:rPr>
          <w:rFonts w:ascii="Times New Roman" w:eastAsia="Times New Roman" w:hAnsi="Times New Roman" w:cs="Times New Roman"/>
          <w:b/>
          <w:bCs/>
          <w:kern w:val="0"/>
          <w:sz w:val="25"/>
          <w:szCs w:val="25"/>
          <w:lang w:val="uk-UA" w:eastAsia="ru-RU"/>
          <w14:ligatures w14:val="none"/>
        </w:rPr>
      </w:pPr>
      <w:r w:rsidRPr="00B44B71">
        <w:rPr>
          <w:rFonts w:ascii="Times New Roman" w:eastAsia="Times New Roman" w:hAnsi="Times New Roman" w:cs="Times New Roman"/>
          <w:bCs/>
          <w:kern w:val="0"/>
          <w:sz w:val="25"/>
          <w:szCs w:val="25"/>
          <w:lang w:val="uk-UA" w:eastAsia="ru-RU"/>
          <w14:ligatures w14:val="none"/>
        </w:rPr>
        <w:t>ББК 68.4(4 УКР) я 43</w:t>
      </w:r>
    </w:p>
    <w:p w14:paraId="69036D3F" w14:textId="77777777" w:rsidR="00B44B71" w:rsidRPr="00B44B71" w:rsidRDefault="00B44B71" w:rsidP="00023291">
      <w:pPr>
        <w:tabs>
          <w:tab w:val="left" w:pos="9638"/>
        </w:tabs>
        <w:spacing w:after="0" w:line="240" w:lineRule="auto"/>
        <w:ind w:firstLine="709"/>
        <w:jc w:val="both"/>
        <w:outlineLvl w:val="3"/>
        <w:rPr>
          <w:rFonts w:ascii="Times New Roman" w:eastAsia="Times New Roman" w:hAnsi="Times New Roman" w:cs="Times New Roman"/>
          <w:kern w:val="0"/>
          <w:sz w:val="12"/>
          <w:szCs w:val="12"/>
          <w:lang w:val="uk-UA" w:eastAsia="ru-RU"/>
          <w14:ligatures w14:val="none"/>
        </w:rPr>
      </w:pPr>
      <w:r w:rsidRPr="00B44B71">
        <w:rPr>
          <w:rFonts w:ascii="Times New Roman" w:eastAsia="Times New Roman" w:hAnsi="Times New Roman" w:cs="Times New Roman"/>
          <w:bCs/>
          <w:kern w:val="0"/>
          <w:sz w:val="25"/>
          <w:szCs w:val="25"/>
          <w:lang w:val="uk-UA" w:eastAsia="ru-RU"/>
          <w14:ligatures w14:val="none"/>
        </w:rPr>
        <w:t>В 42</w:t>
      </w:r>
    </w:p>
    <w:p w14:paraId="43830418" w14:textId="2BC9C5F2" w:rsidR="00B44B71" w:rsidRPr="00B44B71" w:rsidRDefault="00B44B71" w:rsidP="00023291">
      <w:pPr>
        <w:tabs>
          <w:tab w:val="left" w:pos="4326"/>
          <w:tab w:val="left" w:pos="9638"/>
        </w:tabs>
        <w:overflowPunct w:val="0"/>
        <w:spacing w:after="0" w:line="240" w:lineRule="auto"/>
        <w:ind w:firstLine="709"/>
        <w:jc w:val="both"/>
        <w:rPr>
          <w:rFonts w:ascii="Times New Roman" w:eastAsia="Times New Roman" w:hAnsi="Times New Roman" w:cs="Times New Roman"/>
          <w:kern w:val="0"/>
          <w:sz w:val="25"/>
          <w:szCs w:val="25"/>
          <w:lang w:val="ru-RU" w:eastAsia="ru-RU"/>
          <w14:ligatures w14:val="none"/>
        </w:rPr>
      </w:pPr>
      <w:r w:rsidRPr="00B44B71">
        <w:rPr>
          <w:rFonts w:ascii="Times New Roman" w:eastAsia="Times New Roman" w:hAnsi="Times New Roman" w:cs="Times New Roman"/>
          <w:kern w:val="0"/>
          <w:sz w:val="25"/>
          <w:szCs w:val="25"/>
          <w:lang w:val="uk-UA" w:eastAsia="ru-RU"/>
          <w14:ligatures w14:val="none"/>
        </w:rPr>
        <w:t>Збірник наукових праць «</w:t>
      </w:r>
      <w:r w:rsidRPr="00B44B71">
        <w:rPr>
          <w:rFonts w:ascii="Times New Roman" w:eastAsia="Times New Roman" w:hAnsi="Times New Roman" w:cs="Times New Roman"/>
          <w:bCs/>
          <w:kern w:val="0"/>
          <w:sz w:val="25"/>
          <w:szCs w:val="25"/>
          <w:lang w:val="uk-UA" w:eastAsia="ru-RU"/>
          <w14:ligatures w14:val="none"/>
        </w:rPr>
        <w:t>Військова освіта</w:t>
      </w:r>
      <w:r w:rsidRPr="00B44B71">
        <w:rPr>
          <w:rFonts w:ascii="Times New Roman" w:eastAsia="Times New Roman" w:hAnsi="Times New Roman" w:cs="Times New Roman"/>
          <w:kern w:val="0"/>
          <w:sz w:val="25"/>
          <w:szCs w:val="25"/>
          <w:lang w:val="uk-UA" w:eastAsia="ru-RU"/>
          <w14:ligatures w14:val="none"/>
        </w:rPr>
        <w:t xml:space="preserve">» Національного університету оборони України, м. Київ. – 2026. – № 1 (53). </w:t>
      </w:r>
      <w:r w:rsidRPr="00591195">
        <w:rPr>
          <w:rFonts w:ascii="Times New Roman" w:eastAsia="Times New Roman" w:hAnsi="Times New Roman" w:cs="Times New Roman"/>
          <w:kern w:val="0"/>
          <w:sz w:val="25"/>
          <w:szCs w:val="25"/>
          <w:lang w:val="uk-UA" w:eastAsia="ru-RU"/>
          <w14:ligatures w14:val="none"/>
        </w:rPr>
        <w:t xml:space="preserve">– </w:t>
      </w:r>
      <w:r w:rsidR="00102DE8" w:rsidRPr="00591195">
        <w:rPr>
          <w:rFonts w:ascii="Times New Roman" w:eastAsia="Times New Roman" w:hAnsi="Times New Roman" w:cs="Times New Roman"/>
          <w:kern w:val="0"/>
          <w:sz w:val="25"/>
          <w:szCs w:val="25"/>
          <w:lang w:val="ru-RU" w:eastAsia="ru-RU"/>
          <w14:ligatures w14:val="none"/>
        </w:rPr>
        <w:t>3</w:t>
      </w:r>
      <w:r w:rsidRPr="00591195">
        <w:rPr>
          <w:rFonts w:ascii="Times New Roman" w:eastAsia="Times New Roman" w:hAnsi="Times New Roman" w:cs="Times New Roman"/>
          <w:kern w:val="0"/>
          <w:sz w:val="25"/>
          <w:szCs w:val="25"/>
          <w:lang w:val="ru-RU" w:eastAsia="ru-RU"/>
          <w14:ligatures w14:val="none"/>
        </w:rPr>
        <w:t>3</w:t>
      </w:r>
      <w:r w:rsidR="00B057B6" w:rsidRPr="00591195">
        <w:rPr>
          <w:rFonts w:ascii="Times New Roman" w:eastAsia="Times New Roman" w:hAnsi="Times New Roman" w:cs="Times New Roman"/>
          <w:kern w:val="0"/>
          <w:sz w:val="25"/>
          <w:szCs w:val="25"/>
          <w:lang w:val="ru-RU" w:eastAsia="ru-RU"/>
          <w14:ligatures w14:val="none"/>
        </w:rPr>
        <w:t>0</w:t>
      </w:r>
      <w:r w:rsidRPr="00B44B71">
        <w:rPr>
          <w:rFonts w:ascii="Times New Roman" w:eastAsia="Times New Roman" w:hAnsi="Times New Roman" w:cs="Times New Roman"/>
          <w:kern w:val="0"/>
          <w:sz w:val="25"/>
          <w:szCs w:val="25"/>
          <w:lang w:val="uk-UA" w:eastAsia="ru-RU"/>
          <w14:ligatures w14:val="none"/>
        </w:rPr>
        <w:t xml:space="preserve"> с.</w:t>
      </w:r>
    </w:p>
    <w:p w14:paraId="1440F06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5"/>
          <w:szCs w:val="25"/>
          <w:shd w:val="clear" w:color="auto" w:fill="FFFFFF"/>
          <w:lang w:val="uk-UA" w:eastAsia="ru-RU"/>
          <w14:ligatures w14:val="none"/>
        </w:rPr>
      </w:pPr>
      <w:r w:rsidRPr="00B44B71">
        <w:rPr>
          <w:rFonts w:ascii="Times New Roman" w:eastAsia="Times New Roman" w:hAnsi="Times New Roman" w:cs="Times New Roman"/>
          <w:kern w:val="0"/>
          <w:sz w:val="25"/>
          <w:szCs w:val="25"/>
          <w:lang w:val="uk-UA" w:eastAsia="ru-RU"/>
          <w14:ligatures w14:val="none"/>
        </w:rPr>
        <w:t xml:space="preserve">Збірник включено до Переліку наукових фахових видань України з педагогіки (категорія «Б», наказ Міністерства освіти і науки України від </w:t>
      </w:r>
      <w:r w:rsidRPr="00B44B71">
        <w:rPr>
          <w:rFonts w:ascii="Times New Roman" w:eastAsia="Times New Roman" w:hAnsi="Times New Roman" w:cs="Times New Roman"/>
          <w:kern w:val="0"/>
          <w:sz w:val="25"/>
          <w:szCs w:val="25"/>
          <w:shd w:val="clear" w:color="auto" w:fill="FFFFFF"/>
          <w:lang w:val="uk-UA" w:eastAsia="ru-RU"/>
          <w14:ligatures w14:val="none"/>
        </w:rPr>
        <w:t>02. 06. 2020 р. № 886);</w:t>
      </w:r>
    </w:p>
    <w:p w14:paraId="1A525CAF"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3"/>
          <w:szCs w:val="23"/>
          <w:lang w:val="uk-UA" w:eastAsia="ru-RU"/>
          <w14:ligatures w14:val="none"/>
        </w:rPr>
      </w:pPr>
      <w:r w:rsidRPr="00B44B71">
        <w:rPr>
          <w:rFonts w:ascii="Times New Roman" w:eastAsia="Times New Roman" w:hAnsi="Times New Roman" w:cs="Times New Roman"/>
          <w:kern w:val="0"/>
          <w:sz w:val="25"/>
          <w:szCs w:val="25"/>
          <w:lang w:val="uk-UA" w:eastAsia="ru-RU"/>
          <w14:ligatures w14:val="none"/>
        </w:rPr>
        <w:t xml:space="preserve">внесено до Реєстру суб’єктів у сфері медіа рішенням Національної ради України з питань телебачення і радіомовлення від 31.10.2023 № 1214 та присвоєно ідентифікатор медіа </w:t>
      </w:r>
      <w:r w:rsidRPr="00B44B71">
        <w:rPr>
          <w:rFonts w:ascii="Times New Roman" w:eastAsia="Times New Roman" w:hAnsi="Times New Roman" w:cs="Times New Roman"/>
          <w:kern w:val="0"/>
          <w:sz w:val="25"/>
          <w:szCs w:val="25"/>
          <w:lang w:eastAsia="ru-RU"/>
          <w14:ligatures w14:val="none"/>
        </w:rPr>
        <w:t>R</w:t>
      </w:r>
      <w:r w:rsidRPr="00B44B71">
        <w:rPr>
          <w:rFonts w:ascii="Times New Roman" w:eastAsia="Times New Roman" w:hAnsi="Times New Roman" w:cs="Times New Roman"/>
          <w:kern w:val="0"/>
          <w:sz w:val="25"/>
          <w:szCs w:val="25"/>
          <w:lang w:val="uk-UA" w:eastAsia="ru-RU"/>
          <w14:ligatures w14:val="none"/>
        </w:rPr>
        <w:t>30-01596.</w:t>
      </w:r>
    </w:p>
    <w:p w14:paraId="64BA55D3" w14:textId="77777777" w:rsidR="00B44B71" w:rsidRPr="00B44B71" w:rsidRDefault="00B44B71" w:rsidP="00023291">
      <w:pPr>
        <w:tabs>
          <w:tab w:val="left" w:pos="9638"/>
        </w:tabs>
        <w:overflowPunct w:val="0"/>
        <w:spacing w:after="0" w:line="240" w:lineRule="auto"/>
        <w:ind w:firstLine="709"/>
        <w:jc w:val="both"/>
        <w:rPr>
          <w:rFonts w:ascii="Times New Roman" w:eastAsia="Times New Roman" w:hAnsi="Times New Roman" w:cs="Times New Roman"/>
          <w:kern w:val="0"/>
          <w:sz w:val="27"/>
          <w:szCs w:val="27"/>
          <w:lang w:val="uk-UA" w:eastAsia="ru-RU"/>
          <w14:ligatures w14:val="none"/>
        </w:rPr>
      </w:pPr>
      <w:r w:rsidRPr="00B44B71">
        <w:rPr>
          <w:rFonts w:ascii="Times New Roman" w:eastAsia="Times New Roman" w:hAnsi="Times New Roman" w:cs="Times New Roman"/>
          <w:kern w:val="0"/>
          <w:sz w:val="25"/>
          <w:szCs w:val="25"/>
          <w:lang w:val="uk-UA" w:eastAsia="ru-RU"/>
          <w14:ligatures w14:val="none"/>
        </w:rPr>
        <w:t>Збірник призначений для керівного складу, науково-педагогічних (наукових) працівників, докторантів та ад’юнктів (аспірантів) вищих навчальних закладів і наукових установ системи військової освіти.</w:t>
      </w:r>
    </w:p>
    <w:p w14:paraId="5B7B7EF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spacing w:val="-8"/>
          <w:kern w:val="0"/>
          <w:sz w:val="23"/>
          <w:szCs w:val="23"/>
          <w:lang w:val="uk-UA" w:eastAsia="ru-RU"/>
          <w14:ligatures w14:val="none"/>
        </w:rPr>
      </w:pPr>
      <w:r w:rsidRPr="00B44B71">
        <w:rPr>
          <w:rFonts w:ascii="Times New Roman" w:eastAsia="Times New Roman" w:hAnsi="Times New Roman" w:cs="Times New Roman"/>
          <w:spacing w:val="-8"/>
          <w:kern w:val="0"/>
          <w:sz w:val="25"/>
          <w:szCs w:val="25"/>
          <w:lang w:val="uk-UA" w:eastAsia="ru-RU"/>
          <w14:ligatures w14:val="none"/>
        </w:rPr>
        <w:t>Рекомендовано до  друку та до поширення через мережу Інтернет Редколегією фахового наукового видання - з</w:t>
      </w:r>
      <w:r w:rsidRPr="00B44B71">
        <w:rPr>
          <w:rFonts w:ascii="Times New Roman" w:eastAsia="Times New Roman" w:hAnsi="Times New Roman" w:cs="Times New Roman"/>
          <w:kern w:val="0"/>
          <w:sz w:val="25"/>
          <w:szCs w:val="25"/>
          <w:lang w:val="uk-UA" w:eastAsia="ru-RU"/>
          <w14:ligatures w14:val="none"/>
        </w:rPr>
        <w:t>бірника наукових праць «</w:t>
      </w:r>
      <w:r w:rsidRPr="00B44B71">
        <w:rPr>
          <w:rFonts w:ascii="Times New Roman" w:eastAsia="Times New Roman" w:hAnsi="Times New Roman" w:cs="Times New Roman"/>
          <w:bCs/>
          <w:kern w:val="0"/>
          <w:sz w:val="25"/>
          <w:szCs w:val="25"/>
          <w:lang w:val="uk-UA" w:eastAsia="ru-RU"/>
          <w14:ligatures w14:val="none"/>
        </w:rPr>
        <w:t>Військова освіта</w:t>
      </w:r>
      <w:r w:rsidRPr="00B44B71">
        <w:rPr>
          <w:rFonts w:ascii="Times New Roman" w:eastAsia="Times New Roman" w:hAnsi="Times New Roman" w:cs="Times New Roman"/>
          <w:kern w:val="0"/>
          <w:sz w:val="25"/>
          <w:szCs w:val="25"/>
          <w:lang w:val="uk-UA" w:eastAsia="ru-RU"/>
          <w14:ligatures w14:val="none"/>
        </w:rPr>
        <w:t xml:space="preserve">» </w:t>
      </w:r>
      <w:r w:rsidRPr="00B44B71">
        <w:rPr>
          <w:rFonts w:ascii="Times New Roman" w:eastAsia="Times New Roman" w:hAnsi="Times New Roman" w:cs="Times New Roman"/>
          <w:spacing w:val="-8"/>
          <w:kern w:val="0"/>
          <w:sz w:val="25"/>
          <w:szCs w:val="25"/>
          <w:lang w:val="uk-UA" w:eastAsia="ru-RU"/>
          <w14:ligatures w14:val="none"/>
        </w:rPr>
        <w:t xml:space="preserve">Національного університету оборони України, м. Київ (протокол № 7 від 22 травня 2026 р.). </w:t>
      </w:r>
    </w:p>
    <w:p w14:paraId="2BC247C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p>
    <w:p w14:paraId="5748A82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3"/>
          <w:szCs w:val="23"/>
          <w:lang w:val="uk-UA" w:eastAsia="ru-RU"/>
          <w14:ligatures w14:val="none"/>
        </w:rPr>
      </w:pPr>
      <w:r w:rsidRPr="00B44B71">
        <w:rPr>
          <w:rFonts w:ascii="Times New Roman" w:eastAsia="Times New Roman" w:hAnsi="Times New Roman" w:cs="Times New Roman"/>
          <w:kern w:val="0"/>
          <w:sz w:val="25"/>
          <w:szCs w:val="25"/>
          <w:lang w:val="uk-UA" w:eastAsia="ru-RU"/>
          <w14:ligatures w14:val="none"/>
        </w:rPr>
        <w:t>РЕДАКЦІЙНА КОЛЕГІЯ:</w:t>
      </w:r>
    </w:p>
    <w:p w14:paraId="19671072" w14:textId="77777777" w:rsidR="00B44B71" w:rsidRPr="00B44B71" w:rsidRDefault="00B44B71" w:rsidP="00023291">
      <w:pPr>
        <w:shd w:val="clear" w:color="auto" w:fill="FFFFFF"/>
        <w:tabs>
          <w:tab w:val="left" w:pos="9638"/>
        </w:tabs>
        <w:spacing w:after="0" w:line="240" w:lineRule="auto"/>
        <w:ind w:firstLine="709"/>
        <w:jc w:val="both"/>
        <w:outlineLvl w:val="3"/>
        <w:rPr>
          <w:rFonts w:ascii="Times New Roman" w:eastAsia="Times New Roman" w:hAnsi="Times New Roman" w:cs="Times New Roman"/>
          <w:b/>
          <w:bCs/>
          <w:kern w:val="0"/>
          <w:sz w:val="24"/>
          <w:szCs w:val="24"/>
          <w:lang w:val="uk-UA" w:eastAsia="ru-RU"/>
          <w14:ligatures w14:val="none"/>
        </w:rPr>
      </w:pPr>
      <w:r w:rsidRPr="00B44B71">
        <w:rPr>
          <w:rFonts w:ascii="Times New Roman" w:eastAsia="Times New Roman" w:hAnsi="Times New Roman" w:cs="Times New Roman"/>
          <w:b/>
          <w:bCs/>
          <w:kern w:val="0"/>
          <w:sz w:val="24"/>
          <w:szCs w:val="24"/>
          <w:lang w:val="uk-UA" w:eastAsia="ru-RU"/>
          <w14:ligatures w14:val="none"/>
        </w:rPr>
        <w:t>Голова редакційної колегії</w:t>
      </w:r>
    </w:p>
    <w:p w14:paraId="21EEB511"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Рахманов В.О.,</w:t>
      </w:r>
      <w:r w:rsidRPr="00B44B71">
        <w:rPr>
          <w:rFonts w:ascii="Times New Roman" w:eastAsia="Times New Roman" w:hAnsi="Times New Roman" w:cs="Times New Roman"/>
          <w:kern w:val="0"/>
          <w:sz w:val="24"/>
          <w:szCs w:val="24"/>
          <w:lang w:val="uk-UA" w:eastAsia="ru-RU"/>
          <w14:ligatures w14:val="none"/>
        </w:rPr>
        <w:t xml:space="preserve"> доктор педагогічних наук, професор </w:t>
      </w:r>
    </w:p>
    <w:p w14:paraId="734A244A"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b/>
          <w:bCs/>
          <w:kern w:val="0"/>
          <w:sz w:val="24"/>
          <w:szCs w:val="24"/>
          <w:lang w:val="uk-UA" w:eastAsia="ru-RU"/>
          <w14:ligatures w14:val="none"/>
        </w:rPr>
      </w:pPr>
      <w:r w:rsidRPr="00B44B71">
        <w:rPr>
          <w:rFonts w:ascii="Times New Roman" w:eastAsia="Times New Roman" w:hAnsi="Times New Roman" w:cs="Times New Roman"/>
          <w:b/>
          <w:bCs/>
          <w:kern w:val="0"/>
          <w:sz w:val="24"/>
          <w:szCs w:val="24"/>
          <w:lang w:val="uk-UA" w:eastAsia="ru-RU"/>
          <w14:ligatures w14:val="none"/>
        </w:rPr>
        <w:t>Відповідальний редактор</w:t>
      </w:r>
    </w:p>
    <w:p w14:paraId="7E5F2F94"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 xml:space="preserve">Наливайко А.Д., </w:t>
      </w:r>
      <w:r w:rsidRPr="00B44B71">
        <w:rPr>
          <w:rFonts w:ascii="Times New Roman" w:eastAsia="Times New Roman" w:hAnsi="Times New Roman" w:cs="Times New Roman"/>
          <w:kern w:val="0"/>
          <w:sz w:val="24"/>
          <w:szCs w:val="24"/>
          <w:lang w:val="uk-UA" w:eastAsia="ru-RU"/>
          <w14:ligatures w14:val="none"/>
        </w:rPr>
        <w:t>кандидат технічних наук, доцент</w:t>
      </w:r>
    </w:p>
    <w:p w14:paraId="24B134FB" w14:textId="77777777" w:rsidR="00B44B71" w:rsidRPr="00B44B71" w:rsidRDefault="00B44B71" w:rsidP="00023291">
      <w:pPr>
        <w:shd w:val="clear" w:color="auto" w:fill="FFFFFF"/>
        <w:tabs>
          <w:tab w:val="left" w:pos="9638"/>
        </w:tabs>
        <w:spacing w:after="0" w:line="240" w:lineRule="auto"/>
        <w:ind w:firstLine="709"/>
        <w:jc w:val="both"/>
        <w:outlineLvl w:val="3"/>
        <w:rPr>
          <w:rFonts w:ascii="Times New Roman" w:eastAsia="Times New Roman" w:hAnsi="Times New Roman" w:cs="Times New Roman"/>
          <w:b/>
          <w:bCs/>
          <w:kern w:val="0"/>
          <w:sz w:val="24"/>
          <w:szCs w:val="24"/>
          <w:lang w:val="uk-UA" w:eastAsia="ru-RU"/>
          <w14:ligatures w14:val="none"/>
        </w:rPr>
      </w:pPr>
      <w:r w:rsidRPr="00B44B71">
        <w:rPr>
          <w:rFonts w:ascii="Times New Roman" w:eastAsia="Times New Roman" w:hAnsi="Times New Roman" w:cs="Times New Roman"/>
          <w:b/>
          <w:bCs/>
          <w:kern w:val="0"/>
          <w:sz w:val="24"/>
          <w:szCs w:val="24"/>
          <w:lang w:val="uk-UA" w:eastAsia="ru-RU"/>
          <w14:ligatures w14:val="none"/>
        </w:rPr>
        <w:t>Редколегія</w:t>
      </w:r>
    </w:p>
    <w:p w14:paraId="3D4A5088"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Аббасов Акиф Нурага оглу,</w:t>
      </w:r>
      <w:r w:rsidRPr="00B44B71">
        <w:rPr>
          <w:rFonts w:ascii="Times New Roman" w:eastAsia="Times New Roman" w:hAnsi="Times New Roman" w:cs="Times New Roman"/>
          <w:b/>
          <w:bCs/>
          <w:i/>
          <w:iCs/>
          <w:kern w:val="0"/>
          <w:sz w:val="24"/>
          <w:szCs w:val="24"/>
          <w:lang w:val="uk-UA" w:eastAsia="ru-RU"/>
          <w14:ligatures w14:val="none"/>
        </w:rPr>
        <w:t> </w:t>
      </w:r>
      <w:r w:rsidRPr="00B44B71">
        <w:rPr>
          <w:rFonts w:ascii="Times New Roman" w:eastAsia="Times New Roman" w:hAnsi="Times New Roman" w:cs="Times New Roman"/>
          <w:kern w:val="0"/>
          <w:sz w:val="24"/>
          <w:szCs w:val="24"/>
          <w:lang w:val="uk-UA" w:eastAsia="ru-RU"/>
          <w14:ligatures w14:val="none"/>
        </w:rPr>
        <w:t>доктор педагогічних наук, професор (Республіка Азербайджан);</w:t>
      </w:r>
    </w:p>
    <w:p w14:paraId="670058F5" w14:textId="77777777" w:rsidR="00B44B71" w:rsidRPr="00EF0A28"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ru-RU" w:eastAsia="ru-RU"/>
          <w14:ligatures w14:val="none"/>
        </w:rPr>
      </w:pPr>
      <w:r w:rsidRPr="00B44B71">
        <w:rPr>
          <w:rFonts w:ascii="Times New Roman" w:eastAsia="Times New Roman" w:hAnsi="Times New Roman" w:cs="Times New Roman"/>
          <w:b/>
          <w:bCs/>
          <w:i/>
          <w:kern w:val="0"/>
          <w:sz w:val="24"/>
          <w:szCs w:val="24"/>
          <w:lang w:val="uk-UA" w:eastAsia="ru-RU"/>
          <w14:ligatures w14:val="none"/>
        </w:rPr>
        <w:t>Артемов В.Ю.,</w:t>
      </w:r>
      <w:r w:rsidRPr="00B44B71">
        <w:rPr>
          <w:rFonts w:ascii="Times New Roman" w:eastAsia="Times New Roman" w:hAnsi="Times New Roman" w:cs="Times New Roman"/>
          <w:kern w:val="0"/>
          <w:sz w:val="24"/>
          <w:szCs w:val="24"/>
          <w:lang w:val="uk-UA" w:eastAsia="ru-RU"/>
          <w14:ligatures w14:val="none"/>
        </w:rPr>
        <w:t> доктор педагогічних наук, професор;</w:t>
      </w:r>
    </w:p>
    <w:p w14:paraId="139035B7" w14:textId="77777777" w:rsidR="00D00269" w:rsidRPr="00B44B71" w:rsidRDefault="00D00269"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Бондаренко С.А.,</w:t>
      </w:r>
      <w:r w:rsidRPr="00B44B71">
        <w:rPr>
          <w:rFonts w:ascii="Times New Roman" w:eastAsia="Times New Roman" w:hAnsi="Times New Roman" w:cs="Times New Roman"/>
          <w:kern w:val="0"/>
          <w:sz w:val="24"/>
          <w:szCs w:val="24"/>
          <w:lang w:val="uk-UA" w:eastAsia="ru-RU"/>
          <w14:ligatures w14:val="none"/>
        </w:rPr>
        <w:t xml:space="preserve"> доктор економічних наук, професор </w:t>
      </w:r>
    </w:p>
    <w:p w14:paraId="136189E5"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Вітченко А.О.,</w:t>
      </w:r>
      <w:r w:rsidRPr="00B44B71">
        <w:rPr>
          <w:rFonts w:ascii="Times New Roman" w:eastAsia="Times New Roman" w:hAnsi="Times New Roman" w:cs="Times New Roman"/>
          <w:kern w:val="0"/>
          <w:sz w:val="24"/>
          <w:szCs w:val="24"/>
          <w:lang w:val="uk-UA" w:eastAsia="ru-RU"/>
          <w14:ligatures w14:val="none"/>
        </w:rPr>
        <w:t> доктор педагогічних наук, професор;</w:t>
      </w:r>
    </w:p>
    <w:p w14:paraId="1FF3D655"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Зельницький А.М.,</w:t>
      </w:r>
      <w:r w:rsidRPr="00B44B71">
        <w:rPr>
          <w:rFonts w:ascii="Times New Roman" w:eastAsia="Times New Roman" w:hAnsi="Times New Roman" w:cs="Times New Roman"/>
          <w:b/>
          <w:bCs/>
          <w:kern w:val="0"/>
          <w:sz w:val="24"/>
          <w:szCs w:val="24"/>
          <w:lang w:val="uk-UA" w:eastAsia="ru-RU"/>
          <w14:ligatures w14:val="none"/>
        </w:rPr>
        <w:t> </w:t>
      </w:r>
      <w:r w:rsidRPr="00B44B71">
        <w:rPr>
          <w:rFonts w:ascii="Times New Roman" w:eastAsia="Times New Roman" w:hAnsi="Times New Roman" w:cs="Times New Roman"/>
          <w:kern w:val="0"/>
          <w:sz w:val="24"/>
          <w:szCs w:val="24"/>
          <w:lang w:val="uk-UA" w:eastAsia="ru-RU"/>
          <w14:ligatures w14:val="none"/>
        </w:rPr>
        <w:t>кандидат педагогічних наук, професор;</w:t>
      </w:r>
    </w:p>
    <w:p w14:paraId="687240EF"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b/>
          <w:bCs/>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Кисленко Д.П.,</w:t>
      </w:r>
      <w:r w:rsidRPr="00B44B71">
        <w:rPr>
          <w:rFonts w:ascii="Times New Roman" w:eastAsia="Times New Roman" w:hAnsi="Times New Roman" w:cs="Times New Roman"/>
          <w:b/>
          <w:bCs/>
          <w:kern w:val="0"/>
          <w:sz w:val="24"/>
          <w:szCs w:val="24"/>
          <w:lang w:val="uk-UA" w:eastAsia="ru-RU"/>
          <w14:ligatures w14:val="none"/>
        </w:rPr>
        <w:t xml:space="preserve"> </w:t>
      </w:r>
      <w:r w:rsidRPr="00B44B71">
        <w:rPr>
          <w:rFonts w:ascii="Times New Roman" w:eastAsia="Times New Roman" w:hAnsi="Times New Roman" w:cs="Times New Roman"/>
          <w:bCs/>
          <w:kern w:val="0"/>
          <w:sz w:val="24"/>
          <w:szCs w:val="24"/>
          <w:lang w:val="uk-UA" w:eastAsia="ru-RU"/>
          <w14:ligatures w14:val="none"/>
        </w:rPr>
        <w:t>доктор педагогічних наук, професор;</w:t>
      </w:r>
    </w:p>
    <w:p w14:paraId="02320AA9"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Кокарєва А.М.,</w:t>
      </w:r>
      <w:r w:rsidRPr="00B44B71">
        <w:rPr>
          <w:rFonts w:ascii="Times New Roman" w:eastAsia="Times New Roman" w:hAnsi="Times New Roman" w:cs="Times New Roman"/>
          <w:kern w:val="0"/>
          <w:sz w:val="24"/>
          <w:szCs w:val="24"/>
          <w:lang w:val="uk-UA" w:eastAsia="ru-RU"/>
          <w14:ligatures w14:val="none"/>
        </w:rPr>
        <w:t> кандидат педагогічних наук, доцент;</w:t>
      </w:r>
    </w:p>
    <w:p w14:paraId="54CFB635"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Ковтун О.В.,</w:t>
      </w:r>
      <w:r w:rsidRPr="00B44B71">
        <w:rPr>
          <w:rFonts w:ascii="Times New Roman" w:eastAsia="Times New Roman" w:hAnsi="Times New Roman" w:cs="Times New Roman"/>
          <w:kern w:val="0"/>
          <w:sz w:val="24"/>
          <w:szCs w:val="24"/>
          <w:lang w:val="uk-UA" w:eastAsia="ru-RU"/>
          <w14:ligatures w14:val="none"/>
        </w:rPr>
        <w:t> доктор педагогічних наук, професор;</w:t>
      </w:r>
    </w:p>
    <w:p w14:paraId="3F8DEDAB"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Крикун В.Д.</w:t>
      </w:r>
      <w:r w:rsidRPr="00B44B71">
        <w:rPr>
          <w:rFonts w:ascii="Times New Roman" w:eastAsia="Times New Roman" w:hAnsi="Times New Roman" w:cs="Times New Roman"/>
          <w:b/>
          <w:i/>
          <w:kern w:val="0"/>
          <w:sz w:val="24"/>
          <w:szCs w:val="24"/>
          <w:lang w:val="uk-UA" w:eastAsia="ru-RU"/>
          <w14:ligatures w14:val="none"/>
        </w:rPr>
        <w:t>,</w:t>
      </w:r>
      <w:r w:rsidRPr="00B44B71">
        <w:rPr>
          <w:rFonts w:ascii="Times New Roman" w:eastAsia="Times New Roman" w:hAnsi="Times New Roman" w:cs="Times New Roman"/>
          <w:b/>
          <w:kern w:val="0"/>
          <w:sz w:val="24"/>
          <w:szCs w:val="24"/>
          <w:lang w:val="uk-UA" w:eastAsia="ru-RU"/>
          <w14:ligatures w14:val="none"/>
        </w:rPr>
        <w:t xml:space="preserve"> </w:t>
      </w:r>
      <w:r w:rsidRPr="00B44B71">
        <w:rPr>
          <w:rFonts w:ascii="Times New Roman" w:eastAsia="Times New Roman" w:hAnsi="Times New Roman" w:cs="Times New Roman"/>
          <w:kern w:val="0"/>
          <w:sz w:val="24"/>
          <w:szCs w:val="24"/>
          <w:lang w:val="uk-UA" w:eastAsia="ru-RU"/>
          <w14:ligatures w14:val="none"/>
        </w:rPr>
        <w:t>кандидат педагогічних наук, старший дослідник;</w:t>
      </w:r>
    </w:p>
    <w:p w14:paraId="42E37E81"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Лагодинський О.С.</w:t>
      </w:r>
      <w:r w:rsidRPr="00B44B71">
        <w:rPr>
          <w:rFonts w:ascii="Times New Roman" w:eastAsia="Times New Roman" w:hAnsi="Times New Roman" w:cs="Times New Roman"/>
          <w:b/>
          <w:i/>
          <w:kern w:val="0"/>
          <w:sz w:val="24"/>
          <w:szCs w:val="24"/>
          <w:lang w:val="uk-UA" w:eastAsia="ru-RU"/>
          <w14:ligatures w14:val="none"/>
        </w:rPr>
        <w:t>,</w:t>
      </w:r>
      <w:r w:rsidRPr="00B44B71">
        <w:rPr>
          <w:rFonts w:ascii="Times New Roman" w:eastAsia="Times New Roman" w:hAnsi="Times New Roman" w:cs="Times New Roman"/>
          <w:kern w:val="0"/>
          <w:sz w:val="24"/>
          <w:szCs w:val="24"/>
          <w:lang w:val="uk-UA" w:eastAsia="ru-RU"/>
          <w14:ligatures w14:val="none"/>
        </w:rPr>
        <w:t xml:space="preserve"> доктор педагогічних наук, професор;</w:t>
      </w:r>
    </w:p>
    <w:p w14:paraId="2C78FC59"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Мамченко С.М.,</w:t>
      </w:r>
      <w:r w:rsidRPr="00B44B71">
        <w:rPr>
          <w:rFonts w:ascii="Times New Roman" w:eastAsia="Times New Roman" w:hAnsi="Times New Roman" w:cs="Times New Roman"/>
          <w:kern w:val="0"/>
          <w:sz w:val="24"/>
          <w:szCs w:val="24"/>
          <w:lang w:val="uk-UA" w:eastAsia="ru-RU"/>
          <w14:ligatures w14:val="none"/>
        </w:rPr>
        <w:t> доктор педагогічних наук, професор;</w:t>
      </w:r>
    </w:p>
    <w:p w14:paraId="3875A1DF"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Мурзалінова А.Ж.</w:t>
      </w:r>
      <w:r w:rsidRPr="00B44B71">
        <w:rPr>
          <w:rFonts w:ascii="Times New Roman" w:eastAsia="Times New Roman" w:hAnsi="Times New Roman" w:cs="Times New Roman"/>
          <w:b/>
          <w:i/>
          <w:kern w:val="0"/>
          <w:sz w:val="24"/>
          <w:szCs w:val="24"/>
          <w:lang w:val="uk-UA" w:eastAsia="ru-RU"/>
          <w14:ligatures w14:val="none"/>
        </w:rPr>
        <w:t>,</w:t>
      </w:r>
      <w:r w:rsidRPr="00B44B71">
        <w:rPr>
          <w:rFonts w:ascii="Times New Roman" w:eastAsia="Times New Roman" w:hAnsi="Times New Roman" w:cs="Times New Roman"/>
          <w:kern w:val="0"/>
          <w:sz w:val="24"/>
          <w:szCs w:val="24"/>
          <w:lang w:val="uk-UA" w:eastAsia="ru-RU"/>
          <w14:ligatures w14:val="none"/>
        </w:rPr>
        <w:t xml:space="preserve"> доктор педагогічних наук, професор (Республіка Казахстан);</w:t>
      </w:r>
    </w:p>
    <w:p w14:paraId="13CFC30D"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Олійник Л.В.,</w:t>
      </w:r>
      <w:r w:rsidRPr="00B44B71">
        <w:rPr>
          <w:rFonts w:ascii="Times New Roman" w:eastAsia="Times New Roman" w:hAnsi="Times New Roman" w:cs="Times New Roman"/>
          <w:kern w:val="0"/>
          <w:sz w:val="24"/>
          <w:szCs w:val="24"/>
          <w:lang w:val="uk-UA" w:eastAsia="ru-RU"/>
          <w14:ligatures w14:val="none"/>
        </w:rPr>
        <w:t> доктор педагогічних наук, старший науковий співробітник;</w:t>
      </w:r>
    </w:p>
    <w:p w14:paraId="247A97CD"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Свистун В.І.,</w:t>
      </w:r>
      <w:r w:rsidRPr="00B44B71">
        <w:rPr>
          <w:rFonts w:ascii="Times New Roman" w:eastAsia="Times New Roman" w:hAnsi="Times New Roman" w:cs="Times New Roman"/>
          <w:kern w:val="0"/>
          <w:sz w:val="24"/>
          <w:szCs w:val="24"/>
          <w:lang w:val="uk-UA" w:eastAsia="ru-RU"/>
          <w14:ligatures w14:val="none"/>
        </w:rPr>
        <w:t> доктор педагогічних наук, професор;</w:t>
      </w:r>
    </w:p>
    <w:p w14:paraId="0E1E514B"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Торічний О.В.,</w:t>
      </w:r>
      <w:r w:rsidRPr="00B44B71">
        <w:rPr>
          <w:rFonts w:ascii="Times New Roman" w:eastAsia="Times New Roman" w:hAnsi="Times New Roman" w:cs="Times New Roman"/>
          <w:b/>
          <w:bCs/>
          <w:kern w:val="0"/>
          <w:sz w:val="24"/>
          <w:szCs w:val="24"/>
          <w:lang w:val="uk-UA" w:eastAsia="ru-RU"/>
          <w14:ligatures w14:val="none"/>
        </w:rPr>
        <w:t> </w:t>
      </w:r>
      <w:r w:rsidRPr="00B44B71">
        <w:rPr>
          <w:rFonts w:ascii="Times New Roman" w:eastAsia="Times New Roman" w:hAnsi="Times New Roman" w:cs="Times New Roman"/>
          <w:kern w:val="0"/>
          <w:sz w:val="24"/>
          <w:szCs w:val="24"/>
          <w:lang w:val="uk-UA" w:eastAsia="ru-RU"/>
          <w14:ligatures w14:val="none"/>
        </w:rPr>
        <w:t>доктор педагогічних наук, професор.</w:t>
      </w:r>
    </w:p>
    <w:p w14:paraId="3C21581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3"/>
          <w:szCs w:val="23"/>
          <w:lang w:val="uk-UA" w:eastAsia="ru-RU"/>
          <w14:ligatures w14:val="none"/>
        </w:rPr>
      </w:pPr>
      <w:r w:rsidRPr="00B44B71">
        <w:rPr>
          <w:rFonts w:ascii="Times New Roman" w:eastAsia="Times New Roman" w:hAnsi="Times New Roman" w:cs="Times New Roman"/>
          <w:kern w:val="0"/>
          <w:sz w:val="25"/>
          <w:szCs w:val="25"/>
          <w:lang w:val="uk-UA" w:eastAsia="ru-RU"/>
          <w14:ligatures w14:val="none"/>
        </w:rPr>
        <w:t>Усі права застережені.</w:t>
      </w:r>
    </w:p>
    <w:p w14:paraId="663DBD9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3"/>
          <w:szCs w:val="23"/>
          <w:lang w:val="uk-UA" w:eastAsia="ru-RU"/>
          <w14:ligatures w14:val="none"/>
        </w:rPr>
      </w:pPr>
      <w:r w:rsidRPr="00B44B71">
        <w:rPr>
          <w:rFonts w:ascii="Times New Roman" w:eastAsia="Times New Roman" w:hAnsi="Times New Roman" w:cs="Times New Roman"/>
          <w:kern w:val="0"/>
          <w:sz w:val="25"/>
          <w:szCs w:val="25"/>
          <w:lang w:val="uk-UA" w:eastAsia="ru-RU"/>
          <w14:ligatures w14:val="none"/>
        </w:rPr>
        <w:t>У разі передруку матеріалів посилання на збірник обов’язкове.</w:t>
      </w:r>
    </w:p>
    <w:p w14:paraId="699EB253"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3"/>
          <w:szCs w:val="23"/>
          <w:lang w:val="uk-UA" w:eastAsia="ru-RU"/>
          <w14:ligatures w14:val="none"/>
        </w:rPr>
      </w:pPr>
      <w:r w:rsidRPr="00B44B71">
        <w:rPr>
          <w:rFonts w:ascii="Times New Roman" w:eastAsia="Times New Roman" w:hAnsi="Times New Roman" w:cs="Times New Roman"/>
          <w:kern w:val="0"/>
          <w:sz w:val="25"/>
          <w:szCs w:val="25"/>
          <w:lang w:val="uk-UA" w:eastAsia="ru-RU"/>
          <w14:ligatures w14:val="none"/>
        </w:rPr>
        <w:t xml:space="preserve">Адреса редакції: Україна, 03049, м. Київ-49, пр-т Повітряних Сил, 28, Національний університет оборони України, м. Київ, тел.: (044) 271-09-76, E-mail: </w:t>
      </w:r>
      <w:bookmarkStart w:id="0" w:name="__DdeLink__141001_282299132"/>
      <w:r w:rsidRPr="00B44B71">
        <w:rPr>
          <w:rFonts w:ascii="Times New Roman" w:eastAsia="Times New Roman" w:hAnsi="Times New Roman" w:cs="Times New Roman"/>
          <w:kern w:val="0"/>
          <w:sz w:val="23"/>
          <w:szCs w:val="23"/>
          <w:lang w:val="uk-UA" w:eastAsia="ru-RU"/>
          <w14:ligatures w14:val="none"/>
        </w:rPr>
        <w:fldChar w:fldCharType="begin"/>
      </w:r>
      <w:r w:rsidRPr="00B44B71">
        <w:rPr>
          <w:rFonts w:ascii="Times New Roman" w:eastAsia="Times New Roman" w:hAnsi="Times New Roman" w:cs="Times New Roman"/>
          <w:kern w:val="0"/>
          <w:sz w:val="23"/>
          <w:szCs w:val="23"/>
          <w:lang w:val="uk-UA" w:eastAsia="ru-RU"/>
          <w14:ligatures w14:val="none"/>
        </w:rPr>
        <w:instrText xml:space="preserve"> HYPERLINK "mailto:nuou_str@ukr.net"</w:instrText>
      </w:r>
      <w:r w:rsidRPr="00B44B71">
        <w:rPr>
          <w:rFonts w:ascii="Times New Roman" w:eastAsia="Times New Roman" w:hAnsi="Times New Roman" w:cs="Times New Roman"/>
          <w:kern w:val="0"/>
          <w:sz w:val="23"/>
          <w:szCs w:val="23"/>
          <w:lang w:val="uk-UA" w:eastAsia="ru-RU"/>
          <w14:ligatures w14:val="none"/>
        </w:rPr>
      </w:r>
      <w:r w:rsidRPr="00B44B71">
        <w:rPr>
          <w:rFonts w:ascii="Times New Roman" w:eastAsia="Times New Roman" w:hAnsi="Times New Roman" w:cs="Times New Roman"/>
          <w:kern w:val="0"/>
          <w:sz w:val="23"/>
          <w:szCs w:val="23"/>
          <w:lang w:val="uk-UA" w:eastAsia="ru-RU"/>
          <w14:ligatures w14:val="none"/>
        </w:rPr>
        <w:fldChar w:fldCharType="separate"/>
      </w:r>
      <w:r w:rsidRPr="00B44B71">
        <w:rPr>
          <w:rFonts w:ascii="Times New Roman" w:eastAsia="Times New Roman" w:hAnsi="Times New Roman" w:cs="Times New Roman"/>
          <w:kern w:val="0"/>
          <w:sz w:val="25"/>
          <w:szCs w:val="25"/>
          <w:lang w:val="uk-UA" w:eastAsia="ru-RU"/>
          <w14:ligatures w14:val="none"/>
        </w:rPr>
        <w:t>nuou_str@ukr.net</w:t>
      </w:r>
      <w:bookmarkEnd w:id="0"/>
      <w:r w:rsidRPr="00B44B71">
        <w:rPr>
          <w:rFonts w:ascii="Times New Roman" w:eastAsia="Times New Roman" w:hAnsi="Times New Roman" w:cs="Times New Roman"/>
          <w:kern w:val="0"/>
          <w:sz w:val="23"/>
          <w:szCs w:val="23"/>
          <w:lang w:val="uk-UA" w:eastAsia="ru-RU"/>
          <w14:ligatures w14:val="none"/>
        </w:rPr>
        <w:fldChar w:fldCharType="end"/>
      </w:r>
      <w:r w:rsidRPr="00B44B71">
        <w:rPr>
          <w:rFonts w:ascii="Times New Roman" w:eastAsia="Times New Roman" w:hAnsi="Times New Roman" w:cs="Times New Roman"/>
          <w:kern w:val="0"/>
          <w:sz w:val="25"/>
          <w:szCs w:val="25"/>
          <w:lang w:val="uk-UA" w:eastAsia="ru-RU"/>
          <w14:ligatures w14:val="none"/>
        </w:rPr>
        <w:t>, www.znp-vo.nuou.org.ua.</w:t>
      </w:r>
    </w:p>
    <w:p w14:paraId="082C190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16"/>
          <w:szCs w:val="16"/>
          <w:lang w:val="uk-UA" w:eastAsia="ru-RU"/>
          <w14:ligatures w14:val="none"/>
        </w:rPr>
      </w:pPr>
      <w:r w:rsidRPr="00B44B71">
        <w:rPr>
          <w:rFonts w:ascii="Times New Roman" w:eastAsia="Times New Roman" w:hAnsi="Times New Roman" w:cs="Times New Roman"/>
          <w:kern w:val="0"/>
          <w:sz w:val="25"/>
          <w:szCs w:val="25"/>
          <w:lang w:val="uk-UA" w:eastAsia="ru-RU"/>
          <w14:ligatures w14:val="none"/>
        </w:rPr>
        <w:t>Загальнодержавне видання.</w:t>
      </w:r>
    </w:p>
    <w:p w14:paraId="1EC8291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p>
    <w:tbl>
      <w:tblPr>
        <w:tblW w:w="0" w:type="auto"/>
        <w:tblInd w:w="108" w:type="dxa"/>
        <w:tblLayout w:type="fixed"/>
        <w:tblLook w:val="0000" w:firstRow="0" w:lastRow="0" w:firstColumn="0" w:lastColumn="0" w:noHBand="0" w:noVBand="0"/>
      </w:tblPr>
      <w:tblGrid>
        <w:gridCol w:w="4502"/>
        <w:gridCol w:w="5244"/>
      </w:tblGrid>
      <w:tr w:rsidR="00B44B71" w:rsidRPr="00F25FCF" w14:paraId="3F3A3AAD" w14:textId="77777777" w:rsidTr="00F918EC">
        <w:trPr>
          <w:trHeight w:val="546"/>
        </w:trPr>
        <w:tc>
          <w:tcPr>
            <w:tcW w:w="4502" w:type="dxa"/>
          </w:tcPr>
          <w:p w14:paraId="7FDBFB4A"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3"/>
                <w:szCs w:val="23"/>
                <w:lang w:val="uk-UA" w:eastAsia="ru-RU"/>
                <w14:ligatures w14:val="none"/>
              </w:rPr>
            </w:pPr>
            <w:r w:rsidRPr="00B44B71">
              <w:rPr>
                <w:rFonts w:ascii="Times New Roman" w:eastAsia="Times New Roman" w:hAnsi="Times New Roman" w:cs="Times New Roman"/>
                <w:kern w:val="0"/>
                <w:sz w:val="23"/>
                <w:szCs w:val="23"/>
                <w:lang w:val="uk-UA" w:eastAsia="ru-RU"/>
                <w14:ligatures w14:val="none"/>
              </w:rPr>
              <w:t>ISSN: 2617-1775</w:t>
            </w:r>
          </w:p>
          <w:p w14:paraId="354433BB"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3"/>
                <w:szCs w:val="23"/>
                <w:lang w:val="uk-UA" w:eastAsia="ru-RU"/>
                <w14:ligatures w14:val="none"/>
              </w:rPr>
            </w:pPr>
            <w:r w:rsidRPr="00B44B71">
              <w:rPr>
                <w:rFonts w:ascii="Times New Roman" w:eastAsia="Times New Roman" w:hAnsi="Times New Roman" w:cs="Times New Roman"/>
                <w:kern w:val="0"/>
                <w:sz w:val="23"/>
                <w:szCs w:val="23"/>
                <w:lang w:val="uk-UA" w:eastAsia="ru-RU"/>
                <w14:ligatures w14:val="none"/>
              </w:rPr>
              <w:t>ISSN: 2617-1783 (online)</w:t>
            </w:r>
          </w:p>
        </w:tc>
        <w:tc>
          <w:tcPr>
            <w:tcW w:w="5244" w:type="dxa"/>
          </w:tcPr>
          <w:p w14:paraId="14814B8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3"/>
                <w:szCs w:val="23"/>
                <w:lang w:val="uk-UA" w:eastAsia="ru-RU"/>
                <w14:ligatures w14:val="none"/>
              </w:rPr>
            </w:pPr>
            <w:r w:rsidRPr="00B44B71">
              <w:rPr>
                <w:rFonts w:ascii="Times New Roman" w:eastAsia="Times New Roman" w:hAnsi="Times New Roman" w:cs="Times New Roman"/>
                <w:kern w:val="0"/>
                <w:sz w:val="23"/>
                <w:szCs w:val="23"/>
                <w:lang w:val="uk-UA" w:eastAsia="ru-RU"/>
                <w14:ligatures w14:val="none"/>
              </w:rPr>
              <w:t>© Національний університет оборони України, м. Київ, 2026</w:t>
            </w:r>
          </w:p>
        </w:tc>
      </w:tr>
    </w:tbl>
    <w:p w14:paraId="37E9DC22"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3"/>
          <w:szCs w:val="23"/>
          <w:lang w:val="uk-UA" w:eastAsia="ru-RU"/>
          <w14:ligatures w14:val="none"/>
        </w:rPr>
      </w:pPr>
    </w:p>
    <w:p w14:paraId="21AEE3AA" w14:textId="22B63296"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3"/>
          <w:szCs w:val="23"/>
          <w:lang w:val="en-GB" w:eastAsia="ru-RU"/>
          <w14:ligatures w14:val="none"/>
        </w:rPr>
      </w:pPr>
      <w:hyperlink r:id="rId8" w:history="1">
        <w:r w:rsidRPr="00B44B71">
          <w:rPr>
            <w:rFonts w:ascii="Times New Roman" w:eastAsia="Times New Roman" w:hAnsi="Times New Roman" w:cs="Times New Roman"/>
            <w:kern w:val="0"/>
            <w:sz w:val="33"/>
            <w:szCs w:val="33"/>
            <w:lang w:val="uk-UA"/>
            <w14:ligatures w14:val="none"/>
          </w:rPr>
          <w:t>National Defence University of Ukraine</w:t>
        </w:r>
      </w:hyperlink>
    </w:p>
    <w:p w14:paraId="4D60A608"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en-GB"/>
          <w14:ligatures w14:val="none"/>
        </w:rPr>
      </w:pPr>
    </w:p>
    <w:p w14:paraId="0FCE605E"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en-GB"/>
          <w14:ligatures w14:val="none"/>
        </w:rPr>
      </w:pPr>
    </w:p>
    <w:p w14:paraId="7B53B95B"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en-GB"/>
          <w14:ligatures w14:val="none"/>
        </w:rPr>
      </w:pPr>
    </w:p>
    <w:p w14:paraId="55FAD5A3"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en-GB"/>
          <w14:ligatures w14:val="none"/>
        </w:rPr>
      </w:pPr>
    </w:p>
    <w:p w14:paraId="12E2B88B"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en-GB"/>
          <w14:ligatures w14:val="none"/>
        </w:rPr>
      </w:pPr>
    </w:p>
    <w:p w14:paraId="1ECE564F"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en-GB"/>
          <w14:ligatures w14:val="none"/>
        </w:rPr>
      </w:pPr>
    </w:p>
    <w:p w14:paraId="6CD1D5CF"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en-GB"/>
          <w14:ligatures w14:val="none"/>
        </w:rPr>
      </w:pPr>
    </w:p>
    <w:p w14:paraId="4904607B"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en-GB"/>
          <w14:ligatures w14:val="none"/>
        </w:rPr>
      </w:pPr>
    </w:p>
    <w:p w14:paraId="47F6394E"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en-GB"/>
          <w14:ligatures w14:val="none"/>
        </w:rPr>
      </w:pPr>
    </w:p>
    <w:p w14:paraId="4C015162"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en-GB"/>
          <w14:ligatures w14:val="none"/>
        </w:rPr>
      </w:pPr>
    </w:p>
    <w:p w14:paraId="699BF397"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en-GB"/>
          <w14:ligatures w14:val="none"/>
        </w:rPr>
      </w:pPr>
    </w:p>
    <w:p w14:paraId="1EDCE3A4"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en-GB"/>
          <w14:ligatures w14:val="none"/>
        </w:rPr>
      </w:pPr>
    </w:p>
    <w:p w14:paraId="1B15C0C1"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en-GB"/>
          <w14:ligatures w14:val="none"/>
        </w:rPr>
      </w:pPr>
    </w:p>
    <w:p w14:paraId="2C906C1B"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7"/>
          <w:szCs w:val="27"/>
          <w:lang w:val="en-GB"/>
          <w14:ligatures w14:val="none"/>
        </w:rPr>
      </w:pPr>
    </w:p>
    <w:p w14:paraId="3B8FFFEE"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3"/>
          <w:szCs w:val="23"/>
          <w:lang w:val="en-GB" w:eastAsia="ru-RU"/>
          <w14:ligatures w14:val="none"/>
        </w:rPr>
      </w:pPr>
      <w:r w:rsidRPr="00B44B71">
        <w:rPr>
          <w:rFonts w:ascii="Times New Roman" w:eastAsia="Times New Roman" w:hAnsi="Times New Roman" w:cs="Times New Roman"/>
          <w:kern w:val="0"/>
          <w:sz w:val="43"/>
          <w:szCs w:val="43"/>
          <w:lang w:val="en-GB"/>
          <w14:ligatures w14:val="none"/>
        </w:rPr>
        <w:t>VIYSKOVA OSVITA</w:t>
      </w:r>
    </w:p>
    <w:p w14:paraId="1E5A292D"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31"/>
          <w:szCs w:val="31"/>
          <w:lang w:val="en-GB"/>
          <w14:ligatures w14:val="none"/>
        </w:rPr>
      </w:pPr>
      <w:r w:rsidRPr="00B44B71">
        <w:rPr>
          <w:rFonts w:ascii="Times New Roman" w:eastAsia="Times New Roman" w:hAnsi="Times New Roman" w:cs="Times New Roman"/>
          <w:kern w:val="0"/>
          <w:sz w:val="31"/>
          <w:szCs w:val="31"/>
          <w:lang w:val="en-GB"/>
          <w14:ligatures w14:val="none"/>
        </w:rPr>
        <w:t>(MILITARY EDUCATION)</w:t>
      </w:r>
    </w:p>
    <w:p w14:paraId="03EA636A"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31"/>
          <w:szCs w:val="31"/>
          <w:lang w:val="en-GB"/>
          <w14:ligatures w14:val="none"/>
        </w:rPr>
      </w:pPr>
    </w:p>
    <w:p w14:paraId="51F49899"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3"/>
          <w:szCs w:val="23"/>
          <w:lang w:val="en-GB" w:eastAsia="ru-RU"/>
          <w14:ligatures w14:val="none"/>
        </w:rPr>
      </w:pPr>
      <w:r w:rsidRPr="00B44B71">
        <w:rPr>
          <w:rFonts w:ascii="Times New Roman" w:eastAsia="Times New Roman" w:hAnsi="Times New Roman" w:cs="Times New Roman"/>
          <w:kern w:val="0"/>
          <w:sz w:val="33"/>
          <w:szCs w:val="33"/>
          <w:lang w:val="en-GB"/>
          <w14:ligatures w14:val="none"/>
        </w:rPr>
        <w:t xml:space="preserve">Collection of Scientific Papers of the </w:t>
      </w:r>
    </w:p>
    <w:p w14:paraId="2F8EFD2D"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33"/>
          <w:szCs w:val="33"/>
          <w:lang w:val="en-GB"/>
          <w14:ligatures w14:val="none"/>
        </w:rPr>
      </w:pPr>
      <w:r w:rsidRPr="00B44B71">
        <w:rPr>
          <w:rFonts w:ascii="Times New Roman" w:eastAsia="Times New Roman" w:hAnsi="Times New Roman" w:cs="Times New Roman"/>
          <w:kern w:val="0"/>
          <w:sz w:val="33"/>
          <w:szCs w:val="33"/>
          <w:lang w:val="en-GB"/>
          <w14:ligatures w14:val="none"/>
        </w:rPr>
        <w:t>National Defence University of Ukraine</w:t>
      </w:r>
    </w:p>
    <w:p w14:paraId="1B9367CA"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33"/>
          <w:szCs w:val="33"/>
          <w:lang w:val="en-GB"/>
          <w14:ligatures w14:val="none"/>
        </w:rPr>
      </w:pPr>
    </w:p>
    <w:p w14:paraId="01016BF4"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3"/>
          <w:szCs w:val="23"/>
          <w:lang w:val="en-GB" w:eastAsia="ru-RU"/>
          <w14:ligatures w14:val="none"/>
        </w:rPr>
      </w:pPr>
      <w:r w:rsidRPr="00B44B71">
        <w:rPr>
          <w:rFonts w:ascii="Times New Roman" w:eastAsia="Times New Roman" w:hAnsi="Times New Roman" w:cs="Times New Roman"/>
          <w:kern w:val="0"/>
          <w:sz w:val="33"/>
          <w:szCs w:val="33"/>
          <w:lang w:val="en-GB"/>
          <w14:ligatures w14:val="none"/>
        </w:rPr>
        <w:t xml:space="preserve">№ </w:t>
      </w:r>
      <w:r w:rsidRPr="00B44B71">
        <w:rPr>
          <w:rFonts w:ascii="Times New Roman" w:eastAsia="Times New Roman" w:hAnsi="Times New Roman" w:cs="Times New Roman"/>
          <w:kern w:val="0"/>
          <w:sz w:val="33"/>
          <w:szCs w:val="33"/>
          <w:lang w:val="uk-UA"/>
          <w14:ligatures w14:val="none"/>
        </w:rPr>
        <w:t>1</w:t>
      </w:r>
      <w:r w:rsidRPr="00B44B71">
        <w:rPr>
          <w:rFonts w:ascii="Times New Roman" w:eastAsia="Times New Roman" w:hAnsi="Times New Roman" w:cs="Times New Roman"/>
          <w:kern w:val="0"/>
          <w:sz w:val="33"/>
          <w:szCs w:val="33"/>
          <w:lang w:val="en-GB"/>
          <w14:ligatures w14:val="none"/>
        </w:rPr>
        <w:t xml:space="preserve"> (</w:t>
      </w:r>
      <w:r w:rsidRPr="00B44B71">
        <w:rPr>
          <w:rFonts w:ascii="Times New Roman" w:eastAsia="Times New Roman" w:hAnsi="Times New Roman" w:cs="Times New Roman"/>
          <w:kern w:val="0"/>
          <w:sz w:val="33"/>
          <w:szCs w:val="33"/>
          <w:lang w:val="uk-UA"/>
          <w14:ligatures w14:val="none"/>
        </w:rPr>
        <w:t>53</w:t>
      </w:r>
      <w:r w:rsidRPr="00B44B71">
        <w:rPr>
          <w:rFonts w:ascii="Times New Roman" w:eastAsia="Times New Roman" w:hAnsi="Times New Roman" w:cs="Times New Roman"/>
          <w:kern w:val="0"/>
          <w:sz w:val="33"/>
          <w:szCs w:val="33"/>
          <w:lang w:val="en-GB"/>
          <w14:ligatures w14:val="none"/>
        </w:rPr>
        <w:t xml:space="preserve">) </w:t>
      </w:r>
    </w:p>
    <w:p w14:paraId="2E9732A1"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7"/>
          <w:szCs w:val="27"/>
          <w:lang w:val="en-GB"/>
          <w14:ligatures w14:val="none"/>
        </w:rPr>
      </w:pPr>
    </w:p>
    <w:p w14:paraId="797E0CC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31"/>
          <w:szCs w:val="31"/>
          <w:lang w:val="en-GB"/>
          <w14:ligatures w14:val="none"/>
        </w:rPr>
      </w:pPr>
    </w:p>
    <w:p w14:paraId="73BDF04B"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31"/>
          <w:szCs w:val="31"/>
          <w:lang w:val="en-GB"/>
          <w14:ligatures w14:val="none"/>
        </w:rPr>
      </w:pPr>
    </w:p>
    <w:p w14:paraId="58B8715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31"/>
          <w:szCs w:val="31"/>
          <w:lang w:val="en-GB"/>
          <w14:ligatures w14:val="none"/>
        </w:rPr>
      </w:pPr>
    </w:p>
    <w:p w14:paraId="36E11FC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31"/>
          <w:szCs w:val="31"/>
          <w:lang w:val="en-GB"/>
          <w14:ligatures w14:val="none"/>
        </w:rPr>
      </w:pPr>
    </w:p>
    <w:p w14:paraId="758DC55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31"/>
          <w:szCs w:val="31"/>
          <w:lang w:val="en-GB"/>
          <w14:ligatures w14:val="none"/>
        </w:rPr>
      </w:pPr>
    </w:p>
    <w:p w14:paraId="5AD8EB4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31"/>
          <w:szCs w:val="31"/>
          <w:lang w:val="en-GB"/>
          <w14:ligatures w14:val="none"/>
        </w:rPr>
      </w:pPr>
    </w:p>
    <w:p w14:paraId="4EC6FE0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31"/>
          <w:szCs w:val="31"/>
          <w:lang w:val="en-GB"/>
          <w14:ligatures w14:val="none"/>
        </w:rPr>
      </w:pPr>
    </w:p>
    <w:p w14:paraId="430D0AD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31"/>
          <w:szCs w:val="31"/>
          <w:lang w:val="en-GB"/>
          <w14:ligatures w14:val="none"/>
        </w:rPr>
      </w:pPr>
    </w:p>
    <w:p w14:paraId="6665DD4E"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31"/>
          <w:szCs w:val="31"/>
          <w:lang w:val="en-GB"/>
          <w14:ligatures w14:val="none"/>
        </w:rPr>
      </w:pPr>
    </w:p>
    <w:p w14:paraId="6CE7D532"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31"/>
          <w:szCs w:val="31"/>
          <w:lang w:val="en-GB"/>
          <w14:ligatures w14:val="none"/>
        </w:rPr>
      </w:pPr>
    </w:p>
    <w:p w14:paraId="14EAD388"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31"/>
          <w:szCs w:val="31"/>
          <w:lang w:val="en-GB"/>
          <w14:ligatures w14:val="none"/>
        </w:rPr>
      </w:pPr>
    </w:p>
    <w:p w14:paraId="0FC1BF55"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31"/>
          <w:szCs w:val="31"/>
          <w:lang w:val="en-GB"/>
          <w14:ligatures w14:val="none"/>
        </w:rPr>
      </w:pPr>
    </w:p>
    <w:p w14:paraId="16D5D8D4"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31"/>
          <w:szCs w:val="31"/>
          <w:lang w:val="en-GB"/>
          <w14:ligatures w14:val="none"/>
        </w:rPr>
      </w:pPr>
    </w:p>
    <w:p w14:paraId="24EBF24B"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3"/>
          <w:szCs w:val="23"/>
          <w:lang w:val="uk-UA" w:eastAsia="ru-RU"/>
          <w14:ligatures w14:val="none"/>
        </w:rPr>
      </w:pPr>
      <w:r w:rsidRPr="00B44B71">
        <w:rPr>
          <w:rFonts w:ascii="Times New Roman" w:eastAsia="Times New Roman" w:hAnsi="Times New Roman" w:cs="Times New Roman"/>
          <w:kern w:val="0"/>
          <w:sz w:val="29"/>
          <w:szCs w:val="29"/>
          <w:lang w:val="en-GB"/>
          <w14:ligatures w14:val="none"/>
        </w:rPr>
        <w:t>University Print – 202</w:t>
      </w:r>
      <w:r w:rsidRPr="00B44B71">
        <w:rPr>
          <w:rFonts w:ascii="Times New Roman" w:eastAsia="Times New Roman" w:hAnsi="Times New Roman" w:cs="Times New Roman"/>
          <w:kern w:val="0"/>
          <w:sz w:val="29"/>
          <w:szCs w:val="29"/>
          <w:lang w:val="uk-UA"/>
          <w14:ligatures w14:val="none"/>
        </w:rPr>
        <w:t>6</w:t>
      </w:r>
    </w:p>
    <w:p w14:paraId="0ABAE058"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4"/>
          <w:szCs w:val="24"/>
          <w:lang w:val="en-GB"/>
          <w14:ligatures w14:val="none"/>
        </w:rPr>
      </w:pPr>
    </w:p>
    <w:p w14:paraId="4493A872" w14:textId="77777777" w:rsidR="00D00269" w:rsidRDefault="00B44B71" w:rsidP="00023291">
      <w:pPr>
        <w:tabs>
          <w:tab w:val="left" w:pos="9638"/>
        </w:tabs>
        <w:spacing w:after="0" w:line="240" w:lineRule="auto"/>
        <w:ind w:firstLine="709"/>
        <w:rPr>
          <w:rFonts w:ascii="Times New Roman" w:eastAsia="Times New Roman" w:hAnsi="Times New Roman" w:cs="Times New Roman"/>
          <w:kern w:val="0"/>
          <w:sz w:val="24"/>
          <w:szCs w:val="24"/>
          <w14:ligatures w14:val="none"/>
        </w:rPr>
      </w:pPr>
      <w:r w:rsidRPr="00654D6D">
        <w:rPr>
          <w:rFonts w:ascii="Times New Roman" w:eastAsia="Times New Roman" w:hAnsi="Times New Roman" w:cs="Times New Roman"/>
          <w:kern w:val="0"/>
          <w:sz w:val="24"/>
          <w:szCs w:val="24"/>
          <w14:ligatures w14:val="none"/>
        </w:rPr>
        <w:br w:type="page"/>
      </w:r>
    </w:p>
    <w:p w14:paraId="178A1FC2" w14:textId="77777777" w:rsidR="00D00269" w:rsidRDefault="00D00269" w:rsidP="00023291">
      <w:pPr>
        <w:tabs>
          <w:tab w:val="left" w:pos="9638"/>
        </w:tabs>
        <w:spacing w:after="0" w:line="240" w:lineRule="auto"/>
        <w:ind w:firstLine="709"/>
        <w:rPr>
          <w:rFonts w:ascii="Times New Roman" w:eastAsia="Times New Roman" w:hAnsi="Times New Roman" w:cs="Times New Roman"/>
          <w:kern w:val="0"/>
          <w:sz w:val="24"/>
          <w:szCs w:val="24"/>
          <w14:ligatures w14:val="none"/>
        </w:rPr>
      </w:pPr>
    </w:p>
    <w:p w14:paraId="3E3D532E" w14:textId="6FB1EAD0" w:rsidR="00B44B71" w:rsidRPr="00654D6D" w:rsidRDefault="00B44B71" w:rsidP="00023291">
      <w:pPr>
        <w:tabs>
          <w:tab w:val="left" w:pos="9638"/>
        </w:tabs>
        <w:spacing w:after="0" w:line="240" w:lineRule="auto"/>
        <w:ind w:firstLine="709"/>
        <w:rPr>
          <w:rFonts w:ascii="Times New Roman" w:eastAsia="Times New Roman" w:hAnsi="Times New Roman" w:cs="Times New Roman"/>
          <w:kern w:val="0"/>
          <w:sz w:val="23"/>
          <w:szCs w:val="23"/>
          <w:lang w:eastAsia="ru-RU"/>
          <w14:ligatures w14:val="none"/>
        </w:rPr>
      </w:pPr>
      <w:r w:rsidRPr="00B44B71">
        <w:rPr>
          <w:rFonts w:ascii="Times New Roman" w:eastAsia="Times New Roman" w:hAnsi="Times New Roman" w:cs="Times New Roman"/>
          <w:kern w:val="0"/>
          <w:sz w:val="24"/>
          <w:szCs w:val="24"/>
          <w:lang w:val="ru-RU"/>
          <w14:ligatures w14:val="none"/>
        </w:rPr>
        <w:t>УДК</w:t>
      </w:r>
      <w:r w:rsidRPr="00654D6D">
        <w:rPr>
          <w:rFonts w:ascii="Times New Roman" w:eastAsia="Times New Roman" w:hAnsi="Times New Roman" w:cs="Times New Roman"/>
          <w:kern w:val="0"/>
          <w:sz w:val="24"/>
          <w:szCs w:val="24"/>
          <w14:ligatures w14:val="none"/>
        </w:rPr>
        <w:t xml:space="preserve"> 355 (477) (066)</w:t>
      </w:r>
    </w:p>
    <w:p w14:paraId="51ACE2ED" w14:textId="77777777" w:rsidR="00B44B71" w:rsidRPr="00654D6D" w:rsidRDefault="00B44B71" w:rsidP="00023291">
      <w:pPr>
        <w:tabs>
          <w:tab w:val="left" w:pos="9638"/>
        </w:tabs>
        <w:spacing w:after="0" w:line="240" w:lineRule="auto"/>
        <w:ind w:firstLine="709"/>
        <w:rPr>
          <w:rFonts w:ascii="Times New Roman" w:eastAsia="Times New Roman" w:hAnsi="Times New Roman" w:cs="Times New Roman"/>
          <w:kern w:val="0"/>
          <w:sz w:val="23"/>
          <w:szCs w:val="23"/>
          <w:lang w:eastAsia="ru-RU"/>
          <w14:ligatures w14:val="none"/>
        </w:rPr>
      </w:pPr>
      <w:r w:rsidRPr="00B44B71">
        <w:rPr>
          <w:rFonts w:ascii="Times New Roman" w:eastAsia="Times New Roman" w:hAnsi="Times New Roman" w:cs="Times New Roman"/>
          <w:kern w:val="0"/>
          <w:sz w:val="24"/>
          <w:szCs w:val="24"/>
          <w:lang w:val="ru-RU"/>
          <w14:ligatures w14:val="none"/>
        </w:rPr>
        <w:t>ББК</w:t>
      </w:r>
      <w:r w:rsidRPr="00654D6D">
        <w:rPr>
          <w:rFonts w:ascii="Times New Roman" w:eastAsia="Times New Roman" w:hAnsi="Times New Roman" w:cs="Times New Roman"/>
          <w:kern w:val="0"/>
          <w:sz w:val="24"/>
          <w:szCs w:val="24"/>
          <w14:ligatures w14:val="none"/>
        </w:rPr>
        <w:t xml:space="preserve"> 68 4(4 </w:t>
      </w:r>
      <w:r w:rsidRPr="00B44B71">
        <w:rPr>
          <w:rFonts w:ascii="Times New Roman" w:eastAsia="Times New Roman" w:hAnsi="Times New Roman" w:cs="Times New Roman"/>
          <w:kern w:val="0"/>
          <w:sz w:val="24"/>
          <w:szCs w:val="24"/>
          <w:lang w:val="ru-RU"/>
          <w14:ligatures w14:val="none"/>
        </w:rPr>
        <w:t>УКР</w:t>
      </w:r>
      <w:r w:rsidRPr="00654D6D">
        <w:rPr>
          <w:rFonts w:ascii="Times New Roman" w:eastAsia="Times New Roman" w:hAnsi="Times New Roman" w:cs="Times New Roman"/>
          <w:kern w:val="0"/>
          <w:sz w:val="24"/>
          <w:szCs w:val="24"/>
          <w14:ligatures w14:val="none"/>
        </w:rPr>
        <w:t xml:space="preserve">) </w:t>
      </w:r>
      <w:r w:rsidRPr="00B44B71">
        <w:rPr>
          <w:rFonts w:ascii="Times New Roman" w:eastAsia="Times New Roman" w:hAnsi="Times New Roman" w:cs="Times New Roman"/>
          <w:kern w:val="0"/>
          <w:sz w:val="24"/>
          <w:szCs w:val="24"/>
          <w:lang w:val="ru-RU"/>
          <w14:ligatures w14:val="none"/>
        </w:rPr>
        <w:t>я</w:t>
      </w:r>
      <w:r w:rsidRPr="00654D6D">
        <w:rPr>
          <w:rFonts w:ascii="Times New Roman" w:eastAsia="Times New Roman" w:hAnsi="Times New Roman" w:cs="Times New Roman"/>
          <w:kern w:val="0"/>
          <w:sz w:val="24"/>
          <w:szCs w:val="24"/>
          <w14:ligatures w14:val="none"/>
        </w:rPr>
        <w:t xml:space="preserve"> 43</w:t>
      </w:r>
    </w:p>
    <w:p w14:paraId="708A886B" w14:textId="77777777" w:rsidR="00B44B71" w:rsidRPr="00654D6D" w:rsidRDefault="00B44B71" w:rsidP="00023291">
      <w:pPr>
        <w:tabs>
          <w:tab w:val="left" w:pos="9638"/>
        </w:tabs>
        <w:spacing w:after="0" w:line="240" w:lineRule="auto"/>
        <w:ind w:firstLine="709"/>
        <w:rPr>
          <w:rFonts w:ascii="Times New Roman" w:eastAsia="Times New Roman" w:hAnsi="Times New Roman" w:cs="Times New Roman"/>
          <w:kern w:val="0"/>
          <w:sz w:val="23"/>
          <w:szCs w:val="23"/>
          <w:lang w:eastAsia="ru-RU"/>
          <w14:ligatures w14:val="none"/>
        </w:rPr>
      </w:pPr>
      <w:r w:rsidRPr="00B44B71">
        <w:rPr>
          <w:rFonts w:ascii="Times New Roman" w:eastAsia="Times New Roman" w:hAnsi="Times New Roman" w:cs="Times New Roman"/>
          <w:kern w:val="0"/>
          <w:sz w:val="24"/>
          <w:szCs w:val="24"/>
          <w:lang w:val="ru-RU"/>
          <w14:ligatures w14:val="none"/>
        </w:rPr>
        <w:t>В</w:t>
      </w:r>
      <w:r w:rsidRPr="00B44B71">
        <w:rPr>
          <w:rFonts w:ascii="Times New Roman" w:eastAsia="Times New Roman" w:hAnsi="Times New Roman" w:cs="Times New Roman"/>
          <w:kern w:val="0"/>
          <w:sz w:val="24"/>
          <w:szCs w:val="24"/>
          <w:lang w:val="en-GB"/>
          <w14:ligatures w14:val="none"/>
        </w:rPr>
        <w:t> </w:t>
      </w:r>
      <w:r w:rsidRPr="00654D6D">
        <w:rPr>
          <w:rFonts w:ascii="Times New Roman" w:eastAsia="Times New Roman" w:hAnsi="Times New Roman" w:cs="Times New Roman"/>
          <w:kern w:val="0"/>
          <w:sz w:val="24"/>
          <w:szCs w:val="24"/>
          <w14:ligatures w14:val="none"/>
        </w:rPr>
        <w:t>42</w:t>
      </w:r>
    </w:p>
    <w:p w14:paraId="0DA06769" w14:textId="77777777" w:rsidR="00B44B71" w:rsidRPr="00654D6D" w:rsidRDefault="00B44B71" w:rsidP="00023291">
      <w:pPr>
        <w:tabs>
          <w:tab w:val="left" w:pos="9638"/>
        </w:tabs>
        <w:spacing w:after="0" w:line="240" w:lineRule="auto"/>
        <w:ind w:firstLine="709"/>
        <w:rPr>
          <w:rFonts w:ascii="Times New Roman" w:eastAsia="Times New Roman" w:hAnsi="Times New Roman" w:cs="Times New Roman"/>
          <w:kern w:val="0"/>
          <w:sz w:val="28"/>
          <w:szCs w:val="28"/>
          <w14:ligatures w14:val="none"/>
        </w:rPr>
      </w:pPr>
    </w:p>
    <w:p w14:paraId="5DABE868" w14:textId="5A546A48"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lang w:val="en-GB"/>
          <w14:ligatures w14:val="none"/>
        </w:rPr>
      </w:pPr>
      <w:r w:rsidRPr="00B44B71">
        <w:rPr>
          <w:rFonts w:ascii="Times New Roman" w:eastAsia="Times New Roman" w:hAnsi="Times New Roman" w:cs="Times New Roman"/>
          <w:kern w:val="0"/>
          <w:sz w:val="24"/>
          <w:szCs w:val="24"/>
          <w:lang w:val="en-GB"/>
          <w14:ligatures w14:val="none"/>
        </w:rPr>
        <w:t>VIYSKOVA OSVITA (MILITARY EDUCATION), Collection of Scientific Papers of the National Defence University of Ukraine. – 202</w:t>
      </w:r>
      <w:r w:rsidRPr="00B44B71">
        <w:rPr>
          <w:rFonts w:ascii="Times New Roman" w:eastAsia="Times New Roman" w:hAnsi="Times New Roman" w:cs="Times New Roman"/>
          <w:kern w:val="0"/>
          <w:sz w:val="24"/>
          <w:szCs w:val="24"/>
          <w:lang w:val="uk-UA"/>
          <w14:ligatures w14:val="none"/>
        </w:rPr>
        <w:t>6</w:t>
      </w:r>
      <w:r w:rsidRPr="00B44B71">
        <w:rPr>
          <w:rFonts w:ascii="Times New Roman" w:eastAsia="Times New Roman" w:hAnsi="Times New Roman" w:cs="Times New Roman"/>
          <w:kern w:val="0"/>
          <w:sz w:val="24"/>
          <w:szCs w:val="24"/>
          <w:lang w:val="en-GB"/>
          <w14:ligatures w14:val="none"/>
        </w:rPr>
        <w:t>. –</w:t>
      </w:r>
      <w:r w:rsidRPr="00B44B71">
        <w:rPr>
          <w:rFonts w:ascii="Times New Roman" w:eastAsia="Times New Roman" w:hAnsi="Times New Roman" w:cs="Times New Roman"/>
          <w:kern w:val="0"/>
          <w:sz w:val="24"/>
          <w:szCs w:val="24"/>
          <w:lang w:val="uk-UA"/>
          <w14:ligatures w14:val="none"/>
        </w:rPr>
        <w:t xml:space="preserve"> № 1</w:t>
      </w:r>
      <w:r w:rsidRPr="00B44B71">
        <w:rPr>
          <w:rFonts w:ascii="Times New Roman" w:eastAsia="Times New Roman" w:hAnsi="Times New Roman" w:cs="Times New Roman"/>
          <w:kern w:val="0"/>
          <w:sz w:val="24"/>
          <w:szCs w:val="24"/>
          <w:lang w:val="en-GB"/>
          <w14:ligatures w14:val="none"/>
        </w:rPr>
        <w:t xml:space="preserve"> (</w:t>
      </w:r>
      <w:r w:rsidRPr="00B44B71">
        <w:rPr>
          <w:rFonts w:ascii="Times New Roman" w:eastAsia="Times New Roman" w:hAnsi="Times New Roman" w:cs="Times New Roman"/>
          <w:kern w:val="0"/>
          <w:sz w:val="24"/>
          <w:szCs w:val="24"/>
          <w:lang w:val="uk-UA"/>
          <w14:ligatures w14:val="none"/>
        </w:rPr>
        <w:t>53</w:t>
      </w:r>
      <w:r w:rsidRPr="00B44B71">
        <w:rPr>
          <w:rFonts w:ascii="Times New Roman" w:eastAsia="Times New Roman" w:hAnsi="Times New Roman" w:cs="Times New Roman"/>
          <w:kern w:val="0"/>
          <w:sz w:val="24"/>
          <w:szCs w:val="24"/>
          <w:lang w:val="en-GB"/>
          <w14:ligatures w14:val="none"/>
        </w:rPr>
        <w:t xml:space="preserve">). </w:t>
      </w:r>
      <w:r w:rsidRPr="00B50126">
        <w:rPr>
          <w:rFonts w:ascii="Times New Roman" w:eastAsia="Times New Roman" w:hAnsi="Times New Roman" w:cs="Times New Roman"/>
          <w:kern w:val="0"/>
          <w:sz w:val="24"/>
          <w:szCs w:val="24"/>
          <w:lang w:val="en-GB"/>
          <w14:ligatures w14:val="none"/>
        </w:rPr>
        <w:t xml:space="preserve">– </w:t>
      </w:r>
      <w:r w:rsidR="00102DE8" w:rsidRPr="00B50126">
        <w:rPr>
          <w:rFonts w:ascii="Times New Roman" w:eastAsia="Times New Roman" w:hAnsi="Times New Roman" w:cs="Times New Roman"/>
          <w:kern w:val="0"/>
          <w:sz w:val="24"/>
          <w:szCs w:val="24"/>
          <w:lang w:val="en-GB"/>
          <w14:ligatures w14:val="none"/>
        </w:rPr>
        <w:t>3</w:t>
      </w:r>
      <w:r w:rsidRPr="00B50126">
        <w:rPr>
          <w:rFonts w:ascii="Times New Roman" w:eastAsia="Times New Roman" w:hAnsi="Times New Roman" w:cs="Times New Roman"/>
          <w:kern w:val="0"/>
          <w:sz w:val="24"/>
          <w:szCs w:val="24"/>
          <w:lang w:val="uk-UA"/>
          <w14:ligatures w14:val="none"/>
        </w:rPr>
        <w:t>3</w:t>
      </w:r>
      <w:r w:rsidR="0077770F" w:rsidRPr="00B50126">
        <w:rPr>
          <w:rFonts w:ascii="Times New Roman" w:eastAsia="Times New Roman" w:hAnsi="Times New Roman" w:cs="Times New Roman"/>
          <w:kern w:val="0"/>
          <w:sz w:val="24"/>
          <w:szCs w:val="24"/>
          <w:lang w:val="uk-UA"/>
          <w14:ligatures w14:val="none"/>
        </w:rPr>
        <w:t>0</w:t>
      </w:r>
      <w:r w:rsidRPr="00B50126">
        <w:rPr>
          <w:rFonts w:ascii="Times New Roman" w:eastAsia="Times New Roman" w:hAnsi="Times New Roman" w:cs="Times New Roman"/>
          <w:kern w:val="0"/>
          <w:sz w:val="24"/>
          <w:szCs w:val="24"/>
          <w:lang w:val="en-GB"/>
          <w14:ligatures w14:val="none"/>
        </w:rPr>
        <w:t> p.</w:t>
      </w:r>
    </w:p>
    <w:p w14:paraId="26FFBFA4" w14:textId="3012C1BF"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3"/>
          <w:szCs w:val="23"/>
          <w:lang w:val="en-GB" w:eastAsia="ru-RU"/>
          <w14:ligatures w14:val="none"/>
        </w:rPr>
      </w:pPr>
      <w:r w:rsidRPr="00B44B71">
        <w:rPr>
          <w:rFonts w:ascii="Times New Roman" w:eastAsia="Times New Roman" w:hAnsi="Times New Roman" w:cs="Times New Roman"/>
          <w:kern w:val="0"/>
          <w:sz w:val="23"/>
          <w:szCs w:val="23"/>
          <w:lang w:val="en-GB" w:eastAsia="ru-RU"/>
          <w14:ligatures w14:val="none"/>
        </w:rPr>
        <w:t>The collection is included in the List of scientific professional publications of Ukraine in Pedagogy (category «B», Order of the Ministry of Education and Science of Ukraine dated June 02, 2020 886);</w:t>
      </w:r>
    </w:p>
    <w:p w14:paraId="3C67B29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3"/>
          <w:szCs w:val="23"/>
          <w:lang w:val="en-GB" w:eastAsia="ru-RU"/>
          <w14:ligatures w14:val="none"/>
        </w:rPr>
      </w:pPr>
      <w:r w:rsidRPr="00B44B71">
        <w:rPr>
          <w:rFonts w:ascii="Times New Roman" w:eastAsia="Times New Roman" w:hAnsi="Times New Roman" w:cs="Times New Roman"/>
          <w:kern w:val="0"/>
          <w:sz w:val="23"/>
          <w:szCs w:val="23"/>
          <w:lang w:val="en-GB" w:eastAsia="ru-RU"/>
          <w14:ligatures w14:val="none"/>
        </w:rPr>
        <w:t>included in the Register of media entities by the decision of the National Council of Ukraine on Television and Radio Broadcasting of 31.10.2023</w:t>
      </w:r>
      <w:r w:rsidRPr="00B44B71">
        <w:rPr>
          <w:rFonts w:ascii="Times New Roman" w:eastAsia="Times New Roman" w:hAnsi="Times New Roman" w:cs="Times New Roman"/>
          <w:kern w:val="0"/>
          <w:sz w:val="23"/>
          <w:szCs w:val="23"/>
          <w:lang w:val="uk-UA" w:eastAsia="ru-RU"/>
          <w14:ligatures w14:val="none"/>
        </w:rPr>
        <w:t xml:space="preserve"> № </w:t>
      </w:r>
      <w:r w:rsidRPr="00B44B71">
        <w:rPr>
          <w:rFonts w:ascii="Times New Roman" w:eastAsia="Times New Roman" w:hAnsi="Times New Roman" w:cs="Times New Roman"/>
          <w:kern w:val="0"/>
          <w:sz w:val="23"/>
          <w:szCs w:val="23"/>
          <w:lang w:val="en-GB" w:eastAsia="ru-RU"/>
          <w14:ligatures w14:val="none"/>
        </w:rPr>
        <w:t>1214 and assigned media identifier R30-01596.</w:t>
      </w:r>
    </w:p>
    <w:p w14:paraId="713B5E03"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3"/>
          <w:szCs w:val="23"/>
          <w:lang w:val="en-GB" w:eastAsia="ru-RU"/>
          <w14:ligatures w14:val="none"/>
        </w:rPr>
      </w:pPr>
      <w:r w:rsidRPr="00B44B71">
        <w:rPr>
          <w:rFonts w:ascii="Times New Roman" w:eastAsia="Times New Roman" w:hAnsi="Times New Roman" w:cs="Times New Roman"/>
          <w:kern w:val="0"/>
          <w:sz w:val="24"/>
          <w:szCs w:val="24"/>
          <w:lang w:val="en-GB"/>
          <w14:ligatures w14:val="none"/>
        </w:rPr>
        <w:t>The Collection of scientific papers is intended for commanding staff, scientific and pedagogical staff, post</w:t>
      </w:r>
      <w:r w:rsidRPr="00B44B71">
        <w:rPr>
          <w:rFonts w:ascii="Times New Roman" w:eastAsia="Times New Roman" w:hAnsi="Times New Roman" w:cs="Times New Roman"/>
          <w:bCs/>
          <w:kern w:val="0"/>
          <w:sz w:val="24"/>
          <w:szCs w:val="24"/>
          <w:lang w:val="en-GB"/>
          <w14:ligatures w14:val="none"/>
        </w:rPr>
        <w:t xml:space="preserve">doctoral and postgraduate students </w:t>
      </w:r>
      <w:r w:rsidRPr="00B44B71">
        <w:rPr>
          <w:rFonts w:ascii="Times New Roman" w:eastAsia="Times New Roman" w:hAnsi="Times New Roman" w:cs="Times New Roman"/>
          <w:kern w:val="0"/>
          <w:sz w:val="24"/>
          <w:szCs w:val="24"/>
          <w:lang w:val="en-GB"/>
          <w14:ligatures w14:val="none"/>
        </w:rPr>
        <w:t>of higher educational institutes and scientific institutions of military education system.</w:t>
      </w:r>
    </w:p>
    <w:p w14:paraId="0D928F68" w14:textId="53D49A4B" w:rsidR="00B44B71" w:rsidRPr="00B44B71" w:rsidRDefault="00B44B71" w:rsidP="0002329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1F1F1F"/>
          <w:kern w:val="0"/>
          <w:sz w:val="24"/>
          <w:szCs w:val="24"/>
          <w:lang w:val="uk-UA" w:eastAsia="uk-UA"/>
          <w14:ligatures w14:val="none"/>
        </w:rPr>
      </w:pPr>
      <w:r w:rsidRPr="00B44B71">
        <w:rPr>
          <w:rFonts w:ascii="Times New Roman" w:eastAsia="Times New Roman" w:hAnsi="Times New Roman" w:cs="Times New Roman"/>
          <w:color w:val="1F1F1F"/>
          <w:kern w:val="0"/>
          <w:sz w:val="24"/>
          <w:szCs w:val="24"/>
          <w:lang w:val="en" w:eastAsia="uk-UA"/>
          <w14:ligatures w14:val="none"/>
        </w:rPr>
        <w:t>Recommended for printing and distribution via the Internet by the Editorial Board of the profess</w:t>
      </w:r>
      <w:r w:rsidR="007B09E7">
        <w:rPr>
          <w:rFonts w:ascii="Times New Roman" w:eastAsia="Times New Roman" w:hAnsi="Times New Roman" w:cs="Times New Roman"/>
          <w:color w:val="1F1F1F"/>
          <w:kern w:val="0"/>
          <w:sz w:val="24"/>
          <w:szCs w:val="24"/>
          <w:lang w:val="en" w:eastAsia="uk-UA"/>
          <w14:ligatures w14:val="none"/>
        </w:rPr>
        <w:t>ional scientific publication - Collection of S</w:t>
      </w:r>
      <w:r w:rsidRPr="00B44B71">
        <w:rPr>
          <w:rFonts w:ascii="Times New Roman" w:eastAsia="Times New Roman" w:hAnsi="Times New Roman" w:cs="Times New Roman"/>
          <w:color w:val="1F1F1F"/>
          <w:kern w:val="0"/>
          <w:sz w:val="24"/>
          <w:szCs w:val="24"/>
          <w:lang w:val="en" w:eastAsia="uk-UA"/>
          <w14:ligatures w14:val="none"/>
        </w:rPr>
        <w:t xml:space="preserve">cientific </w:t>
      </w:r>
      <w:r w:rsidR="007B09E7">
        <w:rPr>
          <w:rFonts w:ascii="Times New Roman" w:eastAsia="Times New Roman" w:hAnsi="Times New Roman" w:cs="Times New Roman"/>
          <w:color w:val="1F1F1F"/>
          <w:kern w:val="0"/>
          <w:sz w:val="24"/>
          <w:szCs w:val="24"/>
          <w:lang w:val="en" w:eastAsia="uk-UA"/>
          <w14:ligatures w14:val="none"/>
        </w:rPr>
        <w:t>papers</w:t>
      </w:r>
      <w:r w:rsidRPr="00B44B71">
        <w:rPr>
          <w:rFonts w:ascii="Times New Roman" w:eastAsia="Times New Roman" w:hAnsi="Times New Roman" w:cs="Times New Roman"/>
          <w:color w:val="1F1F1F"/>
          <w:kern w:val="0"/>
          <w:sz w:val="24"/>
          <w:szCs w:val="24"/>
          <w:lang w:val="en" w:eastAsia="uk-UA"/>
          <w14:ligatures w14:val="none"/>
        </w:rPr>
        <w:t xml:space="preserve"> "Military E</w:t>
      </w:r>
      <w:r w:rsidR="007B09E7">
        <w:rPr>
          <w:rFonts w:ascii="Times New Roman" w:eastAsia="Times New Roman" w:hAnsi="Times New Roman" w:cs="Times New Roman"/>
          <w:color w:val="1F1F1F"/>
          <w:kern w:val="0"/>
          <w:sz w:val="24"/>
          <w:szCs w:val="24"/>
          <w:lang w:val="en" w:eastAsia="uk-UA"/>
          <w14:ligatures w14:val="none"/>
        </w:rPr>
        <w:t>ducation" of the National Defenc</w:t>
      </w:r>
      <w:r w:rsidRPr="00B44B71">
        <w:rPr>
          <w:rFonts w:ascii="Times New Roman" w:eastAsia="Times New Roman" w:hAnsi="Times New Roman" w:cs="Times New Roman"/>
          <w:color w:val="1F1F1F"/>
          <w:kern w:val="0"/>
          <w:sz w:val="24"/>
          <w:szCs w:val="24"/>
          <w:lang w:val="en" w:eastAsia="uk-UA"/>
          <w14:ligatures w14:val="none"/>
        </w:rPr>
        <w:t xml:space="preserve">e University of Ukraine, Kyiv (protocol </w:t>
      </w:r>
      <w:r w:rsidR="00A01F14" w:rsidRPr="00B44B71">
        <w:rPr>
          <w:rFonts w:ascii="Times New Roman" w:eastAsia="Times New Roman" w:hAnsi="Times New Roman" w:cs="Times New Roman"/>
          <w:kern w:val="0"/>
          <w:sz w:val="25"/>
          <w:szCs w:val="25"/>
          <w:lang w:val="uk-UA" w:eastAsia="ru-RU"/>
          <w14:ligatures w14:val="none"/>
        </w:rPr>
        <w:t>№</w:t>
      </w:r>
      <w:r w:rsidRPr="00B44B71">
        <w:rPr>
          <w:rFonts w:ascii="Times New Roman" w:eastAsia="Times New Roman" w:hAnsi="Times New Roman" w:cs="Times New Roman"/>
          <w:color w:val="1F1F1F"/>
          <w:kern w:val="0"/>
          <w:sz w:val="24"/>
          <w:szCs w:val="24"/>
          <w:lang w:val="en" w:eastAsia="uk-UA"/>
          <w14:ligatures w14:val="none"/>
        </w:rPr>
        <w:t xml:space="preserve"> 7 dated May 2</w:t>
      </w:r>
      <w:r w:rsidRPr="00B44B71">
        <w:rPr>
          <w:rFonts w:ascii="Times New Roman" w:eastAsia="Times New Roman" w:hAnsi="Times New Roman" w:cs="Times New Roman"/>
          <w:color w:val="1F1F1F"/>
          <w:kern w:val="0"/>
          <w:sz w:val="24"/>
          <w:szCs w:val="24"/>
          <w:lang w:val="uk-UA" w:eastAsia="uk-UA"/>
          <w14:ligatures w14:val="none"/>
        </w:rPr>
        <w:t>2</w:t>
      </w:r>
      <w:r w:rsidRPr="00B44B71">
        <w:rPr>
          <w:rFonts w:ascii="Times New Roman" w:eastAsia="Times New Roman" w:hAnsi="Times New Roman" w:cs="Times New Roman"/>
          <w:color w:val="1F1F1F"/>
          <w:kern w:val="0"/>
          <w:sz w:val="24"/>
          <w:szCs w:val="24"/>
          <w:lang w:val="en" w:eastAsia="uk-UA"/>
          <w14:ligatures w14:val="none"/>
        </w:rPr>
        <w:t>, 2026).</w:t>
      </w:r>
    </w:p>
    <w:p w14:paraId="4A943510" w14:textId="77777777" w:rsidR="00B44B71" w:rsidRPr="00B44B71" w:rsidRDefault="00B44B71" w:rsidP="0002329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1F1F1F"/>
          <w:kern w:val="0"/>
          <w:sz w:val="24"/>
          <w:szCs w:val="24"/>
          <w:lang w:val="uk-UA" w:eastAsia="uk-UA"/>
          <w14:ligatures w14:val="none"/>
        </w:rPr>
      </w:pPr>
    </w:p>
    <w:p w14:paraId="32C48E11" w14:textId="77777777" w:rsidR="00B44B71" w:rsidRPr="00B44B71" w:rsidRDefault="00B44B71" w:rsidP="00023291">
      <w:pPr>
        <w:shd w:val="clear" w:color="auto" w:fill="FFFFFF"/>
        <w:tabs>
          <w:tab w:val="left" w:pos="9638"/>
        </w:tabs>
        <w:spacing w:after="0" w:line="240" w:lineRule="auto"/>
        <w:ind w:firstLine="709"/>
        <w:outlineLvl w:val="3"/>
        <w:rPr>
          <w:rFonts w:ascii="Times New Roman" w:eastAsia="Times New Roman" w:hAnsi="Times New Roman" w:cs="Times New Roman"/>
          <w:bCs/>
          <w:kern w:val="0"/>
          <w:sz w:val="24"/>
          <w:szCs w:val="24"/>
          <w:lang w:eastAsia="ru-RU"/>
          <w14:ligatures w14:val="none"/>
        </w:rPr>
      </w:pPr>
      <w:r w:rsidRPr="00B44B71">
        <w:rPr>
          <w:rFonts w:ascii="Times New Roman" w:eastAsia="Times New Roman" w:hAnsi="Times New Roman" w:cs="Times New Roman"/>
          <w:bCs/>
          <w:kern w:val="0"/>
          <w:sz w:val="24"/>
          <w:szCs w:val="24"/>
          <w:lang w:val="uk-UA" w:eastAsia="ru-RU"/>
          <w14:ligatures w14:val="none"/>
        </w:rPr>
        <w:t>EDITORIAL</w:t>
      </w:r>
      <w:r w:rsidRPr="00B44B71">
        <w:rPr>
          <w:rFonts w:ascii="Times New Roman" w:eastAsia="Times New Roman" w:hAnsi="Times New Roman" w:cs="Times New Roman"/>
          <w:bCs/>
          <w:kern w:val="0"/>
          <w:sz w:val="24"/>
          <w:szCs w:val="24"/>
          <w:lang w:eastAsia="ru-RU"/>
          <w14:ligatures w14:val="none"/>
        </w:rPr>
        <w:t xml:space="preserve"> TEAM</w:t>
      </w:r>
      <w:r w:rsidRPr="00B44B71">
        <w:rPr>
          <w:rFonts w:ascii="Times New Roman" w:eastAsia="Times New Roman" w:hAnsi="Times New Roman" w:cs="Times New Roman"/>
          <w:bCs/>
          <w:kern w:val="0"/>
          <w:sz w:val="24"/>
          <w:szCs w:val="24"/>
          <w:lang w:val="uk-UA" w:eastAsia="ru-RU"/>
          <w14:ligatures w14:val="none"/>
        </w:rPr>
        <w:t>:</w:t>
      </w:r>
    </w:p>
    <w:p w14:paraId="398AE131" w14:textId="77777777" w:rsidR="00B44B71" w:rsidRPr="00B44B71" w:rsidRDefault="00B44B71" w:rsidP="00023291">
      <w:pPr>
        <w:shd w:val="clear" w:color="auto" w:fill="FFFFFF"/>
        <w:tabs>
          <w:tab w:val="left" w:pos="9638"/>
        </w:tabs>
        <w:spacing w:after="0" w:line="240" w:lineRule="auto"/>
        <w:ind w:firstLine="709"/>
        <w:jc w:val="both"/>
        <w:outlineLvl w:val="3"/>
        <w:rPr>
          <w:rFonts w:ascii="Times New Roman" w:eastAsia="Times New Roman" w:hAnsi="Times New Roman" w:cs="Times New Roman"/>
          <w:b/>
          <w:bCs/>
          <w:kern w:val="0"/>
          <w:sz w:val="24"/>
          <w:szCs w:val="24"/>
          <w:lang w:val="uk-UA" w:eastAsia="ru-RU"/>
          <w14:ligatures w14:val="none"/>
        </w:rPr>
      </w:pPr>
      <w:r w:rsidRPr="00B44B71">
        <w:rPr>
          <w:rFonts w:ascii="Times New Roman" w:eastAsia="Times New Roman" w:hAnsi="Times New Roman" w:cs="Times New Roman"/>
          <w:b/>
          <w:bCs/>
          <w:kern w:val="0"/>
          <w:sz w:val="24"/>
          <w:szCs w:val="24"/>
          <w:lang w:eastAsia="ru-RU"/>
          <w14:ligatures w14:val="none"/>
        </w:rPr>
        <w:t>The Editor-in-Chief</w:t>
      </w:r>
    </w:p>
    <w:p w14:paraId="1FEDE56D" w14:textId="3E0F6942"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Rakhmanov V.O.</w:t>
      </w:r>
      <w:r w:rsidRPr="00B44B71">
        <w:rPr>
          <w:rFonts w:ascii="Times New Roman" w:eastAsia="Times New Roman" w:hAnsi="Times New Roman" w:cs="Times New Roman"/>
          <w:kern w:val="0"/>
          <w:sz w:val="24"/>
          <w:szCs w:val="24"/>
          <w:lang w:val="uk-UA" w:eastAsia="ru-RU"/>
          <w14:ligatures w14:val="none"/>
        </w:rPr>
        <w:t xml:space="preserve">, Dr. (Pedagogical Sciences), professor, </w:t>
      </w:r>
    </w:p>
    <w:p w14:paraId="23C47BDD" w14:textId="77777777" w:rsidR="00B44B71" w:rsidRPr="00B44B71" w:rsidRDefault="00B44B71" w:rsidP="00023291">
      <w:pPr>
        <w:shd w:val="clear" w:color="auto" w:fill="FFFFFF"/>
        <w:tabs>
          <w:tab w:val="left" w:pos="9638"/>
        </w:tabs>
        <w:spacing w:after="0" w:line="240" w:lineRule="auto"/>
        <w:ind w:firstLine="709"/>
        <w:jc w:val="both"/>
        <w:outlineLvl w:val="3"/>
        <w:rPr>
          <w:rFonts w:ascii="Times New Roman" w:eastAsia="Times New Roman" w:hAnsi="Times New Roman" w:cs="Times New Roman"/>
          <w:b/>
          <w:bCs/>
          <w:kern w:val="0"/>
          <w:sz w:val="24"/>
          <w:szCs w:val="24"/>
          <w:lang w:val="uk-UA" w:eastAsia="ru-RU"/>
          <w14:ligatures w14:val="none"/>
        </w:rPr>
      </w:pPr>
      <w:r w:rsidRPr="00B44B71">
        <w:rPr>
          <w:rFonts w:ascii="Times New Roman" w:eastAsia="Times New Roman" w:hAnsi="Times New Roman" w:cs="Times New Roman"/>
          <w:b/>
          <w:bCs/>
          <w:kern w:val="0"/>
          <w:sz w:val="24"/>
          <w:szCs w:val="24"/>
          <w:lang w:val="uk-UA" w:eastAsia="ru-RU"/>
          <w14:ligatures w14:val="none"/>
        </w:rPr>
        <w:t>Executive Secretary</w:t>
      </w:r>
    </w:p>
    <w:p w14:paraId="43D0A434"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eastAsia="ru-RU"/>
          <w14:ligatures w14:val="none"/>
        </w:rPr>
        <w:t>Nalyvaiko A.D.</w:t>
      </w:r>
      <w:r w:rsidRPr="00B44B71">
        <w:rPr>
          <w:rFonts w:ascii="Times New Roman" w:eastAsia="Times New Roman" w:hAnsi="Times New Roman" w:cs="Times New Roman"/>
          <w:kern w:val="0"/>
          <w:sz w:val="24"/>
          <w:szCs w:val="24"/>
          <w:lang w:val="uk-UA" w:eastAsia="ru-RU"/>
          <w14:ligatures w14:val="none"/>
        </w:rPr>
        <w:t xml:space="preserve"> (</w:t>
      </w:r>
      <w:r w:rsidRPr="00B44B71">
        <w:rPr>
          <w:rFonts w:ascii="Times New Roman" w:eastAsia="Times New Roman" w:hAnsi="Times New Roman" w:cs="Times New Roman"/>
          <w:kern w:val="0"/>
          <w:sz w:val="24"/>
          <w:szCs w:val="24"/>
          <w:lang w:eastAsia="ru-RU"/>
          <w14:ligatures w14:val="none"/>
        </w:rPr>
        <w:t>Technical</w:t>
      </w:r>
      <w:r w:rsidRPr="00B44B71">
        <w:rPr>
          <w:rFonts w:ascii="Times New Roman" w:eastAsia="Times New Roman" w:hAnsi="Times New Roman" w:cs="Times New Roman"/>
          <w:kern w:val="0"/>
          <w:sz w:val="24"/>
          <w:szCs w:val="24"/>
          <w:lang w:val="uk-UA" w:eastAsia="ru-RU"/>
          <w14:ligatures w14:val="none"/>
        </w:rPr>
        <w:t xml:space="preserve"> Sciences), associate professor</w:t>
      </w:r>
    </w:p>
    <w:p w14:paraId="36382D57" w14:textId="77777777" w:rsidR="00B44B71" w:rsidRPr="00B44B71" w:rsidRDefault="00B44B71" w:rsidP="00023291">
      <w:pPr>
        <w:shd w:val="clear" w:color="auto" w:fill="FFFFFF"/>
        <w:tabs>
          <w:tab w:val="left" w:pos="9638"/>
        </w:tabs>
        <w:spacing w:after="0" w:line="240" w:lineRule="auto"/>
        <w:ind w:firstLine="709"/>
        <w:jc w:val="both"/>
        <w:outlineLvl w:val="3"/>
        <w:rPr>
          <w:rFonts w:ascii="Times New Roman" w:eastAsia="Times New Roman" w:hAnsi="Times New Roman" w:cs="Times New Roman"/>
          <w:b/>
          <w:bCs/>
          <w:kern w:val="0"/>
          <w:sz w:val="24"/>
          <w:szCs w:val="24"/>
          <w:lang w:val="uk-UA" w:eastAsia="ru-RU"/>
          <w14:ligatures w14:val="none"/>
        </w:rPr>
      </w:pPr>
      <w:r w:rsidRPr="00B44B71">
        <w:rPr>
          <w:rFonts w:ascii="Times New Roman" w:eastAsia="Times New Roman" w:hAnsi="Times New Roman" w:cs="Times New Roman"/>
          <w:b/>
          <w:bCs/>
          <w:kern w:val="0"/>
          <w:sz w:val="24"/>
          <w:szCs w:val="24"/>
          <w:lang w:val="uk-UA" w:eastAsia="ru-RU"/>
          <w14:ligatures w14:val="none"/>
        </w:rPr>
        <w:t xml:space="preserve">Editorial </w:t>
      </w:r>
      <w:r w:rsidRPr="002A5031">
        <w:rPr>
          <w:rFonts w:ascii="Times New Roman" w:eastAsia="Times New Roman" w:hAnsi="Times New Roman" w:cs="Times New Roman"/>
          <w:b/>
          <w:bCs/>
          <w:kern w:val="0"/>
          <w:sz w:val="24"/>
          <w:szCs w:val="24"/>
          <w:lang w:val="uk-UA" w:eastAsia="ru-RU"/>
          <w14:ligatures w14:val="none"/>
        </w:rPr>
        <w:t>board</w:t>
      </w:r>
      <w:r w:rsidRPr="002A5031">
        <w:rPr>
          <w:rFonts w:ascii="Times New Roman" w:eastAsia="Times New Roman" w:hAnsi="Times New Roman" w:cs="Times New Roman"/>
          <w:b/>
          <w:bCs/>
          <w:kern w:val="0"/>
          <w:sz w:val="24"/>
          <w:szCs w:val="24"/>
          <w:lang w:eastAsia="ru-RU"/>
          <w14:ligatures w14:val="none"/>
        </w:rPr>
        <w:t xml:space="preserve"> members</w:t>
      </w:r>
      <w:r w:rsidRPr="002A5031">
        <w:rPr>
          <w:rFonts w:ascii="Times New Roman" w:eastAsia="Times New Roman" w:hAnsi="Times New Roman" w:cs="Times New Roman"/>
          <w:b/>
          <w:bCs/>
          <w:kern w:val="0"/>
          <w:sz w:val="24"/>
          <w:szCs w:val="24"/>
          <w:lang w:val="uk-UA" w:eastAsia="ru-RU"/>
          <w14:ligatures w14:val="none"/>
        </w:rPr>
        <w:t>:</w:t>
      </w:r>
    </w:p>
    <w:p w14:paraId="24304344"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Abbasov Akif Nuraga oglu,</w:t>
      </w:r>
      <w:r w:rsidRPr="00B44B71">
        <w:rPr>
          <w:rFonts w:ascii="Times New Roman" w:eastAsia="Times New Roman" w:hAnsi="Times New Roman" w:cs="Times New Roman"/>
          <w:b/>
          <w:bCs/>
          <w:i/>
          <w:iCs/>
          <w:kern w:val="0"/>
          <w:sz w:val="24"/>
          <w:szCs w:val="24"/>
          <w:lang w:val="uk-UA" w:eastAsia="ru-RU"/>
          <w14:ligatures w14:val="none"/>
        </w:rPr>
        <w:t> </w:t>
      </w:r>
      <w:r w:rsidRPr="00B44B71">
        <w:rPr>
          <w:rFonts w:ascii="Times New Roman" w:eastAsia="Times New Roman" w:hAnsi="Times New Roman" w:cs="Times New Roman"/>
          <w:kern w:val="0"/>
          <w:sz w:val="24"/>
          <w:szCs w:val="24"/>
          <w:lang w:val="uk-UA" w:eastAsia="ru-RU"/>
          <w14:ligatures w14:val="none"/>
        </w:rPr>
        <w:t>Dr. (Pedagogical Sciences), professor (Azerbaijanian Republic);</w:t>
      </w:r>
    </w:p>
    <w:p w14:paraId="6A914751"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Artemov V.Y.,</w:t>
      </w:r>
      <w:r w:rsidRPr="00B44B71">
        <w:rPr>
          <w:rFonts w:ascii="Times New Roman" w:eastAsia="Times New Roman" w:hAnsi="Times New Roman" w:cs="Times New Roman"/>
          <w:b/>
          <w:bCs/>
          <w:i/>
          <w:iCs/>
          <w:kern w:val="0"/>
          <w:sz w:val="24"/>
          <w:szCs w:val="24"/>
          <w:lang w:val="uk-UA" w:eastAsia="ru-RU"/>
          <w14:ligatures w14:val="none"/>
        </w:rPr>
        <w:t> </w:t>
      </w:r>
      <w:r w:rsidRPr="00B44B71">
        <w:rPr>
          <w:rFonts w:ascii="Times New Roman" w:eastAsia="Times New Roman" w:hAnsi="Times New Roman" w:cs="Times New Roman"/>
          <w:kern w:val="0"/>
          <w:sz w:val="24"/>
          <w:szCs w:val="24"/>
          <w:lang w:val="uk-UA" w:eastAsia="ru-RU"/>
          <w14:ligatures w14:val="none"/>
        </w:rPr>
        <w:t>Dr. (Pedagogical Sciences), professor;</w:t>
      </w:r>
    </w:p>
    <w:p w14:paraId="181ABD37" w14:textId="1DBB7646" w:rsidR="004E1190" w:rsidRPr="00B44B71" w:rsidRDefault="00F06025" w:rsidP="00023291">
      <w:pPr>
        <w:widowControl w:val="0"/>
        <w:tabs>
          <w:tab w:val="left" w:pos="2410"/>
          <w:tab w:val="left" w:pos="9638"/>
        </w:tabs>
        <w:spacing w:after="0" w:line="240" w:lineRule="auto"/>
        <w:rPr>
          <w:rFonts w:ascii="Times New Roman" w:eastAsia="Times New Roman" w:hAnsi="Times New Roman" w:cs="Times New Roman"/>
          <w:kern w:val="0"/>
          <w:sz w:val="24"/>
          <w:szCs w:val="24"/>
          <w:lang w:val="uk-UA" w:eastAsia="ru-RU"/>
          <w14:ligatures w14:val="none"/>
        </w:rPr>
      </w:pPr>
      <w:r>
        <w:rPr>
          <w:rFonts w:ascii="Times New Roman" w:eastAsia="Times New Roman" w:hAnsi="Times New Roman" w:cs="Times New Roman"/>
          <w:b/>
          <w:bCs/>
          <w:spacing w:val="-4"/>
          <w:kern w:val="0"/>
          <w:sz w:val="24"/>
          <w:szCs w:val="24"/>
          <w:lang w:eastAsia="ru-RU"/>
          <w14:ligatures w14:val="none"/>
        </w:rPr>
        <w:t xml:space="preserve">            </w:t>
      </w:r>
      <w:r w:rsidR="00102DE8" w:rsidRPr="003B5892">
        <w:rPr>
          <w:rFonts w:ascii="Times New Roman" w:eastAsia="Times New Roman" w:hAnsi="Times New Roman" w:cs="Times New Roman"/>
          <w:b/>
          <w:bCs/>
          <w:spacing w:val="-4"/>
          <w:kern w:val="0"/>
          <w:sz w:val="24"/>
          <w:szCs w:val="24"/>
          <w:lang w:val="uk-UA" w:eastAsia="ru-RU"/>
          <w14:ligatures w14:val="none"/>
        </w:rPr>
        <w:t xml:space="preserve"> </w:t>
      </w:r>
      <w:r>
        <w:rPr>
          <w:rFonts w:ascii="Times New Roman" w:eastAsia="Times New Roman" w:hAnsi="Times New Roman" w:cs="Times New Roman"/>
          <w:b/>
          <w:bCs/>
          <w:i/>
          <w:spacing w:val="-4"/>
          <w:kern w:val="0"/>
          <w:sz w:val="24"/>
          <w:szCs w:val="24"/>
          <w:lang w:val="uk-UA" w:eastAsia="ru-RU"/>
          <w14:ligatures w14:val="none"/>
        </w:rPr>
        <w:t>Bondarenko</w:t>
      </w:r>
      <w:r w:rsidR="00102DE8" w:rsidRPr="00F06025">
        <w:rPr>
          <w:rFonts w:ascii="Times New Roman" w:eastAsia="Times New Roman" w:hAnsi="Times New Roman" w:cs="Times New Roman"/>
          <w:b/>
          <w:bCs/>
          <w:i/>
          <w:spacing w:val="-4"/>
          <w:kern w:val="0"/>
          <w:sz w:val="24"/>
          <w:szCs w:val="24"/>
          <w:lang w:val="uk-UA" w:eastAsia="ru-RU"/>
          <w14:ligatures w14:val="none"/>
        </w:rPr>
        <w:t xml:space="preserve"> </w:t>
      </w:r>
      <w:r w:rsidRPr="00F06025">
        <w:rPr>
          <w:rFonts w:ascii="Times New Roman" w:eastAsia="Times New Roman" w:hAnsi="Times New Roman" w:cs="Times New Roman"/>
          <w:b/>
          <w:bCs/>
          <w:i/>
          <w:spacing w:val="-4"/>
          <w:kern w:val="0"/>
          <w:sz w:val="24"/>
          <w:szCs w:val="24"/>
          <w:lang w:val="uk-UA" w:eastAsia="ru-RU"/>
          <w14:ligatures w14:val="none"/>
        </w:rPr>
        <w:t>S</w:t>
      </w:r>
      <w:r>
        <w:rPr>
          <w:rFonts w:ascii="Times New Roman" w:eastAsia="Times New Roman" w:hAnsi="Times New Roman" w:cs="Times New Roman"/>
          <w:b/>
          <w:bCs/>
          <w:i/>
          <w:spacing w:val="-4"/>
          <w:kern w:val="0"/>
          <w:sz w:val="24"/>
          <w:szCs w:val="24"/>
          <w:lang w:eastAsia="ru-RU"/>
          <w14:ligatures w14:val="none"/>
        </w:rPr>
        <w:t>.</w:t>
      </w:r>
      <w:r>
        <w:rPr>
          <w:rFonts w:ascii="Times New Roman" w:eastAsia="Times New Roman" w:hAnsi="Times New Roman" w:cs="Times New Roman"/>
          <w:b/>
          <w:bCs/>
          <w:i/>
          <w:spacing w:val="-4"/>
          <w:kern w:val="0"/>
          <w:sz w:val="24"/>
          <w:szCs w:val="24"/>
          <w:lang w:val="uk-UA" w:eastAsia="ru-RU"/>
          <w14:ligatures w14:val="none"/>
        </w:rPr>
        <w:t>А</w:t>
      </w:r>
      <w:r w:rsidRPr="00F06025">
        <w:rPr>
          <w:rFonts w:ascii="Times New Roman" w:eastAsia="Times New Roman" w:hAnsi="Times New Roman" w:cs="Times New Roman"/>
          <w:b/>
          <w:bCs/>
          <w:i/>
          <w:spacing w:val="-4"/>
          <w:kern w:val="0"/>
          <w:sz w:val="24"/>
          <w:szCs w:val="24"/>
          <w:lang w:val="uk-UA" w:eastAsia="ru-RU"/>
          <w14:ligatures w14:val="none"/>
        </w:rPr>
        <w:t xml:space="preserve">.   </w:t>
      </w:r>
      <w:r w:rsidRPr="00F06025">
        <w:rPr>
          <w:rFonts w:ascii="Times New Roman" w:eastAsia="Times New Roman" w:hAnsi="Times New Roman" w:cs="Times New Roman"/>
          <w:kern w:val="0"/>
          <w:sz w:val="24"/>
          <w:szCs w:val="24"/>
          <w:lang w:val="uk-UA" w:eastAsia="ru-RU"/>
          <w14:ligatures w14:val="none"/>
        </w:rPr>
        <w:t>Dr. (</w:t>
      </w:r>
      <w:r w:rsidR="00102DE8" w:rsidRPr="00F06025">
        <w:rPr>
          <w:rFonts w:ascii="Times New Roman" w:eastAsia="Times New Roman" w:hAnsi="Times New Roman" w:cs="Times New Roman"/>
          <w:spacing w:val="-4"/>
          <w:kern w:val="0"/>
          <w:sz w:val="24"/>
          <w:szCs w:val="24"/>
          <w:lang w:val="uk-UA" w:eastAsia="ru-RU"/>
          <w14:ligatures w14:val="none"/>
        </w:rPr>
        <w:t>Economic Sciences</w:t>
      </w:r>
      <w:r w:rsidRPr="00F06025">
        <w:rPr>
          <w:rFonts w:ascii="Times New Roman" w:eastAsia="Times New Roman" w:hAnsi="Times New Roman" w:cs="Times New Roman"/>
          <w:spacing w:val="-4"/>
          <w:kern w:val="0"/>
          <w:sz w:val="24"/>
          <w:szCs w:val="24"/>
          <w:lang w:val="uk-UA" w:eastAsia="ru-RU"/>
          <w14:ligatures w14:val="none"/>
        </w:rPr>
        <w:t>)</w:t>
      </w:r>
      <w:r w:rsidR="00102DE8" w:rsidRPr="00F06025">
        <w:rPr>
          <w:rFonts w:ascii="Times New Roman" w:eastAsia="Times New Roman" w:hAnsi="Times New Roman" w:cs="Times New Roman"/>
          <w:spacing w:val="-4"/>
          <w:kern w:val="0"/>
          <w:sz w:val="24"/>
          <w:szCs w:val="24"/>
          <w:lang w:val="uk-UA" w:eastAsia="ru-RU"/>
          <w14:ligatures w14:val="none"/>
        </w:rPr>
        <w:t xml:space="preserve">, </w:t>
      </w:r>
      <w:r w:rsidRPr="00F06025">
        <w:rPr>
          <w:rFonts w:ascii="Times New Roman" w:eastAsia="Times New Roman" w:hAnsi="Times New Roman" w:cs="Times New Roman"/>
          <w:spacing w:val="-4"/>
          <w:kern w:val="0"/>
          <w:sz w:val="24"/>
          <w:szCs w:val="24"/>
          <w:lang w:val="uk-UA" w:eastAsia="ru-RU"/>
          <w14:ligatures w14:val="none"/>
        </w:rPr>
        <w:t>p</w:t>
      </w:r>
      <w:r w:rsidR="00102DE8" w:rsidRPr="00F06025">
        <w:rPr>
          <w:rFonts w:ascii="Times New Roman" w:eastAsia="Times New Roman" w:hAnsi="Times New Roman" w:cs="Times New Roman"/>
          <w:spacing w:val="-4"/>
          <w:kern w:val="0"/>
          <w:sz w:val="24"/>
          <w:szCs w:val="24"/>
          <w:lang w:val="uk-UA" w:eastAsia="ru-RU"/>
          <w14:ligatures w14:val="none"/>
        </w:rPr>
        <w:t xml:space="preserve">rofessor </w:t>
      </w:r>
      <w:r w:rsidRPr="00F06025">
        <w:rPr>
          <w:rFonts w:ascii="Times New Roman" w:eastAsia="Times New Roman" w:hAnsi="Times New Roman" w:cs="Times New Roman"/>
          <w:spacing w:val="-4"/>
          <w:kern w:val="0"/>
          <w:sz w:val="24"/>
          <w:szCs w:val="24"/>
          <w:lang w:val="uk-UA" w:eastAsia="ru-RU"/>
          <w14:ligatures w14:val="none"/>
        </w:rPr>
        <w:t>;</w:t>
      </w:r>
    </w:p>
    <w:p w14:paraId="6269D06E" w14:textId="03D74A79" w:rsidR="00B44B71" w:rsidRPr="007B09E7"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b/>
          <w:bCs/>
          <w:i/>
          <w:kern w:val="0"/>
          <w:sz w:val="24"/>
          <w:szCs w:val="24"/>
          <w:lang w:eastAsia="ru-RU"/>
          <w14:ligatures w14:val="none"/>
        </w:rPr>
      </w:pPr>
      <w:r w:rsidRPr="00B44B71">
        <w:rPr>
          <w:rFonts w:ascii="Times New Roman" w:eastAsia="Times New Roman" w:hAnsi="Times New Roman" w:cs="Times New Roman"/>
          <w:b/>
          <w:bCs/>
          <w:i/>
          <w:kern w:val="0"/>
          <w:sz w:val="24"/>
          <w:szCs w:val="24"/>
          <w:lang w:val="uk-UA" w:eastAsia="ru-RU"/>
          <w14:ligatures w14:val="none"/>
        </w:rPr>
        <w:t>Kislenko D.P.,</w:t>
      </w:r>
      <w:r w:rsidRPr="00B44B71">
        <w:rPr>
          <w:rFonts w:ascii="Times New Roman" w:eastAsia="Times New Roman" w:hAnsi="Times New Roman" w:cs="Times New Roman"/>
          <w:b/>
          <w:bCs/>
          <w:i/>
          <w:iCs/>
          <w:kern w:val="0"/>
          <w:sz w:val="24"/>
          <w:szCs w:val="24"/>
          <w:lang w:val="uk-UA" w:eastAsia="ru-RU"/>
          <w14:ligatures w14:val="none"/>
        </w:rPr>
        <w:t> </w:t>
      </w:r>
      <w:r w:rsidRPr="00B44B71">
        <w:rPr>
          <w:rFonts w:ascii="Times New Roman" w:eastAsia="Times New Roman" w:hAnsi="Times New Roman" w:cs="Times New Roman"/>
          <w:kern w:val="0"/>
          <w:sz w:val="24"/>
          <w:szCs w:val="24"/>
          <w:lang w:val="uk-UA" w:eastAsia="ru-RU"/>
          <w14:ligatures w14:val="none"/>
        </w:rPr>
        <w:t>Dr. (Pedagogical Sciences), professor;</w:t>
      </w:r>
      <w:r w:rsidR="007B09E7">
        <w:rPr>
          <w:rFonts w:ascii="Times New Roman" w:eastAsia="Times New Roman" w:hAnsi="Times New Roman" w:cs="Times New Roman"/>
          <w:kern w:val="0"/>
          <w:sz w:val="24"/>
          <w:szCs w:val="24"/>
          <w:lang w:eastAsia="ru-RU"/>
          <w14:ligatures w14:val="none"/>
        </w:rPr>
        <w:t xml:space="preserve"> </w:t>
      </w:r>
    </w:p>
    <w:p w14:paraId="106DFC48"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Kokarieva A.M.,</w:t>
      </w:r>
      <w:r w:rsidRPr="00B44B71">
        <w:rPr>
          <w:rFonts w:ascii="Times New Roman" w:eastAsia="Times New Roman" w:hAnsi="Times New Roman" w:cs="Times New Roman"/>
          <w:kern w:val="0"/>
          <w:sz w:val="24"/>
          <w:szCs w:val="24"/>
          <w:lang w:val="uk-UA" w:eastAsia="ru-RU"/>
          <w14:ligatures w14:val="none"/>
        </w:rPr>
        <w:t xml:space="preserve"> (Pedagogical Sciences), professor;</w:t>
      </w:r>
    </w:p>
    <w:p w14:paraId="66741458"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Kovtun O.V.,</w:t>
      </w:r>
      <w:r w:rsidRPr="00B44B71">
        <w:rPr>
          <w:rFonts w:ascii="Times New Roman" w:eastAsia="Times New Roman" w:hAnsi="Times New Roman" w:cs="Times New Roman"/>
          <w:b/>
          <w:bCs/>
          <w:i/>
          <w:iCs/>
          <w:kern w:val="0"/>
          <w:sz w:val="24"/>
          <w:szCs w:val="24"/>
          <w:lang w:val="uk-UA" w:eastAsia="ru-RU"/>
          <w14:ligatures w14:val="none"/>
        </w:rPr>
        <w:t> </w:t>
      </w:r>
      <w:r w:rsidRPr="00B44B71">
        <w:rPr>
          <w:rFonts w:ascii="Times New Roman" w:eastAsia="Times New Roman" w:hAnsi="Times New Roman" w:cs="Times New Roman"/>
          <w:kern w:val="0"/>
          <w:sz w:val="24"/>
          <w:szCs w:val="24"/>
          <w:lang w:val="uk-UA" w:eastAsia="ru-RU"/>
          <w14:ligatures w14:val="none"/>
        </w:rPr>
        <w:t>Dr. (Pedagogical Sciences), professor;</w:t>
      </w:r>
    </w:p>
    <w:p w14:paraId="0E3D6B08"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Krykun V.D.</w:t>
      </w:r>
      <w:r w:rsidRPr="00B44B71">
        <w:rPr>
          <w:rFonts w:ascii="Times New Roman" w:eastAsia="Times New Roman" w:hAnsi="Times New Roman" w:cs="Times New Roman"/>
          <w:b/>
          <w:bCs/>
          <w:kern w:val="0"/>
          <w:sz w:val="24"/>
          <w:szCs w:val="24"/>
          <w:lang w:val="uk-UA" w:eastAsia="ru-RU"/>
          <w14:ligatures w14:val="none"/>
        </w:rPr>
        <w:t>,</w:t>
      </w:r>
      <w:r w:rsidRPr="00B44B71">
        <w:rPr>
          <w:rFonts w:ascii="Times New Roman" w:eastAsia="Times New Roman" w:hAnsi="Times New Roman" w:cs="Times New Roman"/>
          <w:kern w:val="0"/>
          <w:sz w:val="24"/>
          <w:szCs w:val="24"/>
          <w:lang w:val="uk-UA" w:eastAsia="ru-RU"/>
          <w14:ligatures w14:val="none"/>
        </w:rPr>
        <w:t> Candidate of Pedagogical Sciences, Seniour Researcher;</w:t>
      </w:r>
    </w:p>
    <w:p w14:paraId="653FDD6F"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Lahodynskyi O.S.,</w:t>
      </w:r>
      <w:r w:rsidRPr="00B44B71">
        <w:rPr>
          <w:rFonts w:ascii="Times New Roman" w:eastAsia="Times New Roman" w:hAnsi="Times New Roman" w:cs="Times New Roman"/>
          <w:b/>
          <w:bCs/>
          <w:i/>
          <w:iCs/>
          <w:kern w:val="0"/>
          <w:sz w:val="24"/>
          <w:szCs w:val="24"/>
          <w:lang w:val="uk-UA" w:eastAsia="ru-RU"/>
          <w14:ligatures w14:val="none"/>
        </w:rPr>
        <w:t> </w:t>
      </w:r>
      <w:r w:rsidRPr="00B44B71">
        <w:rPr>
          <w:rFonts w:ascii="Times New Roman" w:eastAsia="Times New Roman" w:hAnsi="Times New Roman" w:cs="Times New Roman"/>
          <w:kern w:val="0"/>
          <w:sz w:val="24"/>
          <w:szCs w:val="24"/>
          <w:lang w:val="uk-UA" w:eastAsia="ru-RU"/>
          <w14:ligatures w14:val="none"/>
        </w:rPr>
        <w:t>Dr. (Pedagogical Sciences), professor;</w:t>
      </w:r>
    </w:p>
    <w:p w14:paraId="5E1EC8C2"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Mamchenko S.M.,</w:t>
      </w:r>
      <w:r w:rsidRPr="00B44B71">
        <w:rPr>
          <w:rFonts w:ascii="Times New Roman" w:eastAsia="Times New Roman" w:hAnsi="Times New Roman" w:cs="Times New Roman"/>
          <w:kern w:val="0"/>
          <w:sz w:val="24"/>
          <w:szCs w:val="24"/>
          <w:lang w:val="uk-UA" w:eastAsia="ru-RU"/>
          <w14:ligatures w14:val="none"/>
        </w:rPr>
        <w:t> Dr. (Pedagogical Sciences), professor;</w:t>
      </w:r>
    </w:p>
    <w:p w14:paraId="5E08A7B8"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Murzalinova A.Zh.,</w:t>
      </w:r>
      <w:r w:rsidRPr="00B44B71">
        <w:rPr>
          <w:rFonts w:ascii="Times New Roman" w:eastAsia="Times New Roman" w:hAnsi="Times New Roman" w:cs="Times New Roman"/>
          <w:kern w:val="0"/>
          <w:sz w:val="24"/>
          <w:szCs w:val="24"/>
          <w:lang w:val="uk-UA" w:eastAsia="ru-RU"/>
          <w14:ligatures w14:val="none"/>
        </w:rPr>
        <w:t> Dr. (Pedagogical Sciences), professor (Republic Kazakhstan);</w:t>
      </w:r>
    </w:p>
    <w:p w14:paraId="0D17379B"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i/>
          <w:kern w:val="0"/>
          <w:sz w:val="24"/>
          <w:szCs w:val="24"/>
          <w:lang w:val="uk-UA" w:eastAsia="ru-RU"/>
          <w14:ligatures w14:val="none"/>
        </w:rPr>
        <w:t>Oliinyk L.V.,</w:t>
      </w:r>
      <w:r w:rsidRPr="00B44B71">
        <w:rPr>
          <w:rFonts w:ascii="Times New Roman" w:eastAsia="Times New Roman" w:hAnsi="Times New Roman" w:cs="Times New Roman"/>
          <w:kern w:val="0"/>
          <w:sz w:val="24"/>
          <w:szCs w:val="24"/>
          <w:lang w:val="uk-UA" w:eastAsia="ru-RU"/>
          <w14:ligatures w14:val="none"/>
        </w:rPr>
        <w:t>Dr. (Pedagogical Sciences), Scientific Researcher;</w:t>
      </w:r>
    </w:p>
    <w:p w14:paraId="4EBCEF27"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iCs/>
          <w:kern w:val="0"/>
          <w:sz w:val="24"/>
          <w:szCs w:val="24"/>
          <w:lang w:val="uk-UA" w:eastAsia="ru-RU"/>
          <w14:ligatures w14:val="none"/>
        </w:rPr>
        <w:t>Svystun V.I.</w:t>
      </w:r>
      <w:r w:rsidRPr="00B44B71">
        <w:rPr>
          <w:rFonts w:ascii="Times New Roman" w:eastAsia="Times New Roman" w:hAnsi="Times New Roman" w:cs="Times New Roman"/>
          <w:kern w:val="0"/>
          <w:sz w:val="24"/>
          <w:szCs w:val="24"/>
          <w:lang w:val="uk-UA" w:eastAsia="ru-RU"/>
          <w14:ligatures w14:val="none"/>
        </w:rPr>
        <w:t>, Dr. (Pedagogical Sciences), professor;</w:t>
      </w:r>
    </w:p>
    <w:p w14:paraId="412F8DB3"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Torichnyi O.V.</w:t>
      </w:r>
      <w:r w:rsidRPr="00B44B71">
        <w:rPr>
          <w:rFonts w:ascii="Times New Roman" w:eastAsia="Times New Roman" w:hAnsi="Times New Roman" w:cs="Times New Roman"/>
          <w:b/>
          <w:bCs/>
          <w:i/>
          <w:kern w:val="0"/>
          <w:sz w:val="24"/>
          <w:szCs w:val="24"/>
          <w:lang w:eastAsia="ru-RU"/>
          <w14:ligatures w14:val="none"/>
        </w:rPr>
        <w:t>,</w:t>
      </w:r>
      <w:r w:rsidRPr="00B44B71">
        <w:rPr>
          <w:rFonts w:ascii="Times New Roman" w:eastAsia="Times New Roman" w:hAnsi="Times New Roman" w:cs="Times New Roman"/>
          <w:kern w:val="0"/>
          <w:sz w:val="24"/>
          <w:szCs w:val="24"/>
          <w:lang w:val="uk-UA" w:eastAsia="ru-RU"/>
          <w14:ligatures w14:val="none"/>
        </w:rPr>
        <w:t> Dr. (Pedagogical Sciences), professor;</w:t>
      </w:r>
    </w:p>
    <w:p w14:paraId="585BE065"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Vitchenko A.O.,</w:t>
      </w:r>
      <w:r w:rsidRPr="00B44B71">
        <w:rPr>
          <w:rFonts w:ascii="Times New Roman" w:eastAsia="Times New Roman" w:hAnsi="Times New Roman" w:cs="Times New Roman"/>
          <w:kern w:val="0"/>
          <w:sz w:val="24"/>
          <w:szCs w:val="24"/>
          <w:lang w:val="uk-UA" w:eastAsia="ru-RU"/>
          <w14:ligatures w14:val="none"/>
        </w:rPr>
        <w:t> Dr. (Pedagogical Sciences), professor;</w:t>
      </w:r>
    </w:p>
    <w:p w14:paraId="57BC70C3"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Zelnytskyi A.M.,</w:t>
      </w:r>
      <w:r w:rsidRPr="00B44B71">
        <w:rPr>
          <w:rFonts w:ascii="Times New Roman" w:eastAsia="Times New Roman" w:hAnsi="Times New Roman" w:cs="Times New Roman"/>
          <w:b/>
          <w:bCs/>
          <w:i/>
          <w:iCs/>
          <w:kern w:val="0"/>
          <w:sz w:val="24"/>
          <w:szCs w:val="24"/>
          <w:lang w:val="uk-UA" w:eastAsia="ru-RU"/>
          <w14:ligatures w14:val="none"/>
        </w:rPr>
        <w:t> </w:t>
      </w:r>
      <w:r w:rsidRPr="00B44B71">
        <w:rPr>
          <w:rFonts w:ascii="Times New Roman" w:eastAsia="Times New Roman" w:hAnsi="Times New Roman" w:cs="Times New Roman"/>
          <w:kern w:val="0"/>
          <w:sz w:val="24"/>
          <w:szCs w:val="24"/>
          <w:lang w:val="uk-UA" w:eastAsia="ru-RU"/>
          <w14:ligatures w14:val="none"/>
        </w:rPr>
        <w:t>(Pedagogical Sciences), professor.</w:t>
      </w:r>
    </w:p>
    <w:p w14:paraId="733EBC28"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iCs/>
          <w:kern w:val="0"/>
          <w:sz w:val="24"/>
          <w:szCs w:val="24"/>
          <w:lang w:val="en-GB"/>
          <w14:ligatures w14:val="none"/>
        </w:rPr>
      </w:pPr>
      <w:r w:rsidRPr="00B44B71">
        <w:rPr>
          <w:rFonts w:ascii="Times New Roman" w:eastAsia="Times New Roman" w:hAnsi="Times New Roman" w:cs="Times New Roman"/>
          <w:iCs/>
          <w:kern w:val="0"/>
          <w:sz w:val="24"/>
          <w:szCs w:val="24"/>
          <w:lang w:val="en-GB"/>
          <w14:ligatures w14:val="none"/>
        </w:rPr>
        <w:t>All rights reserved.</w:t>
      </w:r>
    </w:p>
    <w:p w14:paraId="48C54A22"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3"/>
          <w:szCs w:val="23"/>
          <w:lang w:val="en-GB" w:eastAsia="ru-RU"/>
          <w14:ligatures w14:val="none"/>
        </w:rPr>
      </w:pPr>
      <w:r w:rsidRPr="00B44B71">
        <w:rPr>
          <w:rFonts w:ascii="Times New Roman" w:eastAsia="Times New Roman" w:hAnsi="Times New Roman" w:cs="Times New Roman"/>
          <w:kern w:val="0"/>
          <w:sz w:val="23"/>
          <w:szCs w:val="23"/>
          <w:lang w:val="en-GB" w:eastAsia="ru-RU"/>
          <w14:ligatures w14:val="none"/>
        </w:rPr>
        <w:t xml:space="preserve">In case of reprinting materials, a link to the collection is required. </w:t>
      </w:r>
    </w:p>
    <w:p w14:paraId="53B9E114"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3"/>
          <w:szCs w:val="23"/>
          <w:lang w:val="en-GB" w:eastAsia="ru-RU"/>
          <w14:ligatures w14:val="none"/>
        </w:rPr>
      </w:pPr>
      <w:r w:rsidRPr="00B44B71">
        <w:rPr>
          <w:rFonts w:ascii="Times New Roman" w:eastAsia="Times New Roman" w:hAnsi="Times New Roman" w:cs="Times New Roman"/>
          <w:kern w:val="0"/>
          <w:sz w:val="23"/>
          <w:szCs w:val="23"/>
          <w:lang w:val="en-GB" w:eastAsia="ru-RU"/>
          <w14:ligatures w14:val="none"/>
        </w:rPr>
        <w:t xml:space="preserve">Editorial address: National Defense University of Ukraine, 28, Air Force Avenue, Kyiv-49, 03049, Ukraine, tel.: (044) 271-09-76, E-mail: nuou_str@ukr.net, www.znp-vo.nuou.org.ua. </w:t>
      </w:r>
    </w:p>
    <w:p w14:paraId="1CFC973B" w14:textId="270EF4EF"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3"/>
          <w:szCs w:val="23"/>
          <w:lang w:val="en-GB" w:eastAsia="ru-RU"/>
          <w14:ligatures w14:val="none"/>
        </w:rPr>
      </w:pPr>
      <w:r w:rsidRPr="00B44B71">
        <w:rPr>
          <w:rFonts w:ascii="Times New Roman" w:eastAsia="Times New Roman" w:hAnsi="Times New Roman" w:cs="Times New Roman"/>
          <w:kern w:val="0"/>
          <w:sz w:val="24"/>
          <w:szCs w:val="24"/>
          <w:lang w:val="en-GB"/>
          <w14:ligatures w14:val="none"/>
        </w:rPr>
        <w:t xml:space="preserve">National issue. According to the Order of the Ministry of Education and Science of Ukraine issued on June 02, 2020, </w:t>
      </w:r>
      <w:r w:rsidRPr="00B44B71">
        <w:rPr>
          <w:rFonts w:ascii="Times New Roman" w:eastAsia="Times New Roman" w:hAnsi="Times New Roman" w:cs="Times New Roman"/>
          <w:kern w:val="0"/>
          <w:sz w:val="24"/>
          <w:szCs w:val="24"/>
          <w:lang w:val="uk-UA"/>
          <w14:ligatures w14:val="none"/>
        </w:rPr>
        <w:t xml:space="preserve">№ </w:t>
      </w:r>
      <w:r w:rsidR="007B09E7">
        <w:rPr>
          <w:rFonts w:ascii="Times New Roman" w:eastAsia="Times New Roman" w:hAnsi="Times New Roman" w:cs="Times New Roman"/>
          <w:kern w:val="0"/>
          <w:sz w:val="24"/>
          <w:szCs w:val="24"/>
          <w:lang w:val="en-GB"/>
          <w14:ligatures w14:val="none"/>
        </w:rPr>
        <w:t>886, the Collection of Scientific P</w:t>
      </w:r>
      <w:r w:rsidRPr="00B44B71">
        <w:rPr>
          <w:rFonts w:ascii="Times New Roman" w:eastAsia="Times New Roman" w:hAnsi="Times New Roman" w:cs="Times New Roman"/>
          <w:kern w:val="0"/>
          <w:sz w:val="24"/>
          <w:szCs w:val="24"/>
          <w:lang w:val="en-GB"/>
          <w14:ligatures w14:val="none"/>
        </w:rPr>
        <w:t>apers was included in the List of Scientific Professional Publications of Ukraine in Pedagogy.</w:t>
      </w:r>
    </w:p>
    <w:tbl>
      <w:tblPr>
        <w:tblW w:w="0" w:type="auto"/>
        <w:tblInd w:w="108" w:type="dxa"/>
        <w:tblLayout w:type="fixed"/>
        <w:tblLook w:val="0000" w:firstRow="0" w:lastRow="0" w:firstColumn="0" w:lastColumn="0" w:noHBand="0" w:noVBand="0"/>
      </w:tblPr>
      <w:tblGrid>
        <w:gridCol w:w="5143"/>
        <w:gridCol w:w="4324"/>
      </w:tblGrid>
      <w:tr w:rsidR="00B44B71" w:rsidRPr="00B44B71" w14:paraId="7365F477" w14:textId="77777777" w:rsidTr="00F918EC">
        <w:trPr>
          <w:trHeight w:val="546"/>
        </w:trPr>
        <w:tc>
          <w:tcPr>
            <w:tcW w:w="5143" w:type="dxa"/>
          </w:tcPr>
          <w:p w14:paraId="2142798B"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3"/>
                <w:szCs w:val="23"/>
                <w:lang w:val="uk-UA" w:eastAsia="ru-RU"/>
                <w14:ligatures w14:val="none"/>
              </w:rPr>
            </w:pPr>
          </w:p>
          <w:p w14:paraId="0E3D8B70"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3"/>
                <w:szCs w:val="23"/>
                <w:lang w:val="uk-UA" w:eastAsia="ru-RU"/>
                <w14:ligatures w14:val="none"/>
              </w:rPr>
            </w:pPr>
            <w:r w:rsidRPr="00B44B71">
              <w:rPr>
                <w:rFonts w:ascii="Times New Roman" w:eastAsia="Times New Roman" w:hAnsi="Times New Roman" w:cs="Times New Roman"/>
                <w:kern w:val="0"/>
                <w:sz w:val="23"/>
                <w:szCs w:val="23"/>
                <w:lang w:val="uk-UA" w:eastAsia="ru-RU"/>
                <w14:ligatures w14:val="none"/>
              </w:rPr>
              <w:t>ISSN: 2617-1775</w:t>
            </w:r>
          </w:p>
          <w:p w14:paraId="6A1AF52B"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23"/>
                <w:szCs w:val="23"/>
                <w:lang w:val="uk-UA" w:eastAsia="ru-RU"/>
                <w14:ligatures w14:val="none"/>
              </w:rPr>
            </w:pPr>
            <w:r w:rsidRPr="00B44B71">
              <w:rPr>
                <w:rFonts w:ascii="Times New Roman" w:eastAsia="Times New Roman" w:hAnsi="Times New Roman" w:cs="Times New Roman"/>
                <w:kern w:val="0"/>
                <w:sz w:val="23"/>
                <w:szCs w:val="23"/>
                <w:lang w:val="uk-UA" w:eastAsia="ru-RU"/>
                <w14:ligatures w14:val="none"/>
              </w:rPr>
              <w:t>ISSN: 2617-1783 (online)</w:t>
            </w:r>
          </w:p>
        </w:tc>
        <w:tc>
          <w:tcPr>
            <w:tcW w:w="4324" w:type="dxa"/>
          </w:tcPr>
          <w:p w14:paraId="273C5647"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3"/>
                <w:szCs w:val="23"/>
                <w:lang w:val="uk-UA"/>
                <w14:ligatures w14:val="none"/>
              </w:rPr>
            </w:pPr>
          </w:p>
          <w:p w14:paraId="50C6AB99" w14:textId="77777777" w:rsidR="00B44B71" w:rsidRPr="00B44B71" w:rsidRDefault="00B44B71" w:rsidP="00023291">
            <w:pPr>
              <w:tabs>
                <w:tab w:val="left" w:pos="9638"/>
              </w:tabs>
              <w:spacing w:after="0" w:line="240" w:lineRule="auto"/>
              <w:ind w:firstLine="142"/>
              <w:jc w:val="both"/>
              <w:rPr>
                <w:rFonts w:ascii="Times New Roman" w:eastAsia="Times New Roman" w:hAnsi="Times New Roman" w:cs="Times New Roman"/>
                <w:kern w:val="0"/>
                <w:sz w:val="23"/>
                <w:szCs w:val="23"/>
                <w:lang w:val="en-GB" w:eastAsia="ru-RU"/>
                <w14:ligatures w14:val="none"/>
              </w:rPr>
            </w:pPr>
            <w:r w:rsidRPr="00B44B71">
              <w:rPr>
                <w:rFonts w:ascii="Times New Roman" w:eastAsia="Times New Roman" w:hAnsi="Times New Roman" w:cs="Times New Roman"/>
                <w:kern w:val="0"/>
                <w:sz w:val="23"/>
                <w:szCs w:val="23"/>
                <w:lang w:val="en-GB"/>
                <w14:ligatures w14:val="none"/>
              </w:rPr>
              <w:t>©</w:t>
            </w:r>
            <w:hyperlink r:id="rId9" w:history="1">
              <w:r w:rsidRPr="00B44B71">
                <w:rPr>
                  <w:rFonts w:ascii="Times New Roman" w:eastAsia="Times New Roman" w:hAnsi="Times New Roman" w:cs="Times New Roman"/>
                  <w:kern w:val="0"/>
                  <w:sz w:val="23"/>
                  <w:szCs w:val="23"/>
                  <w:lang w:val="en-GB"/>
                  <w14:ligatures w14:val="none"/>
                </w:rPr>
                <w:t xml:space="preserve"> National Defence University of Ukraine</w:t>
              </w:r>
            </w:hyperlink>
          </w:p>
          <w:p w14:paraId="70B1E33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3"/>
                <w:szCs w:val="23"/>
                <w:lang w:val="uk-UA" w:eastAsia="ru-RU"/>
                <w14:ligatures w14:val="none"/>
              </w:rPr>
            </w:pPr>
            <w:r w:rsidRPr="00B44B71">
              <w:rPr>
                <w:rFonts w:ascii="Times New Roman" w:eastAsia="Times New Roman" w:hAnsi="Times New Roman" w:cs="Times New Roman"/>
                <w:kern w:val="0"/>
                <w:sz w:val="24"/>
                <w:szCs w:val="24"/>
                <w:lang w:val="en-GB" w:eastAsia="ru-RU"/>
                <w14:ligatures w14:val="none"/>
              </w:rPr>
              <w:t>Kyiv</w:t>
            </w:r>
            <w:r w:rsidRPr="00B44B71">
              <w:rPr>
                <w:rFonts w:ascii="Times New Roman" w:eastAsia="Times New Roman" w:hAnsi="Times New Roman" w:cs="Times New Roman"/>
                <w:kern w:val="0"/>
                <w:sz w:val="23"/>
                <w:szCs w:val="23"/>
                <w:lang w:val="en-GB" w:eastAsia="ru-RU"/>
                <w14:ligatures w14:val="none"/>
              </w:rPr>
              <w:t>, 202</w:t>
            </w:r>
            <w:r w:rsidRPr="00B44B71">
              <w:rPr>
                <w:rFonts w:ascii="Times New Roman" w:eastAsia="Times New Roman" w:hAnsi="Times New Roman" w:cs="Times New Roman"/>
                <w:kern w:val="0"/>
                <w:sz w:val="23"/>
                <w:szCs w:val="23"/>
                <w:lang w:val="uk-UA" w:eastAsia="ru-RU"/>
                <w14:ligatures w14:val="none"/>
              </w:rPr>
              <w:t>6</w:t>
            </w:r>
          </w:p>
        </w:tc>
      </w:tr>
    </w:tbl>
    <w:p w14:paraId="148EE28F" w14:textId="77777777" w:rsidR="00F06025" w:rsidRDefault="00B44B71"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r w:rsidRPr="00B44B71">
        <w:rPr>
          <w:rFonts w:ascii="Times New Roman" w:eastAsia="Times New Roman" w:hAnsi="Times New Roman" w:cs="Times New Roman"/>
          <w:b/>
          <w:kern w:val="0"/>
          <w:sz w:val="28"/>
          <w:szCs w:val="28"/>
          <w:lang w:val="uk-UA" w:eastAsia="ru-RU"/>
          <w14:ligatures w14:val="none"/>
        </w:rPr>
        <w:br w:type="column"/>
      </w:r>
    </w:p>
    <w:p w14:paraId="29606A73" w14:textId="4896331C"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r w:rsidRPr="00B44B71">
        <w:rPr>
          <w:rFonts w:ascii="Times New Roman" w:eastAsia="Times New Roman" w:hAnsi="Times New Roman" w:cs="Times New Roman"/>
          <w:b/>
          <w:kern w:val="0"/>
          <w:sz w:val="28"/>
          <w:szCs w:val="28"/>
          <w:lang w:val="uk-UA" w:eastAsia="ru-RU"/>
          <w14:ligatures w14:val="none"/>
        </w:rPr>
        <w:t>ЗМІСТ</w:t>
      </w:r>
    </w:p>
    <w:p w14:paraId="72E082EF"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tbl>
      <w:tblPr>
        <w:tblW w:w="99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22"/>
        <w:gridCol w:w="636"/>
      </w:tblGrid>
      <w:tr w:rsidR="00B44B71" w:rsidRPr="00B057B6" w14:paraId="5BFCE976" w14:textId="77777777" w:rsidTr="00B057B6">
        <w:trPr>
          <w:trHeight w:val="688"/>
        </w:trPr>
        <w:tc>
          <w:tcPr>
            <w:tcW w:w="9322" w:type="dxa"/>
            <w:vAlign w:val="bottom"/>
          </w:tcPr>
          <w:p w14:paraId="2A0BFDC4"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i/>
                <w:iCs/>
                <w:kern w:val="0"/>
                <w:sz w:val="28"/>
                <w:szCs w:val="28"/>
                <w:lang w:val="uk-UA"/>
                <w14:ligatures w14:val="none"/>
              </w:rPr>
            </w:pPr>
            <w:r w:rsidRPr="00B44B71">
              <w:rPr>
                <w:rFonts w:ascii="Times New Roman" w:eastAsia="Calibri" w:hAnsi="Times New Roman" w:cs="Times New Roman"/>
                <w:bCs/>
                <w:i/>
                <w:kern w:val="0"/>
                <w:sz w:val="28"/>
                <w:szCs w:val="28"/>
                <w:lang w:val="uk-UA"/>
                <w14:ligatures w14:val="none"/>
              </w:rPr>
              <w:t xml:space="preserve">Дмитро Герега, Володимир Коцюруба </w:t>
            </w:r>
            <w:r w:rsidRPr="00B44B71">
              <w:rPr>
                <w:rFonts w:ascii="Times New Roman" w:eastAsia="Calibri" w:hAnsi="Times New Roman" w:cs="Times New Roman"/>
                <w:bCs/>
                <w:kern w:val="0"/>
                <w:sz w:val="28"/>
                <w:szCs w:val="28"/>
                <w:lang w:val="uk-UA"/>
                <w14:ligatures w14:val="none"/>
              </w:rPr>
              <w:t>Тенденції розвитку військової освіти та підготовки Сил підтримки Збройних Сил України на основі історичного досвіду їх формування……………………………………………</w:t>
            </w:r>
          </w:p>
        </w:tc>
        <w:tc>
          <w:tcPr>
            <w:tcW w:w="636" w:type="dxa"/>
            <w:vAlign w:val="bottom"/>
          </w:tcPr>
          <w:p w14:paraId="29131442" w14:textId="4AC1D364" w:rsidR="00B44B71" w:rsidRPr="00B44B71" w:rsidRDefault="00B057B6" w:rsidP="00591195">
            <w:pPr>
              <w:tabs>
                <w:tab w:val="left" w:pos="9638"/>
              </w:tabs>
              <w:spacing w:after="0" w:line="240" w:lineRule="auto"/>
              <w:ind w:left="-110"/>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10</w:t>
            </w:r>
          </w:p>
        </w:tc>
      </w:tr>
      <w:tr w:rsidR="00BE1E2D" w:rsidRPr="00B057B6" w14:paraId="18A247D2" w14:textId="77777777" w:rsidTr="00B057B6">
        <w:trPr>
          <w:trHeight w:val="688"/>
        </w:trPr>
        <w:tc>
          <w:tcPr>
            <w:tcW w:w="9322" w:type="dxa"/>
            <w:vAlign w:val="bottom"/>
          </w:tcPr>
          <w:p w14:paraId="47B78537" w14:textId="524E960E" w:rsidR="00BE1E2D" w:rsidRPr="00B44B71" w:rsidRDefault="00BE1E2D" w:rsidP="00023291">
            <w:pPr>
              <w:widowControl w:val="0"/>
              <w:tabs>
                <w:tab w:val="left" w:pos="9638"/>
              </w:tabs>
              <w:spacing w:after="0" w:line="240" w:lineRule="auto"/>
              <w:rPr>
                <w:rFonts w:ascii="Times New Roman" w:eastAsia="Calibri" w:hAnsi="Times New Roman" w:cs="Times New Roman"/>
                <w:bCs/>
                <w:i/>
                <w:kern w:val="0"/>
                <w:sz w:val="28"/>
                <w:szCs w:val="28"/>
                <w:lang w:val="uk-UA"/>
                <w14:ligatures w14:val="none"/>
              </w:rPr>
            </w:pPr>
            <w:r w:rsidRPr="00BE1E2D">
              <w:rPr>
                <w:rFonts w:ascii="Times New Roman" w:eastAsia="Times New Roman" w:hAnsi="Times New Roman" w:cs="Times New Roman"/>
                <w:i/>
                <w:iCs/>
                <w:spacing w:val="-4"/>
                <w:kern w:val="0"/>
                <w:sz w:val="28"/>
                <w:szCs w:val="28"/>
                <w:lang w:val="uk-UA" w:eastAsia="ru-RU"/>
                <w14:ligatures w14:val="none"/>
              </w:rPr>
              <w:t>Вадим Машталір,</w:t>
            </w:r>
            <w:r>
              <w:rPr>
                <w:rFonts w:ascii="Times New Roman" w:eastAsia="Times New Roman" w:hAnsi="Times New Roman" w:cs="Times New Roman"/>
                <w:i/>
                <w:iCs/>
                <w:spacing w:val="-4"/>
                <w:kern w:val="0"/>
                <w:sz w:val="28"/>
                <w:szCs w:val="28"/>
                <w:lang w:val="uk-UA" w:eastAsia="ru-RU"/>
                <w14:ligatures w14:val="none"/>
              </w:rPr>
              <w:t xml:space="preserve"> </w:t>
            </w:r>
            <w:r w:rsidRPr="00BE1E2D">
              <w:rPr>
                <w:rFonts w:ascii="Times New Roman" w:eastAsia="Times New Roman" w:hAnsi="Times New Roman" w:cs="Times New Roman"/>
                <w:i/>
                <w:iCs/>
                <w:spacing w:val="-4"/>
                <w:kern w:val="0"/>
                <w:sz w:val="28"/>
                <w:szCs w:val="28"/>
                <w:lang w:val="uk-UA" w:eastAsia="ru-RU"/>
                <w14:ligatures w14:val="none"/>
              </w:rPr>
              <w:t>Андрій Гупало, Світлана Бондаренко</w:t>
            </w:r>
            <w:r>
              <w:rPr>
                <w:rFonts w:ascii="Times New Roman" w:eastAsia="Times New Roman" w:hAnsi="Times New Roman" w:cs="Times New Roman"/>
                <w:b/>
                <w:bCs/>
                <w:spacing w:val="-4"/>
                <w:kern w:val="0"/>
                <w:sz w:val="24"/>
                <w:szCs w:val="24"/>
                <w:lang w:val="uk-UA" w:eastAsia="ru-RU"/>
                <w14:ligatures w14:val="none"/>
              </w:rPr>
              <w:t xml:space="preserve">  </w:t>
            </w:r>
            <w:r w:rsidRPr="00BE1E2D">
              <w:rPr>
                <w:rFonts w:ascii="Times New Roman" w:eastAsia="Times New Roman" w:hAnsi="Times New Roman" w:cs="Times New Roman"/>
                <w:bCs/>
                <w:kern w:val="0"/>
                <w:sz w:val="28"/>
                <w:szCs w:val="28"/>
                <w:lang w:val="uk-UA" w:eastAsia="ru-RU"/>
                <w14:ligatures w14:val="none"/>
              </w:rPr>
              <w:t>Глобальні тенденції досліджень wargaming у військовій освіті: бібліометричний аналіз масивів Scopus та імплікації для України</w:t>
            </w:r>
            <w:r>
              <w:rPr>
                <w:rFonts w:ascii="Times New Roman" w:eastAsia="Times New Roman" w:hAnsi="Times New Roman" w:cs="Times New Roman"/>
                <w:bCs/>
                <w:kern w:val="0"/>
                <w:sz w:val="28"/>
                <w:szCs w:val="28"/>
                <w:lang w:val="uk-UA" w:eastAsia="ru-RU"/>
                <w14:ligatures w14:val="none"/>
              </w:rPr>
              <w:t>…………………………………………………</w:t>
            </w:r>
          </w:p>
        </w:tc>
        <w:tc>
          <w:tcPr>
            <w:tcW w:w="636" w:type="dxa"/>
            <w:vAlign w:val="bottom"/>
          </w:tcPr>
          <w:p w14:paraId="667E5C28" w14:textId="7997DF0F" w:rsidR="00BE1E2D" w:rsidRPr="00B44B71" w:rsidRDefault="004A444A" w:rsidP="00591195">
            <w:pPr>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29</w:t>
            </w:r>
          </w:p>
        </w:tc>
      </w:tr>
      <w:tr w:rsidR="00BE1E2D" w:rsidRPr="00B057B6" w14:paraId="6FBD0AB9" w14:textId="77777777" w:rsidTr="00B057B6">
        <w:trPr>
          <w:trHeight w:val="688"/>
        </w:trPr>
        <w:tc>
          <w:tcPr>
            <w:tcW w:w="9322" w:type="dxa"/>
            <w:vAlign w:val="bottom"/>
          </w:tcPr>
          <w:p w14:paraId="7CC632C8" w14:textId="71E3A0D8" w:rsidR="00BE1E2D" w:rsidRPr="003C3582" w:rsidRDefault="00CA51A0" w:rsidP="00023291">
            <w:pPr>
              <w:tabs>
                <w:tab w:val="left" w:pos="737"/>
                <w:tab w:val="left" w:pos="9638"/>
              </w:tabs>
              <w:spacing w:after="0" w:line="240" w:lineRule="auto"/>
              <w:ind w:left="28"/>
              <w:jc w:val="both"/>
              <w:rPr>
                <w:rFonts w:ascii="Times New Roman" w:eastAsia="Calibri" w:hAnsi="Times New Roman" w:cs="Times New Roman"/>
                <w:i/>
                <w:kern w:val="0"/>
                <w:sz w:val="28"/>
                <w:szCs w:val="28"/>
                <w:lang w:val="uk-UA"/>
                <w14:ligatures w14:val="none"/>
              </w:rPr>
            </w:pPr>
            <w:r w:rsidRPr="003C3582">
              <w:rPr>
                <w:rFonts w:ascii="Times New Roman" w:eastAsia="Times New Roman" w:hAnsi="Times New Roman" w:cs="Times New Roman"/>
                <w:i/>
                <w:iCs/>
                <w:color w:val="000000"/>
                <w:kern w:val="0"/>
                <w:sz w:val="28"/>
                <w:szCs w:val="28"/>
                <w:lang w:val="uk-UA" w:eastAsia="ru-RU"/>
                <w14:ligatures w14:val="none"/>
              </w:rPr>
              <w:t>Аркадій Атрохов,</w:t>
            </w:r>
            <w:r w:rsidR="003C3582">
              <w:rPr>
                <w:rFonts w:ascii="Times New Roman" w:eastAsia="Times New Roman" w:hAnsi="Times New Roman" w:cs="Times New Roman"/>
                <w:i/>
                <w:iCs/>
                <w:color w:val="000000"/>
                <w:kern w:val="0"/>
                <w:sz w:val="28"/>
                <w:szCs w:val="28"/>
                <w:lang w:val="uk-UA" w:eastAsia="ru-RU"/>
                <w14:ligatures w14:val="none"/>
              </w:rPr>
              <w:t xml:space="preserve"> </w:t>
            </w:r>
            <w:r w:rsidRPr="003C3582">
              <w:rPr>
                <w:rFonts w:ascii="Times New Roman" w:eastAsia="Times New Roman" w:hAnsi="Times New Roman" w:cs="Times New Roman"/>
                <w:i/>
                <w:iCs/>
                <w:color w:val="000000"/>
                <w:kern w:val="0"/>
                <w:sz w:val="28"/>
                <w:szCs w:val="28"/>
                <w:lang w:val="uk-UA"/>
                <w14:ligatures w14:val="none"/>
              </w:rPr>
              <w:t>Юрій Сокоринський,</w:t>
            </w:r>
            <w:r w:rsidR="003C3582">
              <w:rPr>
                <w:rFonts w:ascii="Times New Roman" w:eastAsia="Times New Roman" w:hAnsi="Times New Roman" w:cs="Times New Roman"/>
                <w:i/>
                <w:iCs/>
                <w:color w:val="000000"/>
                <w:kern w:val="0"/>
                <w:sz w:val="28"/>
                <w:szCs w:val="28"/>
                <w:lang w:val="uk-UA"/>
                <w14:ligatures w14:val="none"/>
              </w:rPr>
              <w:t xml:space="preserve"> </w:t>
            </w:r>
            <w:r w:rsidRPr="003C3582">
              <w:rPr>
                <w:rFonts w:ascii="Times New Roman" w:eastAsia="Times New Roman" w:hAnsi="Times New Roman" w:cs="Times New Roman"/>
                <w:i/>
                <w:iCs/>
                <w:color w:val="000000"/>
                <w:kern w:val="0"/>
                <w:sz w:val="28"/>
                <w:szCs w:val="28"/>
                <w:lang w:val="uk-UA" w:eastAsia="ru-RU"/>
                <w14:ligatures w14:val="none"/>
              </w:rPr>
              <w:t>Андрій Наливайко</w:t>
            </w:r>
            <w:r w:rsidR="003C3582">
              <w:rPr>
                <w:rFonts w:ascii="Times New Roman" w:eastAsia="Times New Roman" w:hAnsi="Times New Roman" w:cs="Times New Roman"/>
                <w:i/>
                <w:iCs/>
                <w:color w:val="000000"/>
                <w:kern w:val="0"/>
                <w:sz w:val="28"/>
                <w:szCs w:val="28"/>
                <w:lang w:val="uk-UA" w:eastAsia="ru-RU"/>
                <w14:ligatures w14:val="none"/>
              </w:rPr>
              <w:t xml:space="preserve"> </w:t>
            </w:r>
            <w:r w:rsidRPr="003C3582">
              <w:rPr>
                <w:rFonts w:ascii="Times New Roman" w:eastAsia="Times New Roman" w:hAnsi="Times New Roman" w:cs="Times New Roman"/>
                <w:kern w:val="0"/>
                <w:sz w:val="28"/>
                <w:szCs w:val="28"/>
                <w:lang w:val="uk-UA" w:eastAsia="x-none"/>
                <w14:ligatures w14:val="none"/>
              </w:rPr>
              <w:t>Шляхи  удосконалення відомчої та міжвідомчої взаємодії під час наукової і науково-технічної діяльності у системі Міністерства оборони України</w:t>
            </w:r>
            <w:r w:rsidR="003C3582">
              <w:rPr>
                <w:rFonts w:ascii="Times New Roman" w:eastAsia="Times New Roman" w:hAnsi="Times New Roman" w:cs="Times New Roman"/>
                <w:kern w:val="0"/>
                <w:sz w:val="28"/>
                <w:szCs w:val="28"/>
                <w:lang w:val="uk-UA" w:eastAsia="x-none"/>
                <w14:ligatures w14:val="none"/>
              </w:rPr>
              <w:t xml:space="preserve"> </w:t>
            </w:r>
          </w:p>
        </w:tc>
        <w:tc>
          <w:tcPr>
            <w:tcW w:w="636" w:type="dxa"/>
            <w:vAlign w:val="bottom"/>
          </w:tcPr>
          <w:p w14:paraId="5A970C3B" w14:textId="29D70A6B" w:rsidR="00BE1E2D" w:rsidRPr="003C3582" w:rsidRDefault="004A444A" w:rsidP="00591195">
            <w:pPr>
              <w:tabs>
                <w:tab w:val="left" w:pos="737"/>
                <w:tab w:val="left" w:pos="9638"/>
              </w:tabs>
              <w:spacing w:after="0" w:line="240" w:lineRule="auto"/>
              <w:ind w:left="28"/>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42</w:t>
            </w:r>
          </w:p>
        </w:tc>
      </w:tr>
      <w:tr w:rsidR="003C3582" w:rsidRPr="00B057B6" w14:paraId="70331551" w14:textId="77777777" w:rsidTr="00B057B6">
        <w:trPr>
          <w:trHeight w:val="688"/>
        </w:trPr>
        <w:tc>
          <w:tcPr>
            <w:tcW w:w="9322" w:type="dxa"/>
            <w:vAlign w:val="bottom"/>
          </w:tcPr>
          <w:p w14:paraId="406F3EB8" w14:textId="19FC34C4" w:rsidR="003C3582" w:rsidRPr="003C3582" w:rsidRDefault="003C3582" w:rsidP="00023291">
            <w:pPr>
              <w:tabs>
                <w:tab w:val="left" w:pos="737"/>
                <w:tab w:val="left" w:pos="9638"/>
              </w:tabs>
              <w:spacing w:after="0" w:line="240" w:lineRule="auto"/>
              <w:ind w:left="28"/>
              <w:jc w:val="both"/>
              <w:rPr>
                <w:rFonts w:ascii="Times New Roman" w:eastAsia="Times New Roman" w:hAnsi="Times New Roman" w:cs="Times New Roman"/>
                <w:i/>
                <w:iCs/>
                <w:color w:val="000000"/>
                <w:kern w:val="0"/>
                <w:sz w:val="28"/>
                <w:szCs w:val="28"/>
                <w:lang w:val="uk-UA" w:eastAsia="ru-RU"/>
                <w14:ligatures w14:val="none"/>
              </w:rPr>
            </w:pPr>
            <w:r w:rsidRPr="00B44B71">
              <w:rPr>
                <w:rFonts w:ascii="Times New Roman" w:eastAsia="Times New Roman" w:hAnsi="Times New Roman" w:cs="Times New Roman"/>
                <w:i/>
                <w:iCs/>
                <w:kern w:val="0"/>
                <w:sz w:val="28"/>
                <w:szCs w:val="28"/>
                <w:lang w:val="uk-UA"/>
                <w14:ligatures w14:val="none"/>
              </w:rPr>
              <w:t xml:space="preserve">Андрій Вітченко </w:t>
            </w:r>
            <w:r w:rsidRPr="00B44B71">
              <w:rPr>
                <w:rFonts w:ascii="Times New Roman" w:eastAsia="Times New Roman" w:hAnsi="Times New Roman" w:cs="Times New Roman"/>
                <w:bCs/>
                <w:kern w:val="0"/>
                <w:sz w:val="28"/>
                <w:szCs w:val="28"/>
                <w:lang w:val="uk-UA"/>
                <w14:ligatures w14:val="none"/>
              </w:rPr>
              <w:t>Академічна доброчесність у вищій військовій школі – розвивати чи виховувати?.............................................</w:t>
            </w:r>
            <w:r w:rsidRPr="00B44B71">
              <w:rPr>
                <w:rFonts w:ascii="Times New Roman" w:eastAsia="Times New Roman" w:hAnsi="Times New Roman" w:cs="Times New Roman"/>
                <w:color w:val="000000"/>
                <w:kern w:val="0"/>
                <w:sz w:val="28"/>
                <w:szCs w:val="28"/>
                <w:shd w:val="clear" w:color="auto" w:fill="FFFFFF"/>
                <w:lang w:val="uk-UA"/>
                <w14:ligatures w14:val="none"/>
              </w:rPr>
              <w:t>………………………</w:t>
            </w:r>
            <w:r w:rsidRPr="00B44B71">
              <w:rPr>
                <w:rFonts w:ascii="Times New Roman" w:eastAsia="Times New Roman" w:hAnsi="Times New Roman" w:cs="Times New Roman"/>
                <w:kern w:val="0"/>
                <w:sz w:val="28"/>
                <w:szCs w:val="28"/>
                <w:lang w:val="uk-UA" w:eastAsia="ru-RU"/>
                <w14:ligatures w14:val="none"/>
              </w:rPr>
              <w:t>…</w:t>
            </w:r>
          </w:p>
        </w:tc>
        <w:tc>
          <w:tcPr>
            <w:tcW w:w="636" w:type="dxa"/>
            <w:vAlign w:val="bottom"/>
          </w:tcPr>
          <w:p w14:paraId="06C5E01B" w14:textId="4BF5DF22" w:rsidR="003C3582" w:rsidRPr="003C3582" w:rsidRDefault="004A444A" w:rsidP="00591195">
            <w:pPr>
              <w:tabs>
                <w:tab w:val="left" w:pos="737"/>
                <w:tab w:val="left" w:pos="9638"/>
              </w:tabs>
              <w:spacing w:after="0" w:line="240" w:lineRule="auto"/>
              <w:ind w:left="28"/>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57</w:t>
            </w:r>
          </w:p>
        </w:tc>
      </w:tr>
      <w:tr w:rsidR="003C3582" w:rsidRPr="00B057B6" w14:paraId="68B97F1F" w14:textId="77777777" w:rsidTr="00B057B6">
        <w:trPr>
          <w:trHeight w:val="688"/>
        </w:trPr>
        <w:tc>
          <w:tcPr>
            <w:tcW w:w="9322" w:type="dxa"/>
            <w:vAlign w:val="bottom"/>
          </w:tcPr>
          <w:p w14:paraId="76261500" w14:textId="7B810C98" w:rsidR="003C3582" w:rsidRPr="003C3582" w:rsidRDefault="003C3582" w:rsidP="00023291">
            <w:pPr>
              <w:tabs>
                <w:tab w:val="left" w:pos="737"/>
                <w:tab w:val="left" w:pos="9638"/>
              </w:tabs>
              <w:spacing w:after="0" w:line="240" w:lineRule="auto"/>
              <w:ind w:left="28"/>
              <w:jc w:val="both"/>
              <w:rPr>
                <w:rFonts w:ascii="Times New Roman" w:eastAsia="Times New Roman" w:hAnsi="Times New Roman" w:cs="Times New Roman"/>
                <w:i/>
                <w:iCs/>
                <w:color w:val="000000"/>
                <w:kern w:val="0"/>
                <w:sz w:val="28"/>
                <w:szCs w:val="28"/>
                <w:lang w:val="uk-UA" w:eastAsia="ru-RU"/>
                <w14:ligatures w14:val="none"/>
              </w:rPr>
            </w:pPr>
            <w:r w:rsidRPr="00B44B71">
              <w:rPr>
                <w:rFonts w:ascii="Times New Roman" w:eastAsia="Calibri" w:hAnsi="Times New Roman" w:cs="Times New Roman"/>
                <w:bCs/>
                <w:i/>
                <w:kern w:val="0"/>
                <w:sz w:val="28"/>
                <w:szCs w:val="28"/>
                <w:lang w:val="uk-UA"/>
                <w14:ligatures w14:val="none"/>
              </w:rPr>
              <w:t>Степан Возняк, Інна  Возняк, Ірина Тонконог</w:t>
            </w:r>
            <w:r w:rsidRPr="00B44B71">
              <w:rPr>
                <w:rFonts w:ascii="Times New Roman" w:eastAsia="Calibri" w:hAnsi="Times New Roman" w:cs="Times New Roman"/>
                <w:bCs/>
                <w:kern w:val="0"/>
                <w:sz w:val="28"/>
                <w:szCs w:val="28"/>
                <w:lang w:val="uk-UA"/>
                <w14:ligatures w14:val="none"/>
              </w:rPr>
              <w:t xml:space="preserve"> О</w:t>
            </w:r>
            <w:r w:rsidRPr="00B44B71">
              <w:rPr>
                <w:rFonts w:ascii="Times New Roman" w:eastAsia="Calibri" w:hAnsi="Times New Roman" w:cs="Times New Roman"/>
                <w:bCs/>
                <w:kern w:val="0"/>
                <w:sz w:val="28"/>
                <w:szCs w:val="28"/>
                <w:lang w:val="ru-RU"/>
                <w14:ligatures w14:val="none"/>
              </w:rPr>
              <w:t>цінювання професійних компетентностей та лідерських якостей кандидатів на командні посади в ЗСУ: аналіз методичних підходів…………………………………………...</w:t>
            </w:r>
          </w:p>
        </w:tc>
        <w:tc>
          <w:tcPr>
            <w:tcW w:w="636" w:type="dxa"/>
            <w:vAlign w:val="bottom"/>
          </w:tcPr>
          <w:p w14:paraId="2E009DFB" w14:textId="231AA2A9" w:rsidR="003C3582" w:rsidRPr="003C3582" w:rsidRDefault="004A444A" w:rsidP="00591195">
            <w:pPr>
              <w:tabs>
                <w:tab w:val="left" w:pos="737"/>
                <w:tab w:val="left" w:pos="9638"/>
              </w:tabs>
              <w:spacing w:after="0" w:line="240" w:lineRule="auto"/>
              <w:ind w:left="28"/>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77</w:t>
            </w:r>
          </w:p>
        </w:tc>
      </w:tr>
      <w:tr w:rsidR="003C3582" w:rsidRPr="00B057B6" w14:paraId="66EABAC8" w14:textId="77777777" w:rsidTr="00B057B6">
        <w:trPr>
          <w:trHeight w:val="688"/>
        </w:trPr>
        <w:tc>
          <w:tcPr>
            <w:tcW w:w="9322" w:type="dxa"/>
            <w:vAlign w:val="bottom"/>
          </w:tcPr>
          <w:p w14:paraId="10954AA2" w14:textId="757AAE9F" w:rsidR="003C3582" w:rsidRPr="00B44B71" w:rsidRDefault="003C3582" w:rsidP="00023291">
            <w:pPr>
              <w:tabs>
                <w:tab w:val="left" w:pos="9638"/>
              </w:tabs>
              <w:spacing w:after="0" w:line="240" w:lineRule="auto"/>
              <w:jc w:val="both"/>
              <w:rPr>
                <w:rFonts w:ascii="Times New Roman" w:eastAsia="Times New Roman" w:hAnsi="Times New Roman" w:cs="Times New Roman"/>
                <w:kern w:val="0"/>
                <w:sz w:val="28"/>
                <w:szCs w:val="28"/>
                <w:lang w:val="uk-UA" w:eastAsia="ru-RU"/>
                <w14:ligatures w14:val="none"/>
              </w:rPr>
            </w:pPr>
            <w:r w:rsidRPr="00B44B71">
              <w:rPr>
                <w:rFonts w:ascii="Times New Roman" w:eastAsia="Calibri" w:hAnsi="Times New Roman" w:cs="Times New Roman"/>
                <w:i/>
                <w:kern w:val="0"/>
                <w:sz w:val="28"/>
                <w:szCs w:val="28"/>
                <w:lang w:val="uk-UA"/>
                <w14:ligatures w14:val="none"/>
              </w:rPr>
              <w:t xml:space="preserve">Ібрагім Габідулін </w:t>
            </w:r>
            <w:r w:rsidRPr="00B44B71">
              <w:rPr>
                <w:rFonts w:ascii="Times New Roman" w:eastAsia="Times New Roman" w:hAnsi="Times New Roman" w:cs="Times New Roman"/>
                <w:bCs/>
                <w:kern w:val="36"/>
                <w:sz w:val="28"/>
                <w:szCs w:val="28"/>
                <w:lang w:val="uk-UA" w:eastAsia="ru-RU"/>
                <w14:ligatures w14:val="none"/>
              </w:rPr>
              <w:t>Порівняльний аналіз системи військової освіти США, НАТО та України: виклики трансформації. …………………………………</w:t>
            </w:r>
          </w:p>
        </w:tc>
        <w:tc>
          <w:tcPr>
            <w:tcW w:w="636" w:type="dxa"/>
            <w:vAlign w:val="bottom"/>
          </w:tcPr>
          <w:p w14:paraId="4A5CD881" w14:textId="34D5B7A4" w:rsidR="003C3582" w:rsidRPr="00B44B71" w:rsidRDefault="004A444A" w:rsidP="00591195">
            <w:pPr>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94</w:t>
            </w:r>
          </w:p>
        </w:tc>
      </w:tr>
      <w:tr w:rsidR="003C3582" w:rsidRPr="00B057B6" w14:paraId="753F1374" w14:textId="77777777" w:rsidTr="00B057B6">
        <w:trPr>
          <w:trHeight w:val="569"/>
        </w:trPr>
        <w:tc>
          <w:tcPr>
            <w:tcW w:w="9322" w:type="dxa"/>
            <w:vAlign w:val="bottom"/>
          </w:tcPr>
          <w:p w14:paraId="560C7667" w14:textId="0CCD672C" w:rsidR="003C3582" w:rsidRPr="003C3582" w:rsidRDefault="003C3582" w:rsidP="00023291">
            <w:pPr>
              <w:tabs>
                <w:tab w:val="left" w:pos="9638"/>
              </w:tabs>
              <w:spacing w:after="0" w:line="240" w:lineRule="auto"/>
              <w:contextualSpacing/>
              <w:rPr>
                <w:rFonts w:ascii="Times New Roman" w:eastAsia="Times New Roman" w:hAnsi="Times New Roman" w:cs="Times New Roman"/>
                <w:i/>
                <w:iCs/>
                <w:kern w:val="0"/>
                <w:sz w:val="28"/>
                <w:szCs w:val="28"/>
                <w:lang w:val="uk-UA"/>
                <w14:ligatures w14:val="none"/>
              </w:rPr>
            </w:pPr>
            <w:r w:rsidRPr="00B44B71">
              <w:rPr>
                <w:rFonts w:ascii="Times New Roman" w:eastAsia="Calibri" w:hAnsi="Times New Roman" w:cs="Times New Roman"/>
                <w:i/>
                <w:kern w:val="0"/>
                <w:sz w:val="28"/>
                <w:szCs w:val="28"/>
                <w:lang w:val="uk-UA"/>
                <w14:ligatures w14:val="none"/>
              </w:rPr>
              <w:t xml:space="preserve">Олександр Галак, Андрій Чулінда, Сергій Касьян, Анатолій Нікітін </w:t>
            </w:r>
            <w:r w:rsidRPr="00B44B71">
              <w:rPr>
                <w:rFonts w:ascii="Times New Roman" w:eastAsia="Calibri" w:hAnsi="Times New Roman" w:cs="Times New Roman"/>
                <w:kern w:val="0"/>
                <w:sz w:val="28"/>
                <w:szCs w:val="28"/>
                <w:lang w:val="uk-UA"/>
                <w14:ligatures w14:val="none"/>
              </w:rPr>
              <w:t>Інтерактивні технології як каталізатор змін в освітніх парадигмах………….</w:t>
            </w:r>
          </w:p>
        </w:tc>
        <w:tc>
          <w:tcPr>
            <w:tcW w:w="636" w:type="dxa"/>
            <w:vAlign w:val="bottom"/>
          </w:tcPr>
          <w:p w14:paraId="37272EE7" w14:textId="77A46D25" w:rsidR="003C3582" w:rsidRPr="00B44B71" w:rsidRDefault="004A444A" w:rsidP="00591195">
            <w:pPr>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108</w:t>
            </w:r>
          </w:p>
        </w:tc>
      </w:tr>
      <w:tr w:rsidR="00DB31EB" w:rsidRPr="00B057B6" w14:paraId="63FC1C99" w14:textId="77777777" w:rsidTr="00B057B6">
        <w:trPr>
          <w:trHeight w:val="933"/>
        </w:trPr>
        <w:tc>
          <w:tcPr>
            <w:tcW w:w="9322" w:type="dxa"/>
            <w:vAlign w:val="bottom"/>
          </w:tcPr>
          <w:p w14:paraId="24A5A0CE" w14:textId="5750741F" w:rsidR="00DB31EB" w:rsidRPr="002A5031" w:rsidRDefault="00DB31EB" w:rsidP="00023291">
            <w:pPr>
              <w:tabs>
                <w:tab w:val="left" w:pos="9638"/>
              </w:tabs>
              <w:spacing w:after="0" w:line="240" w:lineRule="auto"/>
              <w:rPr>
                <w:rFonts w:ascii="Times New Roman" w:eastAsia="Calibri" w:hAnsi="Times New Roman" w:cs="Times New Roman"/>
                <w:i/>
                <w:kern w:val="0"/>
                <w:sz w:val="28"/>
                <w:szCs w:val="28"/>
                <w14:ligatures w14:val="none"/>
              </w:rPr>
            </w:pPr>
            <w:r w:rsidRPr="00DB31EB">
              <w:rPr>
                <w:rFonts w:ascii="Times New Roman" w:eastAsia="Times New Roman" w:hAnsi="Times New Roman" w:cs="Times New Roman"/>
                <w:i/>
                <w:iCs/>
                <w:kern w:val="0"/>
                <w:sz w:val="28"/>
                <w:szCs w:val="28"/>
                <w:lang w:val="uk-UA"/>
                <w14:ligatures w14:val="none"/>
              </w:rPr>
              <w:t xml:space="preserve">Анатолій Дерев’янчук, Дмитро Чопа, </w:t>
            </w:r>
            <w:r w:rsidRPr="00DB31EB">
              <w:rPr>
                <w:rFonts w:ascii="Times New Roman" w:eastAsia="Times New Roman" w:hAnsi="Times New Roman" w:cs="Times New Roman"/>
                <w:i/>
                <w:iCs/>
                <w:spacing w:val="-4"/>
                <w:kern w:val="0"/>
                <w:sz w:val="28"/>
                <w:szCs w:val="28"/>
                <w:lang w:val="uk-UA"/>
                <w14:ligatures w14:val="none"/>
              </w:rPr>
              <w:t>Людмила Наливайко</w:t>
            </w:r>
            <w:r>
              <w:rPr>
                <w:rFonts w:ascii="Times New Roman" w:eastAsia="Times New Roman" w:hAnsi="Times New Roman" w:cs="Times New Roman"/>
                <w:spacing w:val="-4"/>
                <w:kern w:val="0"/>
                <w:sz w:val="24"/>
                <w:szCs w:val="24"/>
                <w:lang w:val="uk-UA"/>
                <w14:ligatures w14:val="none"/>
              </w:rPr>
              <w:t xml:space="preserve"> </w:t>
            </w:r>
            <w:r>
              <w:rPr>
                <w:rFonts w:ascii="Times New Roman" w:eastAsia="Aptos" w:hAnsi="Times New Roman" w:cs="Times New Roman"/>
                <w:sz w:val="28"/>
                <w:szCs w:val="28"/>
                <w:lang w:val="ru-RU"/>
              </w:rPr>
              <w:t>Р</w:t>
            </w:r>
            <w:r w:rsidRPr="00DB31EB">
              <w:rPr>
                <w:rFonts w:ascii="Times New Roman" w:eastAsia="Aptos" w:hAnsi="Times New Roman" w:cs="Times New Roman"/>
                <w:sz w:val="28"/>
                <w:szCs w:val="28"/>
                <w:lang w:val="ru-RU"/>
              </w:rPr>
              <w:t>озробка</w:t>
            </w:r>
            <w:r w:rsidRPr="002A5031">
              <w:rPr>
                <w:rFonts w:ascii="Times New Roman" w:eastAsia="Aptos" w:hAnsi="Times New Roman" w:cs="Times New Roman"/>
                <w:sz w:val="28"/>
                <w:szCs w:val="28"/>
              </w:rPr>
              <w:t xml:space="preserve"> </w:t>
            </w:r>
            <w:r w:rsidRPr="00DB31EB">
              <w:rPr>
                <w:rFonts w:ascii="Times New Roman" w:eastAsia="Aptos" w:hAnsi="Times New Roman" w:cs="Times New Roman"/>
                <w:sz w:val="28"/>
                <w:szCs w:val="28"/>
                <w:lang w:val="ru-RU"/>
              </w:rPr>
              <w:t>навчальної</w:t>
            </w:r>
            <w:r w:rsidRPr="002A5031">
              <w:rPr>
                <w:rFonts w:ascii="Times New Roman" w:eastAsia="Aptos" w:hAnsi="Times New Roman" w:cs="Times New Roman"/>
                <w:sz w:val="28"/>
                <w:szCs w:val="28"/>
              </w:rPr>
              <w:t xml:space="preserve"> </w:t>
            </w:r>
            <w:r w:rsidRPr="00DB31EB">
              <w:rPr>
                <w:rFonts w:ascii="Times New Roman" w:eastAsia="Aptos" w:hAnsi="Times New Roman" w:cs="Times New Roman"/>
                <w:sz w:val="28"/>
                <w:szCs w:val="28"/>
                <w:lang w:val="ru-RU"/>
              </w:rPr>
              <w:t>моделі</w:t>
            </w:r>
            <w:r w:rsidRPr="002A5031">
              <w:rPr>
                <w:rFonts w:ascii="Times New Roman" w:eastAsia="Aptos" w:hAnsi="Times New Roman" w:cs="Times New Roman"/>
                <w:sz w:val="28"/>
                <w:szCs w:val="28"/>
              </w:rPr>
              <w:t xml:space="preserve"> </w:t>
            </w:r>
            <w:r w:rsidRPr="00DB31EB">
              <w:rPr>
                <w:rFonts w:ascii="Times New Roman" w:eastAsia="Aptos" w:hAnsi="Times New Roman" w:cs="Times New Roman"/>
                <w:sz w:val="28"/>
                <w:szCs w:val="28"/>
                <w:lang w:val="ru-RU"/>
              </w:rPr>
              <w:t>підготовки</w:t>
            </w:r>
            <w:r w:rsidRPr="002A5031">
              <w:rPr>
                <w:rFonts w:ascii="Times New Roman" w:eastAsia="Aptos" w:hAnsi="Times New Roman" w:cs="Times New Roman"/>
                <w:sz w:val="28"/>
                <w:szCs w:val="28"/>
              </w:rPr>
              <w:t xml:space="preserve"> </w:t>
            </w:r>
            <w:r w:rsidRPr="00DB31EB">
              <w:rPr>
                <w:rFonts w:ascii="Times New Roman" w:eastAsia="Aptos" w:hAnsi="Times New Roman" w:cs="Times New Roman"/>
                <w:sz w:val="28"/>
                <w:szCs w:val="28"/>
                <w:lang w:val="ru-RU"/>
              </w:rPr>
              <w:t>військовослужбовців</w:t>
            </w:r>
            <w:r w:rsidRPr="002A5031">
              <w:rPr>
                <w:rFonts w:ascii="Times New Roman" w:eastAsia="Aptos" w:hAnsi="Times New Roman" w:cs="Times New Roman"/>
                <w:sz w:val="28"/>
                <w:szCs w:val="28"/>
              </w:rPr>
              <w:t xml:space="preserve"> </w:t>
            </w:r>
            <w:r w:rsidRPr="00DB31EB">
              <w:rPr>
                <w:rFonts w:ascii="Times New Roman" w:eastAsia="Aptos" w:hAnsi="Times New Roman" w:cs="Times New Roman"/>
                <w:sz w:val="28"/>
                <w:szCs w:val="28"/>
                <w:lang w:val="ru-RU"/>
              </w:rPr>
              <w:t>до</w:t>
            </w:r>
            <w:r w:rsidRPr="002A5031">
              <w:rPr>
                <w:rFonts w:ascii="Times New Roman" w:eastAsia="Aptos" w:hAnsi="Times New Roman" w:cs="Times New Roman"/>
                <w:sz w:val="28"/>
                <w:szCs w:val="28"/>
              </w:rPr>
              <w:t xml:space="preserve"> </w:t>
            </w:r>
            <w:r w:rsidRPr="00DB31EB">
              <w:rPr>
                <w:rFonts w:ascii="Times New Roman" w:eastAsia="Aptos" w:hAnsi="Times New Roman" w:cs="Times New Roman"/>
                <w:sz w:val="28"/>
                <w:szCs w:val="28"/>
                <w:lang w:val="ru-RU"/>
              </w:rPr>
              <w:t>бойової</w:t>
            </w:r>
            <w:r w:rsidRPr="002A5031">
              <w:rPr>
                <w:rFonts w:ascii="Times New Roman" w:eastAsia="Aptos" w:hAnsi="Times New Roman" w:cs="Times New Roman"/>
                <w:sz w:val="28"/>
                <w:szCs w:val="28"/>
              </w:rPr>
              <w:t xml:space="preserve"> </w:t>
            </w:r>
            <w:r w:rsidRPr="00DB31EB">
              <w:rPr>
                <w:rFonts w:ascii="Times New Roman" w:eastAsia="Aptos" w:hAnsi="Times New Roman" w:cs="Times New Roman"/>
                <w:sz w:val="28"/>
                <w:szCs w:val="28"/>
                <w:lang w:val="ru-RU"/>
              </w:rPr>
              <w:t>роботи</w:t>
            </w:r>
            <w:r w:rsidRPr="002A5031">
              <w:rPr>
                <w:rFonts w:ascii="Times New Roman" w:eastAsia="Aptos" w:hAnsi="Times New Roman" w:cs="Times New Roman"/>
                <w:sz w:val="28"/>
                <w:szCs w:val="28"/>
              </w:rPr>
              <w:t xml:space="preserve"> </w:t>
            </w:r>
            <w:r w:rsidRPr="00DB31EB">
              <w:rPr>
                <w:rFonts w:ascii="Times New Roman" w:eastAsia="Aptos" w:hAnsi="Times New Roman" w:cs="Times New Roman"/>
                <w:sz w:val="28"/>
                <w:szCs w:val="28"/>
                <w:lang w:val="ru-RU"/>
              </w:rPr>
              <w:t>з</w:t>
            </w:r>
            <w:r w:rsidRPr="002A5031">
              <w:rPr>
                <w:rFonts w:ascii="Times New Roman" w:eastAsia="Aptos" w:hAnsi="Times New Roman" w:cs="Times New Roman"/>
                <w:sz w:val="28"/>
                <w:szCs w:val="28"/>
              </w:rPr>
              <w:t xml:space="preserve"> </w:t>
            </w:r>
            <w:r w:rsidRPr="00DB31EB">
              <w:rPr>
                <w:rFonts w:ascii="Times New Roman" w:eastAsia="Aptos" w:hAnsi="Times New Roman" w:cs="Times New Roman"/>
                <w:sz w:val="28"/>
                <w:szCs w:val="28"/>
                <w:lang w:val="ru-RU"/>
              </w:rPr>
              <w:t>артилерійськими</w:t>
            </w:r>
            <w:r w:rsidRPr="002A5031">
              <w:rPr>
                <w:rFonts w:ascii="Times New Roman" w:eastAsia="Aptos" w:hAnsi="Times New Roman" w:cs="Times New Roman"/>
                <w:sz w:val="28"/>
                <w:szCs w:val="28"/>
              </w:rPr>
              <w:t xml:space="preserve"> </w:t>
            </w:r>
            <w:r w:rsidRPr="00DB31EB">
              <w:rPr>
                <w:rFonts w:ascii="Times New Roman" w:eastAsia="Aptos" w:hAnsi="Times New Roman" w:cs="Times New Roman"/>
                <w:sz w:val="28"/>
                <w:szCs w:val="28"/>
                <w:lang w:val="ru-RU"/>
              </w:rPr>
              <w:t>боєприпасами</w:t>
            </w:r>
            <w:r w:rsidRPr="002A5031">
              <w:rPr>
                <w:rFonts w:ascii="Times New Roman" w:eastAsia="Aptos" w:hAnsi="Times New Roman" w:cs="Times New Roman"/>
                <w:sz w:val="28"/>
                <w:szCs w:val="28"/>
              </w:rPr>
              <w:t xml:space="preserve"> ………………………………………………</w:t>
            </w:r>
            <w:r w:rsidR="004A444A" w:rsidRPr="002A5031">
              <w:rPr>
                <w:rFonts w:ascii="Times New Roman" w:eastAsia="Aptos" w:hAnsi="Times New Roman" w:cs="Times New Roman"/>
                <w:sz w:val="28"/>
                <w:szCs w:val="28"/>
              </w:rPr>
              <w:t>.</w:t>
            </w:r>
          </w:p>
        </w:tc>
        <w:tc>
          <w:tcPr>
            <w:tcW w:w="636" w:type="dxa"/>
            <w:vAlign w:val="bottom"/>
          </w:tcPr>
          <w:p w14:paraId="0116D528" w14:textId="635A6A32" w:rsidR="00DB31EB" w:rsidRPr="00B44B71" w:rsidRDefault="004A444A" w:rsidP="00591195">
            <w:pPr>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119</w:t>
            </w:r>
          </w:p>
        </w:tc>
      </w:tr>
      <w:tr w:rsidR="00DB31EB" w:rsidRPr="00B057B6" w14:paraId="3F337430" w14:textId="77777777" w:rsidTr="00B057B6">
        <w:trPr>
          <w:trHeight w:val="777"/>
        </w:trPr>
        <w:tc>
          <w:tcPr>
            <w:tcW w:w="9322" w:type="dxa"/>
            <w:vAlign w:val="bottom"/>
          </w:tcPr>
          <w:p w14:paraId="3138A752" w14:textId="512A2E3B" w:rsidR="00DB31EB" w:rsidRPr="00DB31EB" w:rsidRDefault="00DB31EB" w:rsidP="00023291">
            <w:pPr>
              <w:tabs>
                <w:tab w:val="left" w:pos="9638"/>
              </w:tabs>
              <w:spacing w:after="0" w:line="240" w:lineRule="auto"/>
              <w:ind w:left="28" w:right="-1"/>
              <w:rPr>
                <w:rFonts w:ascii="Times New Roman" w:eastAsia="Times New Roman" w:hAnsi="Times New Roman" w:cs="Times New Roman"/>
                <w:i/>
                <w:iCs/>
                <w:kern w:val="0"/>
                <w:sz w:val="28"/>
                <w:szCs w:val="28"/>
                <w:lang w:val="uk-UA"/>
                <w14:ligatures w14:val="none"/>
              </w:rPr>
            </w:pPr>
            <w:r w:rsidRPr="00DB31EB">
              <w:rPr>
                <w:rFonts w:ascii="Times New Roman" w:eastAsia="Times New Roman" w:hAnsi="Times New Roman" w:cs="Times New Roman"/>
                <w:bCs/>
                <w:i/>
                <w:iCs/>
                <w:kern w:val="0"/>
                <w:sz w:val="28"/>
                <w:szCs w:val="28"/>
                <w:lang w:val="uk-UA" w:eastAsia="uk-UA"/>
                <w14:ligatures w14:val="none"/>
              </w:rPr>
              <w:t xml:space="preserve">Микола Думенко, </w:t>
            </w:r>
            <w:r w:rsidRPr="00DB31EB">
              <w:rPr>
                <w:rFonts w:ascii="Times New Roman" w:eastAsia="Times New Roman" w:hAnsi="Times New Roman" w:cs="Times New Roman"/>
                <w:bCs/>
                <w:i/>
                <w:iCs/>
                <w:kern w:val="0"/>
                <w:sz w:val="28"/>
                <w:szCs w:val="28"/>
                <w:lang w:val="uk-UA" w:eastAsia="ru-RU"/>
                <w14:ligatures w14:val="none"/>
              </w:rPr>
              <w:t xml:space="preserve">Аркадій Атрохов  </w:t>
            </w:r>
            <w:r>
              <w:rPr>
                <w:rFonts w:ascii="Times New Roman" w:eastAsia="Times New Roman" w:hAnsi="Times New Roman" w:cs="Times New Roman"/>
                <w:bCs/>
                <w:kern w:val="0"/>
                <w:sz w:val="28"/>
                <w:szCs w:val="28"/>
                <w:lang w:val="uk-UA" w:eastAsia="uk-UA"/>
                <w14:ligatures w14:val="none"/>
              </w:rPr>
              <w:t>П</w:t>
            </w:r>
            <w:r w:rsidRPr="00DB31EB">
              <w:rPr>
                <w:rFonts w:ascii="Times New Roman" w:eastAsia="Times New Roman" w:hAnsi="Times New Roman" w:cs="Times New Roman"/>
                <w:bCs/>
                <w:kern w:val="0"/>
                <w:sz w:val="28"/>
                <w:szCs w:val="28"/>
                <w:lang w:val="uk-UA" w:eastAsia="uk-UA"/>
                <w14:ligatures w14:val="none"/>
              </w:rPr>
              <w:t xml:space="preserve">роблеми військової підготовки громадян </w:t>
            </w:r>
            <w:r>
              <w:rPr>
                <w:rFonts w:ascii="Times New Roman" w:eastAsia="Times New Roman" w:hAnsi="Times New Roman" w:cs="Times New Roman"/>
                <w:bCs/>
                <w:kern w:val="0"/>
                <w:sz w:val="28"/>
                <w:szCs w:val="28"/>
                <w:lang w:val="uk-UA" w:eastAsia="uk-UA"/>
                <w14:ligatures w14:val="none"/>
              </w:rPr>
              <w:t>У</w:t>
            </w:r>
            <w:r w:rsidRPr="00DB31EB">
              <w:rPr>
                <w:rFonts w:ascii="Times New Roman" w:eastAsia="Times New Roman" w:hAnsi="Times New Roman" w:cs="Times New Roman"/>
                <w:bCs/>
                <w:kern w:val="0"/>
                <w:sz w:val="28"/>
                <w:szCs w:val="28"/>
                <w:lang w:val="uk-UA" w:eastAsia="uk-UA"/>
                <w14:ligatures w14:val="none"/>
              </w:rPr>
              <w:t xml:space="preserve">країни за програмою офіцерів запасу для потреб </w:t>
            </w:r>
            <w:r>
              <w:rPr>
                <w:rFonts w:ascii="Times New Roman" w:eastAsia="Times New Roman" w:hAnsi="Times New Roman" w:cs="Times New Roman"/>
                <w:bCs/>
                <w:kern w:val="0"/>
                <w:sz w:val="28"/>
                <w:szCs w:val="28"/>
                <w:lang w:val="uk-UA" w:eastAsia="uk-UA"/>
                <w14:ligatures w14:val="none"/>
              </w:rPr>
              <w:t>З</w:t>
            </w:r>
            <w:r w:rsidRPr="00DB31EB">
              <w:rPr>
                <w:rFonts w:ascii="Times New Roman" w:eastAsia="Times New Roman" w:hAnsi="Times New Roman" w:cs="Times New Roman"/>
                <w:bCs/>
                <w:kern w:val="0"/>
                <w:sz w:val="28"/>
                <w:szCs w:val="28"/>
                <w:lang w:val="uk-UA" w:eastAsia="uk-UA"/>
                <w14:ligatures w14:val="none"/>
              </w:rPr>
              <w:t xml:space="preserve">бройних </w:t>
            </w:r>
            <w:r>
              <w:rPr>
                <w:rFonts w:ascii="Times New Roman" w:eastAsia="Times New Roman" w:hAnsi="Times New Roman" w:cs="Times New Roman"/>
                <w:bCs/>
                <w:kern w:val="0"/>
                <w:sz w:val="28"/>
                <w:szCs w:val="28"/>
                <w:lang w:val="uk-UA" w:eastAsia="uk-UA"/>
                <w14:ligatures w14:val="none"/>
              </w:rPr>
              <w:t>С</w:t>
            </w:r>
            <w:r w:rsidRPr="00DB31EB">
              <w:rPr>
                <w:rFonts w:ascii="Times New Roman" w:eastAsia="Times New Roman" w:hAnsi="Times New Roman" w:cs="Times New Roman"/>
                <w:bCs/>
                <w:kern w:val="0"/>
                <w:sz w:val="28"/>
                <w:szCs w:val="28"/>
                <w:lang w:val="uk-UA" w:eastAsia="uk-UA"/>
                <w14:ligatures w14:val="none"/>
              </w:rPr>
              <w:t xml:space="preserve">ил </w:t>
            </w:r>
            <w:r>
              <w:rPr>
                <w:rFonts w:ascii="Times New Roman" w:eastAsia="Times New Roman" w:hAnsi="Times New Roman" w:cs="Times New Roman"/>
                <w:bCs/>
                <w:kern w:val="0"/>
                <w:sz w:val="28"/>
                <w:szCs w:val="28"/>
                <w:lang w:val="uk-UA" w:eastAsia="uk-UA"/>
                <w14:ligatures w14:val="none"/>
              </w:rPr>
              <w:t>У</w:t>
            </w:r>
            <w:r w:rsidRPr="00DB31EB">
              <w:rPr>
                <w:rFonts w:ascii="Times New Roman" w:eastAsia="Times New Roman" w:hAnsi="Times New Roman" w:cs="Times New Roman"/>
                <w:bCs/>
                <w:kern w:val="0"/>
                <w:sz w:val="28"/>
                <w:szCs w:val="28"/>
                <w:lang w:val="uk-UA" w:eastAsia="uk-UA"/>
                <w14:ligatures w14:val="none"/>
              </w:rPr>
              <w:t>країни та інших військових формувань</w:t>
            </w:r>
            <w:r>
              <w:rPr>
                <w:rFonts w:ascii="Times New Roman" w:eastAsia="Times New Roman" w:hAnsi="Times New Roman" w:cs="Times New Roman"/>
                <w:bCs/>
                <w:kern w:val="0"/>
                <w:sz w:val="28"/>
                <w:szCs w:val="28"/>
                <w:lang w:val="uk-UA" w:eastAsia="uk-UA"/>
                <w14:ligatures w14:val="none"/>
              </w:rPr>
              <w:t>………………………………………</w:t>
            </w:r>
          </w:p>
        </w:tc>
        <w:tc>
          <w:tcPr>
            <w:tcW w:w="636" w:type="dxa"/>
            <w:vAlign w:val="bottom"/>
          </w:tcPr>
          <w:p w14:paraId="6577C7A8" w14:textId="019990DA" w:rsidR="00DB31EB" w:rsidRPr="00B44B71" w:rsidRDefault="004A444A" w:rsidP="00591195">
            <w:pPr>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129</w:t>
            </w:r>
          </w:p>
        </w:tc>
      </w:tr>
      <w:tr w:rsidR="003C3582" w:rsidRPr="00B057B6" w14:paraId="456F9917" w14:textId="77777777" w:rsidTr="00B057B6">
        <w:trPr>
          <w:trHeight w:val="688"/>
        </w:trPr>
        <w:tc>
          <w:tcPr>
            <w:tcW w:w="9322" w:type="dxa"/>
            <w:vAlign w:val="bottom"/>
          </w:tcPr>
          <w:p w14:paraId="0FDA4A8C" w14:textId="5BF5031F" w:rsidR="003C3582" w:rsidRPr="00B44B71" w:rsidRDefault="003C3582" w:rsidP="00023291">
            <w:pPr>
              <w:tabs>
                <w:tab w:val="left" w:pos="9638"/>
              </w:tabs>
              <w:spacing w:after="0" w:line="240" w:lineRule="auto"/>
              <w:rPr>
                <w:rFonts w:ascii="Times New Roman" w:eastAsia="Times New Roman" w:hAnsi="Times New Roman" w:cs="Times New Roman"/>
                <w:i/>
                <w:iCs/>
                <w:kern w:val="0"/>
                <w:sz w:val="28"/>
                <w:szCs w:val="28"/>
                <w:lang w:val="uk-UA"/>
                <w14:ligatures w14:val="none"/>
              </w:rPr>
            </w:pPr>
            <w:r w:rsidRPr="00B44B71">
              <w:rPr>
                <w:rFonts w:ascii="Times New Roman" w:eastAsia="Calibri" w:hAnsi="Times New Roman" w:cs="Times New Roman"/>
                <w:bCs/>
                <w:i/>
                <w:sz w:val="28"/>
                <w:szCs w:val="28"/>
                <w:lang w:val="uk-UA"/>
                <w14:ligatures w14:val="none"/>
              </w:rPr>
              <w:t xml:space="preserve">Сергій Ємельянов </w:t>
            </w:r>
            <w:r w:rsidRPr="00B44B71">
              <w:rPr>
                <w:rFonts w:ascii="Times New Roman" w:eastAsia="Calibri" w:hAnsi="Times New Roman" w:cs="Times New Roman"/>
                <w:bCs/>
                <w:sz w:val="28"/>
                <w:szCs w:val="28"/>
                <w:lang w:val="uk-UA"/>
                <w14:ligatures w14:val="none"/>
              </w:rPr>
              <w:t>Педагогічні умови розвитку медіаграмотності курсантів факультету військової підготовки держспецтрансслужби в процесі фахової підготовки………………………………………………….................................</w:t>
            </w:r>
          </w:p>
        </w:tc>
        <w:tc>
          <w:tcPr>
            <w:tcW w:w="636" w:type="dxa"/>
            <w:vAlign w:val="bottom"/>
          </w:tcPr>
          <w:p w14:paraId="446A84A5" w14:textId="4673A7CB" w:rsidR="003C3582" w:rsidRPr="00B44B71" w:rsidRDefault="004A444A" w:rsidP="00591195">
            <w:pPr>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143</w:t>
            </w:r>
          </w:p>
        </w:tc>
      </w:tr>
      <w:tr w:rsidR="003C3582" w:rsidRPr="00B057B6" w14:paraId="17238159" w14:textId="77777777" w:rsidTr="00B057B6">
        <w:trPr>
          <w:trHeight w:val="688"/>
        </w:trPr>
        <w:tc>
          <w:tcPr>
            <w:tcW w:w="9322" w:type="dxa"/>
            <w:vAlign w:val="bottom"/>
          </w:tcPr>
          <w:p w14:paraId="6550D774" w14:textId="5E1866E4" w:rsidR="003C3582" w:rsidRPr="00B44B71" w:rsidRDefault="003C3582" w:rsidP="00023291">
            <w:pPr>
              <w:tabs>
                <w:tab w:val="left" w:pos="9638"/>
              </w:tabs>
              <w:spacing w:after="0" w:line="240" w:lineRule="auto"/>
              <w:contextualSpacing/>
              <w:rPr>
                <w:rFonts w:ascii="Times New Roman" w:eastAsia="Times New Roman" w:hAnsi="Times New Roman" w:cs="Times New Roman"/>
                <w:i/>
                <w:iCs/>
                <w:kern w:val="0"/>
                <w:sz w:val="28"/>
                <w:szCs w:val="28"/>
                <w:lang w:val="uk-UA"/>
                <w14:ligatures w14:val="none"/>
              </w:rPr>
            </w:pPr>
            <w:r w:rsidRPr="00B44B71">
              <w:rPr>
                <w:rFonts w:ascii="Times New Roman" w:eastAsia="Calibri" w:hAnsi="Times New Roman" w:cs="Times New Roman"/>
                <w:bCs/>
                <w:i/>
                <w:iCs/>
                <w:kern w:val="0"/>
                <w:sz w:val="28"/>
                <w:szCs w:val="28"/>
                <w:lang w:val="uk-UA"/>
                <w14:ligatures w14:val="none"/>
              </w:rPr>
              <w:t>Євгенія Іванченко, Олександр Войнуш</w:t>
            </w:r>
            <w:r w:rsidRPr="00B44B71">
              <w:rPr>
                <w:rFonts w:ascii="Times New Roman" w:eastAsia="Calibri" w:hAnsi="Times New Roman" w:cs="Times New Roman"/>
                <w:bCs/>
                <w:iCs/>
                <w:kern w:val="0"/>
                <w:sz w:val="28"/>
                <w:szCs w:val="28"/>
                <w:lang w:val="uk-UA"/>
                <w14:ligatures w14:val="none"/>
              </w:rPr>
              <w:t xml:space="preserve"> </w:t>
            </w:r>
            <w:r w:rsidRPr="00B44B71">
              <w:rPr>
                <w:rFonts w:ascii="Times New Roman" w:eastAsia="Times New Roman" w:hAnsi="Times New Roman" w:cs="Times New Roman"/>
                <w:kern w:val="0"/>
                <w:sz w:val="28"/>
                <w:szCs w:val="28"/>
                <w:lang w:val="uk-UA"/>
                <w14:ligatures w14:val="none"/>
              </w:rPr>
              <w:t>Технічне мислення як підґрунтя професійного становлення майбутнього офіцера з ремонту артилерійського озброєння в умовах сучасної війни……………………………………………..</w:t>
            </w:r>
          </w:p>
        </w:tc>
        <w:tc>
          <w:tcPr>
            <w:tcW w:w="636" w:type="dxa"/>
            <w:vAlign w:val="bottom"/>
          </w:tcPr>
          <w:p w14:paraId="69665DA5" w14:textId="6585C595" w:rsidR="003C3582" w:rsidRPr="00B44B71" w:rsidRDefault="004A444A" w:rsidP="00591195">
            <w:pPr>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158</w:t>
            </w:r>
          </w:p>
        </w:tc>
      </w:tr>
      <w:tr w:rsidR="003C3582" w:rsidRPr="00B057B6" w14:paraId="0CAB2E76" w14:textId="77777777" w:rsidTr="00B057B6">
        <w:trPr>
          <w:trHeight w:val="688"/>
        </w:trPr>
        <w:tc>
          <w:tcPr>
            <w:tcW w:w="9322" w:type="dxa"/>
            <w:vAlign w:val="bottom"/>
          </w:tcPr>
          <w:p w14:paraId="4825F738" w14:textId="7545F069" w:rsidR="003C3582" w:rsidRPr="00B44B71" w:rsidRDefault="003C3582" w:rsidP="00023291">
            <w:pPr>
              <w:tabs>
                <w:tab w:val="left" w:pos="9638"/>
              </w:tabs>
              <w:spacing w:after="0" w:line="240" w:lineRule="auto"/>
              <w:ind w:right="34"/>
              <w:rPr>
                <w:rFonts w:ascii="Times New Roman" w:eastAsia="Times New Roman" w:hAnsi="Times New Roman" w:cs="Times New Roman"/>
                <w:i/>
                <w:iCs/>
                <w:kern w:val="0"/>
                <w:sz w:val="28"/>
                <w:szCs w:val="28"/>
                <w:lang w:val="uk-UA"/>
                <w14:ligatures w14:val="none"/>
              </w:rPr>
            </w:pPr>
            <w:r w:rsidRPr="00B44B71">
              <w:rPr>
                <w:rFonts w:ascii="Times New Roman" w:eastAsia="Times New Roman" w:hAnsi="Times New Roman" w:cs="Times New Roman"/>
                <w:i/>
                <w:kern w:val="0"/>
                <w:sz w:val="28"/>
                <w:szCs w:val="28"/>
                <w:lang w:val="uk-UA" w:eastAsia="uk-UA"/>
                <w14:ligatures w14:val="none"/>
              </w:rPr>
              <w:t xml:space="preserve">Володимир Карпенко, </w:t>
            </w:r>
            <w:r w:rsidRPr="00B44B71">
              <w:rPr>
                <w:rFonts w:ascii="Times New Roman" w:eastAsia="Times New Roman" w:hAnsi="Times New Roman" w:cs="Times New Roman"/>
                <w:i/>
                <w:color w:val="000000"/>
                <w:kern w:val="0"/>
                <w:sz w:val="28"/>
                <w:szCs w:val="28"/>
                <w:lang w:val="uk-UA" w:eastAsia="uk-UA"/>
                <w14:ligatures w14:val="none"/>
              </w:rPr>
              <w:t xml:space="preserve">Анна Зінчук, </w:t>
            </w:r>
            <w:r w:rsidRPr="00B44B71">
              <w:rPr>
                <w:rFonts w:ascii="Times New Roman" w:eastAsia="Times New Roman" w:hAnsi="Times New Roman" w:cs="Times New Roman"/>
                <w:bCs/>
                <w:kern w:val="0"/>
                <w:sz w:val="28"/>
                <w:szCs w:val="28"/>
                <w:lang w:val="uk-UA" w:eastAsia="uk-UA"/>
                <w14:ligatures w14:val="none"/>
              </w:rPr>
              <w:t>Трансформація системи підготовки офіцерських кадрів Збройних Сил України в умовах російсько-української війни (2014-2025)…………………………</w:t>
            </w:r>
            <w:r w:rsidRPr="00B44B71">
              <w:rPr>
                <w:rFonts w:ascii="Times New Roman" w:eastAsia="Times New Roman" w:hAnsi="Times New Roman" w:cs="Times New Roman"/>
                <w:spacing w:val="-8"/>
                <w:kern w:val="0"/>
                <w:sz w:val="28"/>
                <w:szCs w:val="28"/>
                <w:lang w:val="uk-UA" w:eastAsia="ru-RU"/>
                <w14:ligatures w14:val="none"/>
              </w:rPr>
              <w:t>…………</w:t>
            </w:r>
            <w:r w:rsidRPr="00B44B71">
              <w:rPr>
                <w:rFonts w:ascii="Times New Roman" w:eastAsia="Times New Roman" w:hAnsi="Times New Roman" w:cs="Times New Roman"/>
                <w:kern w:val="0"/>
                <w:sz w:val="28"/>
                <w:szCs w:val="28"/>
                <w:lang w:val="uk-UA" w:eastAsia="ru-RU"/>
                <w14:ligatures w14:val="none"/>
              </w:rPr>
              <w:t>…………….......................</w:t>
            </w:r>
          </w:p>
        </w:tc>
        <w:tc>
          <w:tcPr>
            <w:tcW w:w="636" w:type="dxa"/>
            <w:vAlign w:val="bottom"/>
          </w:tcPr>
          <w:p w14:paraId="7389E88C" w14:textId="34A42941" w:rsidR="003C3582" w:rsidRPr="00B44B71" w:rsidRDefault="004A444A" w:rsidP="00591195">
            <w:pPr>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172</w:t>
            </w:r>
          </w:p>
        </w:tc>
      </w:tr>
      <w:tr w:rsidR="003C3582" w:rsidRPr="00B057B6" w14:paraId="5D1FE327" w14:textId="77777777" w:rsidTr="00B057B6">
        <w:trPr>
          <w:trHeight w:val="981"/>
        </w:trPr>
        <w:tc>
          <w:tcPr>
            <w:tcW w:w="9322" w:type="dxa"/>
            <w:vAlign w:val="bottom"/>
          </w:tcPr>
          <w:p w14:paraId="1E22120D" w14:textId="7BDFC2DB" w:rsidR="003C3582" w:rsidRPr="00B44B71" w:rsidRDefault="003C3582" w:rsidP="00023291">
            <w:pPr>
              <w:tabs>
                <w:tab w:val="left" w:pos="9638"/>
              </w:tabs>
              <w:spacing w:after="0" w:line="240" w:lineRule="auto"/>
              <w:rPr>
                <w:rFonts w:ascii="Times New Roman" w:eastAsia="Calibri" w:hAnsi="Times New Roman" w:cs="Times New Roman"/>
                <w:bCs/>
                <w:i/>
                <w:sz w:val="28"/>
                <w:szCs w:val="28"/>
                <w:lang w:val="uk-UA"/>
                <w14:ligatures w14:val="none"/>
              </w:rPr>
            </w:pPr>
            <w:r w:rsidRPr="00B44B71">
              <w:rPr>
                <w:rFonts w:ascii="Times New Roman" w:eastAsia="Times New Roman" w:hAnsi="Times New Roman" w:cs="Times New Roman"/>
                <w:bCs/>
                <w:i/>
                <w:kern w:val="0"/>
                <w:sz w:val="28"/>
                <w:szCs w:val="28"/>
                <w:lang w:val="uk-UA" w:eastAsia="ru-RU"/>
                <w14:ligatures w14:val="none"/>
              </w:rPr>
              <w:t>Дмитро Кисленко,</w:t>
            </w:r>
            <w:r w:rsidRPr="00B44B71">
              <w:rPr>
                <w:rFonts w:ascii="Times New Roman" w:eastAsia="Times New Roman" w:hAnsi="Times New Roman" w:cs="Times New Roman"/>
                <w:i/>
                <w:kern w:val="0"/>
                <w:sz w:val="28"/>
                <w:szCs w:val="28"/>
                <w:lang w:val="uk-UA" w:eastAsia="ru-RU"/>
                <w14:ligatures w14:val="none"/>
              </w:rPr>
              <w:t xml:space="preserve"> </w:t>
            </w:r>
            <w:r w:rsidRPr="00B44B71">
              <w:rPr>
                <w:rFonts w:ascii="Times New Roman" w:eastAsia="Times New Roman" w:hAnsi="Times New Roman" w:cs="Times New Roman"/>
                <w:bCs/>
                <w:i/>
                <w:kern w:val="0"/>
                <w:sz w:val="28"/>
                <w:szCs w:val="28"/>
                <w:lang w:val="uk-UA" w:eastAsia="ru-RU"/>
                <w14:ligatures w14:val="none"/>
              </w:rPr>
              <w:t>Віталій Поливанюк</w:t>
            </w:r>
            <w:r w:rsidRPr="00B44B71">
              <w:rPr>
                <w:rFonts w:ascii="Times New Roman" w:eastAsia="Times New Roman" w:hAnsi="Times New Roman" w:cs="Times New Roman"/>
                <w:i/>
                <w:kern w:val="0"/>
                <w:sz w:val="28"/>
                <w:szCs w:val="28"/>
                <w:lang w:val="uk-UA" w:eastAsia="ru-RU"/>
                <w14:ligatures w14:val="none"/>
              </w:rPr>
              <w:t>, Роман Шостак</w:t>
            </w:r>
            <w:r w:rsidRPr="00B44B71">
              <w:rPr>
                <w:rFonts w:ascii="Times New Roman" w:eastAsia="Times New Roman" w:hAnsi="Times New Roman" w:cs="Times New Roman"/>
                <w:kern w:val="0"/>
                <w:sz w:val="28"/>
                <w:szCs w:val="28"/>
                <w:lang w:val="uk-UA" w:eastAsia="ru-RU"/>
                <w14:ligatures w14:val="none"/>
              </w:rPr>
              <w:t xml:space="preserve"> </w:t>
            </w:r>
            <w:r w:rsidRPr="00B44B71">
              <w:rPr>
                <w:rFonts w:ascii="Times New Roman" w:eastAsia="Times New Roman" w:hAnsi="Times New Roman" w:cs="Times New Roman"/>
                <w:bCs/>
                <w:kern w:val="0"/>
                <w:sz w:val="28"/>
                <w:szCs w:val="28"/>
                <w:lang w:val="uk-UA" w:eastAsia="ru-RU"/>
                <w14:ligatures w14:val="none"/>
              </w:rPr>
              <w:t>Професійна доброчесність офіцерів як педагогічна проблема в умовах реформування системи військової освіти України………………………………………….....</w:t>
            </w:r>
          </w:p>
        </w:tc>
        <w:tc>
          <w:tcPr>
            <w:tcW w:w="636" w:type="dxa"/>
            <w:vAlign w:val="bottom"/>
          </w:tcPr>
          <w:p w14:paraId="1C1B4482" w14:textId="0AE7C51A" w:rsidR="003C3582" w:rsidRPr="00B44B71" w:rsidRDefault="004A444A" w:rsidP="00591195">
            <w:pPr>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190</w:t>
            </w:r>
          </w:p>
        </w:tc>
      </w:tr>
      <w:tr w:rsidR="003C3582" w:rsidRPr="00B057B6" w14:paraId="6F0F2A54" w14:textId="77777777" w:rsidTr="00B057B6">
        <w:trPr>
          <w:trHeight w:val="138"/>
        </w:trPr>
        <w:tc>
          <w:tcPr>
            <w:tcW w:w="9322" w:type="dxa"/>
            <w:vAlign w:val="bottom"/>
          </w:tcPr>
          <w:p w14:paraId="2B5A244A" w14:textId="793A3AF8" w:rsidR="003C3582" w:rsidRPr="00B44B71" w:rsidRDefault="003C3582" w:rsidP="00023291">
            <w:pPr>
              <w:tabs>
                <w:tab w:val="left" w:pos="5670"/>
                <w:tab w:val="left" w:pos="9638"/>
              </w:tabs>
              <w:suppressAutoHyphens/>
              <w:spacing w:after="0" w:line="240" w:lineRule="auto"/>
              <w:jc w:val="both"/>
              <w:rPr>
                <w:rFonts w:ascii="Times New Roman" w:eastAsia="Times New Roman" w:hAnsi="Times New Roman" w:cs="Times New Roman"/>
                <w:i/>
                <w:kern w:val="0"/>
                <w:sz w:val="28"/>
                <w:szCs w:val="28"/>
                <w:lang w:val="uk-UA"/>
                <w14:ligatures w14:val="none"/>
              </w:rPr>
            </w:pPr>
            <w:r w:rsidRPr="00B44B71">
              <w:rPr>
                <w:rFonts w:ascii="Times New Roman" w:eastAsia="Times New Roman" w:hAnsi="Times New Roman" w:cs="Times New Roman"/>
                <w:bCs/>
                <w:i/>
                <w:kern w:val="0"/>
                <w:sz w:val="28"/>
                <w:lang w:val="uk-UA"/>
                <w14:ligatures w14:val="none"/>
              </w:rPr>
              <w:t>Леонід Олійник, Інна Савіна</w:t>
            </w:r>
            <w:r w:rsidRPr="00B44B71">
              <w:rPr>
                <w:rFonts w:ascii="Times New Roman" w:eastAsia="Times New Roman" w:hAnsi="Times New Roman" w:cs="Times New Roman"/>
                <w:bCs/>
                <w:kern w:val="0"/>
                <w:sz w:val="28"/>
                <w:lang w:val="uk-UA"/>
                <w14:ligatures w14:val="none"/>
              </w:rPr>
              <w:t xml:space="preserve">  М</w:t>
            </w:r>
            <w:r w:rsidRPr="00B44B71">
              <w:rPr>
                <w:rFonts w:ascii="Times New Roman" w:eastAsia="Times New Roman" w:hAnsi="Times New Roman" w:cs="Times New Roman"/>
                <w:kern w:val="0"/>
                <w:sz w:val="28"/>
                <w:lang w:val="uk-UA"/>
                <w14:ligatures w14:val="none"/>
              </w:rPr>
              <w:t>етодологічні підходи і принципи дослідження розвитку лідерської компетентності офіцерів оперативного рівня у системі професійної військової освіти…………………………………</w:t>
            </w:r>
          </w:p>
        </w:tc>
        <w:tc>
          <w:tcPr>
            <w:tcW w:w="636" w:type="dxa"/>
            <w:vAlign w:val="bottom"/>
          </w:tcPr>
          <w:p w14:paraId="3C2EEB8C" w14:textId="33CF3FFD" w:rsidR="003C3582" w:rsidRPr="00B44B71" w:rsidRDefault="004A444A" w:rsidP="00591195">
            <w:pPr>
              <w:tabs>
                <w:tab w:val="left" w:pos="9638"/>
              </w:tabs>
              <w:spacing w:after="0" w:line="240" w:lineRule="auto"/>
              <w:jc w:val="center"/>
              <w:rPr>
                <w:rFonts w:ascii="Times New Roman" w:eastAsia="Times New Roman" w:hAnsi="Times New Roman" w:cs="Times New Roman"/>
                <w:kern w:val="0"/>
                <w:sz w:val="28"/>
                <w:szCs w:val="28"/>
                <w:lang w:val="uk-UA"/>
                <w14:ligatures w14:val="none"/>
              </w:rPr>
            </w:pPr>
            <w:r>
              <w:rPr>
                <w:rFonts w:ascii="Times New Roman" w:eastAsia="Times New Roman" w:hAnsi="Times New Roman" w:cs="Times New Roman"/>
                <w:kern w:val="0"/>
                <w:sz w:val="28"/>
                <w:szCs w:val="28"/>
                <w:lang w:val="uk-UA"/>
                <w14:ligatures w14:val="none"/>
              </w:rPr>
              <w:t>201</w:t>
            </w:r>
          </w:p>
        </w:tc>
      </w:tr>
      <w:tr w:rsidR="003C3582" w:rsidRPr="00B057B6" w14:paraId="4625CC9F" w14:textId="77777777" w:rsidTr="00B057B6">
        <w:trPr>
          <w:trHeight w:val="138"/>
        </w:trPr>
        <w:tc>
          <w:tcPr>
            <w:tcW w:w="9322" w:type="dxa"/>
            <w:vAlign w:val="bottom"/>
          </w:tcPr>
          <w:p w14:paraId="33D7DBDE" w14:textId="5D28C32F" w:rsidR="003C3582" w:rsidRPr="00B44B71" w:rsidRDefault="003C3582" w:rsidP="00023291">
            <w:pPr>
              <w:tabs>
                <w:tab w:val="left" w:pos="9638"/>
              </w:tabs>
              <w:spacing w:after="0" w:line="240" w:lineRule="auto"/>
              <w:jc w:val="both"/>
              <w:rPr>
                <w:rFonts w:ascii="Times New Roman" w:eastAsia="Times New Roman" w:hAnsi="Times New Roman" w:cs="Times New Roman"/>
                <w:i/>
                <w:kern w:val="0"/>
                <w:sz w:val="28"/>
                <w:szCs w:val="28"/>
                <w:lang w:val="uk-UA" w:eastAsia="uk-UA"/>
                <w14:ligatures w14:val="none"/>
              </w:rPr>
            </w:pPr>
            <w:r w:rsidRPr="00B44B71">
              <w:rPr>
                <w:rFonts w:ascii="Times New Roman" w:eastAsia="Times New Roman" w:hAnsi="Times New Roman" w:cs="Times New Roman"/>
                <w:bCs/>
                <w:i/>
                <w:kern w:val="0"/>
                <w:sz w:val="28"/>
                <w:szCs w:val="28"/>
                <w:lang w:val="uk-UA"/>
                <w14:ligatures w14:val="none"/>
              </w:rPr>
              <w:t>Лідія Паращук, Любомира Одосій</w:t>
            </w:r>
            <w:r w:rsidRPr="00B44B71">
              <w:rPr>
                <w:rFonts w:ascii="Times New Roman" w:eastAsia="Times New Roman" w:hAnsi="Times New Roman" w:cs="Times New Roman"/>
                <w:bCs/>
                <w:kern w:val="0"/>
                <w:sz w:val="28"/>
                <w:szCs w:val="28"/>
                <w:lang w:val="uk-UA"/>
                <w14:ligatures w14:val="none"/>
              </w:rPr>
              <w:t xml:space="preserve">  О</w:t>
            </w:r>
            <w:r w:rsidRPr="00B44B71">
              <w:rPr>
                <w:rFonts w:ascii="Times New Roman" w:eastAsia="Times New Roman" w:hAnsi="Times New Roman" w:cs="Times New Roman"/>
                <w:bCs/>
                <w:noProof/>
                <w:kern w:val="0"/>
                <w:sz w:val="28"/>
                <w:szCs w:val="28"/>
                <w:lang w:val="uk-UA"/>
                <w14:ligatures w14:val="none"/>
              </w:rPr>
              <w:t xml:space="preserve">собливості реалізації змішаного </w:t>
            </w:r>
            <w:r w:rsidRPr="00B44B71">
              <w:rPr>
                <w:rFonts w:ascii="Times New Roman" w:eastAsia="Times New Roman" w:hAnsi="Times New Roman" w:cs="Times New Roman"/>
                <w:bCs/>
                <w:noProof/>
                <w:kern w:val="0"/>
                <w:sz w:val="28"/>
                <w:szCs w:val="28"/>
                <w:lang w:val="uk-UA"/>
                <w14:ligatures w14:val="none"/>
              </w:rPr>
              <w:lastRenderedPageBreak/>
              <w:t xml:space="preserve">навчання на основі цифрового освітнього середовища як інструменту впровадження індивідуальної освітньої траектроії у систему підготовки військових фахівців…………………………………………………………….. </w:t>
            </w:r>
          </w:p>
        </w:tc>
        <w:tc>
          <w:tcPr>
            <w:tcW w:w="636" w:type="dxa"/>
            <w:vAlign w:val="bottom"/>
          </w:tcPr>
          <w:p w14:paraId="7B1A9728" w14:textId="09B3C415" w:rsidR="003C3582" w:rsidRPr="00B44B71" w:rsidRDefault="004A444A" w:rsidP="00591195">
            <w:pPr>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lastRenderedPageBreak/>
              <w:t>217</w:t>
            </w:r>
          </w:p>
        </w:tc>
      </w:tr>
      <w:tr w:rsidR="003C3582" w:rsidRPr="00B057B6" w14:paraId="4BCE88CA" w14:textId="77777777" w:rsidTr="00B057B6">
        <w:trPr>
          <w:trHeight w:val="138"/>
        </w:trPr>
        <w:tc>
          <w:tcPr>
            <w:tcW w:w="9322" w:type="dxa"/>
            <w:vAlign w:val="bottom"/>
          </w:tcPr>
          <w:p w14:paraId="3327C99A" w14:textId="14158544" w:rsidR="003C3582" w:rsidRPr="00B44B71" w:rsidRDefault="00635D73" w:rsidP="00023291">
            <w:pPr>
              <w:tabs>
                <w:tab w:val="left" w:pos="9638"/>
              </w:tabs>
              <w:spacing w:after="0" w:line="240" w:lineRule="auto"/>
              <w:rPr>
                <w:rFonts w:ascii="Times New Roman" w:eastAsia="Times New Roman" w:hAnsi="Times New Roman" w:cs="Times New Roman"/>
                <w:bCs/>
                <w:i/>
                <w:kern w:val="0"/>
                <w:sz w:val="28"/>
                <w:szCs w:val="28"/>
                <w:lang w:val="uk-UA" w:eastAsia="ru-RU"/>
                <w14:ligatures w14:val="none"/>
              </w:rPr>
            </w:pPr>
            <w:r w:rsidRPr="00635D73">
              <w:rPr>
                <w:rFonts w:ascii="Times New Roman" w:eastAsia="Calibri" w:hAnsi="Times New Roman" w:cs="Times New Roman"/>
                <w:bCs/>
                <w:i/>
                <w:iCs/>
                <w:kern w:val="0"/>
                <w:sz w:val="28"/>
                <w:szCs w:val="28"/>
                <w:lang w:val="uk-UA"/>
                <w14:ligatures w14:val="none"/>
              </w:rPr>
              <w:t>Людмила Приполова</w:t>
            </w:r>
            <w:r>
              <w:rPr>
                <w:rFonts w:ascii="Times New Roman" w:eastAsia="Calibri" w:hAnsi="Times New Roman" w:cs="Times New Roman"/>
                <w:bCs/>
                <w:i/>
                <w:iCs/>
                <w:kern w:val="0"/>
                <w:sz w:val="28"/>
                <w:szCs w:val="28"/>
                <w:lang w:val="uk-UA"/>
                <w14:ligatures w14:val="none"/>
              </w:rPr>
              <w:t xml:space="preserve">  </w:t>
            </w:r>
            <w:r>
              <w:rPr>
                <w:rFonts w:ascii="Times New Roman" w:eastAsia="Calibri" w:hAnsi="Times New Roman" w:cs="Times New Roman"/>
                <w:bCs/>
                <w:kern w:val="0"/>
                <w:sz w:val="28"/>
                <w:szCs w:val="28"/>
                <w:lang w:val="uk-UA"/>
                <w14:ligatures w14:val="none"/>
              </w:rPr>
              <w:t>П</w:t>
            </w:r>
            <w:r w:rsidRPr="00635D73">
              <w:rPr>
                <w:rFonts w:ascii="Times New Roman" w:eastAsia="Calibri" w:hAnsi="Times New Roman" w:cs="Times New Roman"/>
                <w:bCs/>
                <w:kern w:val="0"/>
                <w:sz w:val="28"/>
                <w:szCs w:val="28"/>
                <w:lang w:val="uk-UA"/>
                <w14:ligatures w14:val="none"/>
              </w:rPr>
              <w:t xml:space="preserve">ерспективи міжвідомчої кооперації в науковій діяльності у системі </w:t>
            </w:r>
            <w:r>
              <w:rPr>
                <w:rFonts w:ascii="Times New Roman" w:eastAsia="Calibri" w:hAnsi="Times New Roman" w:cs="Times New Roman"/>
                <w:bCs/>
                <w:kern w:val="0"/>
                <w:sz w:val="28"/>
                <w:szCs w:val="28"/>
                <w:lang w:val="uk-UA"/>
                <w14:ligatures w14:val="none"/>
              </w:rPr>
              <w:t>М</w:t>
            </w:r>
            <w:r w:rsidRPr="00635D73">
              <w:rPr>
                <w:rFonts w:ascii="Times New Roman" w:eastAsia="Calibri" w:hAnsi="Times New Roman" w:cs="Times New Roman"/>
                <w:bCs/>
                <w:kern w:val="0"/>
                <w:sz w:val="28"/>
                <w:szCs w:val="28"/>
                <w:lang w:val="uk-UA"/>
                <w14:ligatures w14:val="none"/>
              </w:rPr>
              <w:t xml:space="preserve">іністерства оборони </w:t>
            </w:r>
            <w:r>
              <w:rPr>
                <w:rFonts w:ascii="Times New Roman" w:eastAsia="Calibri" w:hAnsi="Times New Roman" w:cs="Times New Roman"/>
                <w:bCs/>
                <w:kern w:val="0"/>
                <w:sz w:val="28"/>
                <w:szCs w:val="28"/>
                <w:lang w:val="uk-UA"/>
                <w14:ligatures w14:val="none"/>
              </w:rPr>
              <w:t>У</w:t>
            </w:r>
            <w:r w:rsidRPr="00635D73">
              <w:rPr>
                <w:rFonts w:ascii="Times New Roman" w:eastAsia="Calibri" w:hAnsi="Times New Roman" w:cs="Times New Roman"/>
                <w:bCs/>
                <w:kern w:val="0"/>
                <w:sz w:val="28"/>
                <w:szCs w:val="28"/>
                <w:lang w:val="uk-UA"/>
                <w14:ligatures w14:val="none"/>
              </w:rPr>
              <w:t>країни</w:t>
            </w:r>
            <w:r>
              <w:rPr>
                <w:rFonts w:ascii="Times New Roman" w:eastAsia="Calibri" w:hAnsi="Times New Roman" w:cs="Times New Roman"/>
                <w:bCs/>
                <w:kern w:val="0"/>
                <w:sz w:val="28"/>
                <w:szCs w:val="28"/>
                <w:lang w:val="uk-UA"/>
                <w14:ligatures w14:val="none"/>
              </w:rPr>
              <w:t>…………………………</w:t>
            </w:r>
          </w:p>
        </w:tc>
        <w:tc>
          <w:tcPr>
            <w:tcW w:w="636" w:type="dxa"/>
            <w:vAlign w:val="bottom"/>
          </w:tcPr>
          <w:p w14:paraId="186DEA9F" w14:textId="24171D93" w:rsidR="003C3582" w:rsidRPr="00B44B71" w:rsidRDefault="004A444A" w:rsidP="00591195">
            <w:pPr>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237</w:t>
            </w:r>
          </w:p>
        </w:tc>
      </w:tr>
      <w:tr w:rsidR="003C3582" w:rsidRPr="00B057B6" w14:paraId="11EAB094" w14:textId="77777777" w:rsidTr="00B057B6">
        <w:trPr>
          <w:trHeight w:val="138"/>
        </w:trPr>
        <w:tc>
          <w:tcPr>
            <w:tcW w:w="9322" w:type="dxa"/>
            <w:vAlign w:val="bottom"/>
          </w:tcPr>
          <w:p w14:paraId="4D627B9C" w14:textId="25D6551D" w:rsidR="003C3582" w:rsidRPr="00635D73" w:rsidRDefault="003C3582" w:rsidP="00023291">
            <w:pPr>
              <w:shd w:val="clear" w:color="auto" w:fill="FFFFFF"/>
              <w:tabs>
                <w:tab w:val="left" w:pos="1134"/>
                <w:tab w:val="left" w:pos="9638"/>
              </w:tabs>
              <w:adjustRightInd w:val="0"/>
              <w:snapToGrid w:val="0"/>
              <w:spacing w:after="0" w:line="240" w:lineRule="auto"/>
              <w:jc w:val="both"/>
              <w:rPr>
                <w:rFonts w:ascii="Times New Roman" w:eastAsia="Times New Roman" w:hAnsi="Times New Roman" w:cs="Times New Roman"/>
                <w:i/>
                <w:kern w:val="0"/>
                <w:sz w:val="28"/>
                <w:szCs w:val="28"/>
                <w:highlight w:val="yellow"/>
                <w:lang w:val="uk-UA" w:eastAsia="uk-UA"/>
                <w14:ligatures w14:val="none"/>
              </w:rPr>
            </w:pPr>
            <w:r w:rsidRPr="00727E46">
              <w:rPr>
                <w:rFonts w:ascii="Times New Roman" w:eastAsia="Times New Roman" w:hAnsi="Times New Roman" w:cs="Times New Roman"/>
                <w:bCs/>
                <w:i/>
                <w:iCs/>
                <w:kern w:val="0"/>
                <w:sz w:val="28"/>
                <w:szCs w:val="28"/>
                <w:lang w:val="uk-UA" w:eastAsia="ru-RU"/>
                <w14:ligatures w14:val="none"/>
              </w:rPr>
              <w:t>Віталій Рахманов</w:t>
            </w:r>
            <w:r w:rsidRPr="00727E46">
              <w:rPr>
                <w:rFonts w:ascii="Times New Roman" w:eastAsia="Times New Roman" w:hAnsi="Times New Roman" w:cs="Times New Roman"/>
                <w:bCs/>
                <w:kern w:val="0"/>
                <w:sz w:val="28"/>
                <w:szCs w:val="28"/>
                <w:lang w:val="uk-UA" w:eastAsia="ru-RU"/>
                <w14:ligatures w14:val="none"/>
              </w:rPr>
              <w:t xml:space="preserve"> </w:t>
            </w:r>
            <w:r w:rsidR="00727E46">
              <w:rPr>
                <w:rFonts w:ascii="Times New Roman" w:eastAsia="Times New Roman" w:hAnsi="Times New Roman" w:cs="Times New Roman"/>
                <w:bCs/>
                <w:kern w:val="0"/>
                <w:sz w:val="28"/>
                <w:szCs w:val="28"/>
                <w:lang w:val="uk-UA" w:eastAsia="ru-RU"/>
                <w14:ligatures w14:val="none"/>
              </w:rPr>
              <w:t xml:space="preserve"> </w:t>
            </w:r>
            <w:r w:rsidR="0023456B" w:rsidRPr="00727E46">
              <w:rPr>
                <w:rFonts w:ascii="Times New Roman" w:eastAsia="Times New Roman" w:hAnsi="Times New Roman" w:cs="Times New Roman"/>
                <w:bCs/>
                <w:kern w:val="0"/>
                <w:sz w:val="28"/>
                <w:szCs w:val="28"/>
                <w:lang w:val="uk-UA" w:eastAsia="uk-UA"/>
                <w14:ligatures w14:val="none"/>
              </w:rPr>
              <w:t>Прогнозування</w:t>
            </w:r>
            <w:r w:rsidR="0023456B" w:rsidRPr="0023456B">
              <w:rPr>
                <w:rFonts w:ascii="Times New Roman" w:eastAsia="Times New Roman" w:hAnsi="Times New Roman" w:cs="Times New Roman"/>
                <w:bCs/>
                <w:kern w:val="0"/>
                <w:sz w:val="28"/>
                <w:szCs w:val="28"/>
                <w:lang w:val="uk-UA" w:eastAsia="uk-UA"/>
                <w14:ligatures w14:val="none"/>
              </w:rPr>
              <w:t xml:space="preserve"> освітньої діяльності у </w:t>
            </w:r>
            <w:r w:rsidR="00727E46" w:rsidRPr="0023456B">
              <w:rPr>
                <w:rFonts w:ascii="Times New Roman" w:eastAsia="Times New Roman" w:hAnsi="Times New Roman" w:cs="Times New Roman"/>
                <w:bCs/>
                <w:kern w:val="0"/>
                <w:sz w:val="28"/>
                <w:szCs w:val="28"/>
                <w:lang w:val="uk-UA" w:eastAsia="uk-UA"/>
                <w14:ligatures w14:val="none"/>
              </w:rPr>
              <w:t>ВВНЗ</w:t>
            </w:r>
            <w:r w:rsidR="0023456B" w:rsidRPr="0023456B">
              <w:rPr>
                <w:rFonts w:ascii="Times New Roman" w:eastAsia="Times New Roman" w:hAnsi="Times New Roman" w:cs="Times New Roman"/>
                <w:bCs/>
                <w:kern w:val="0"/>
                <w:sz w:val="28"/>
                <w:szCs w:val="28"/>
                <w:lang w:val="uk-UA" w:eastAsia="uk-UA"/>
                <w14:ligatures w14:val="none"/>
              </w:rPr>
              <w:t xml:space="preserve"> за допомогою штучного інтелекту на основі статистичного аналізу повітряних тривог</w:t>
            </w:r>
            <w:r w:rsidR="00727E46">
              <w:rPr>
                <w:rFonts w:ascii="Times New Roman" w:eastAsia="Times New Roman" w:hAnsi="Times New Roman" w:cs="Times New Roman"/>
                <w:bCs/>
                <w:kern w:val="0"/>
                <w:sz w:val="28"/>
                <w:szCs w:val="28"/>
                <w:lang w:val="uk-UA" w:eastAsia="uk-UA"/>
                <w14:ligatures w14:val="none"/>
              </w:rPr>
              <w:t>……………………………………………………………………………</w:t>
            </w:r>
          </w:p>
        </w:tc>
        <w:tc>
          <w:tcPr>
            <w:tcW w:w="636" w:type="dxa"/>
            <w:vAlign w:val="bottom"/>
          </w:tcPr>
          <w:p w14:paraId="562CDB6C" w14:textId="08D9111D" w:rsidR="003C3582" w:rsidRPr="00B44B71" w:rsidRDefault="004A444A" w:rsidP="00591195">
            <w:pPr>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24</w:t>
            </w:r>
            <w:r w:rsidR="00807C67">
              <w:rPr>
                <w:rFonts w:ascii="Times New Roman" w:eastAsia="Times New Roman" w:hAnsi="Times New Roman" w:cs="Times New Roman"/>
                <w:kern w:val="0"/>
                <w:sz w:val="28"/>
                <w:szCs w:val="28"/>
                <w:lang w:val="uk-UA" w:eastAsia="ru-RU"/>
                <w14:ligatures w14:val="none"/>
              </w:rPr>
              <w:t>7</w:t>
            </w:r>
          </w:p>
        </w:tc>
      </w:tr>
      <w:tr w:rsidR="003C3582" w:rsidRPr="00B057B6" w14:paraId="31EC1B74" w14:textId="77777777" w:rsidTr="00B057B6">
        <w:trPr>
          <w:trHeight w:val="138"/>
        </w:trPr>
        <w:tc>
          <w:tcPr>
            <w:tcW w:w="9322" w:type="dxa"/>
            <w:vAlign w:val="bottom"/>
          </w:tcPr>
          <w:p w14:paraId="6B70F0B4" w14:textId="0C2AB310" w:rsidR="003C3582" w:rsidRPr="00B44B71" w:rsidRDefault="003C3582" w:rsidP="00023291">
            <w:pPr>
              <w:tabs>
                <w:tab w:val="left" w:pos="9638"/>
              </w:tabs>
              <w:spacing w:after="0" w:line="240" w:lineRule="auto"/>
              <w:jc w:val="both"/>
              <w:rPr>
                <w:rFonts w:ascii="Times New Roman" w:eastAsia="Times New Roman" w:hAnsi="Times New Roman" w:cs="Times New Roman"/>
                <w:bCs/>
                <w:i/>
                <w:kern w:val="0"/>
                <w:sz w:val="28"/>
                <w:szCs w:val="28"/>
                <w:lang w:val="uk-UA"/>
                <w14:ligatures w14:val="none"/>
              </w:rPr>
            </w:pPr>
            <w:r w:rsidRPr="00B44B71">
              <w:rPr>
                <w:rFonts w:ascii="Times New Roman" w:eastAsia="Times New Roman" w:hAnsi="Times New Roman" w:cs="Times New Roman"/>
                <w:i/>
                <w:kern w:val="0"/>
                <w:sz w:val="28"/>
                <w:szCs w:val="28"/>
                <w:lang w:val="uk-UA" w:eastAsia="ru-RU"/>
                <w14:ligatures w14:val="none"/>
              </w:rPr>
              <w:t>Віталій Саган</w:t>
            </w:r>
            <w:r w:rsidRPr="00B44B71">
              <w:rPr>
                <w:rFonts w:ascii="Times New Roman" w:eastAsia="Times New Roman" w:hAnsi="Times New Roman" w:cs="Times New Roman"/>
                <w:kern w:val="0"/>
                <w:sz w:val="28"/>
                <w:szCs w:val="28"/>
                <w:lang w:val="uk-UA" w:eastAsia="ru-RU"/>
                <w14:ligatures w14:val="none"/>
              </w:rPr>
              <w:t xml:space="preserve">  Підготовка офіцерів логістики Державної прикордонної служби України в сучасних умовах ведення бойових дій…………………….</w:t>
            </w:r>
          </w:p>
        </w:tc>
        <w:tc>
          <w:tcPr>
            <w:tcW w:w="636" w:type="dxa"/>
            <w:vAlign w:val="bottom"/>
          </w:tcPr>
          <w:p w14:paraId="66CF1882" w14:textId="33E5E73E" w:rsidR="003C3582" w:rsidRPr="00B44B71" w:rsidRDefault="00591195" w:rsidP="00591195">
            <w:pPr>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257</w:t>
            </w:r>
          </w:p>
        </w:tc>
      </w:tr>
      <w:tr w:rsidR="003C3582" w:rsidRPr="00B057B6" w14:paraId="6DBCB7C7" w14:textId="77777777" w:rsidTr="00B057B6">
        <w:trPr>
          <w:trHeight w:val="138"/>
        </w:trPr>
        <w:tc>
          <w:tcPr>
            <w:tcW w:w="9322" w:type="dxa"/>
            <w:vAlign w:val="bottom"/>
          </w:tcPr>
          <w:p w14:paraId="443DEBDD" w14:textId="4C9E9813" w:rsidR="003C3582" w:rsidRPr="00B44B71" w:rsidRDefault="003C3582" w:rsidP="00023291">
            <w:pPr>
              <w:tabs>
                <w:tab w:val="left" w:pos="9638"/>
              </w:tabs>
              <w:spacing w:after="0" w:line="240" w:lineRule="auto"/>
              <w:rPr>
                <w:rFonts w:ascii="Times New Roman" w:eastAsia="Times New Roman" w:hAnsi="Times New Roman" w:cs="Times New Roman"/>
                <w:bCs/>
                <w:i/>
                <w:kern w:val="0"/>
                <w:sz w:val="28"/>
                <w:szCs w:val="28"/>
                <w:lang w:val="uk-UA"/>
                <w14:ligatures w14:val="none"/>
              </w:rPr>
            </w:pPr>
            <w:r w:rsidRPr="00B44B71">
              <w:rPr>
                <w:rFonts w:ascii="Times New Roman" w:eastAsia="Times New Roman" w:hAnsi="Times New Roman" w:cs="Times New Roman"/>
                <w:i/>
                <w:iCs/>
                <w:color w:val="000000"/>
                <w:kern w:val="0"/>
                <w:sz w:val="28"/>
                <w:szCs w:val="28"/>
                <w:lang w:val="uk-UA" w:eastAsia="ru-RU"/>
                <w14:ligatures w14:val="none"/>
              </w:rPr>
              <w:t xml:space="preserve">Валентина Свистун, Юрій Фіногенов </w:t>
            </w:r>
            <w:r w:rsidRPr="00B44B71">
              <w:rPr>
                <w:rFonts w:ascii="Times New Roman" w:eastAsia="Calibri" w:hAnsi="Times New Roman" w:cs="Times New Roman"/>
                <w:kern w:val="0"/>
                <w:sz w:val="28"/>
                <w:szCs w:val="28"/>
                <w:lang w:val="uk-UA" w:eastAsia="ru-RU"/>
                <w14:ligatures w14:val="none"/>
              </w:rPr>
              <w:t>Педагогічні умови формування професійної компетентності майбутніх офіцерів – фахівців з фізичної культури і спорту Збройних СилУкраїни……………………………………….</w:t>
            </w:r>
          </w:p>
        </w:tc>
        <w:tc>
          <w:tcPr>
            <w:tcW w:w="636" w:type="dxa"/>
            <w:vAlign w:val="bottom"/>
          </w:tcPr>
          <w:p w14:paraId="168E576D" w14:textId="1BE65D34" w:rsidR="003C3582" w:rsidRPr="00B44B71" w:rsidRDefault="00591195" w:rsidP="00591195">
            <w:pPr>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276</w:t>
            </w:r>
          </w:p>
        </w:tc>
      </w:tr>
      <w:tr w:rsidR="003C3582" w:rsidRPr="00B057B6" w14:paraId="68B47E46" w14:textId="77777777" w:rsidTr="00B057B6">
        <w:trPr>
          <w:trHeight w:val="138"/>
        </w:trPr>
        <w:tc>
          <w:tcPr>
            <w:tcW w:w="9322" w:type="dxa"/>
            <w:vAlign w:val="bottom"/>
          </w:tcPr>
          <w:p w14:paraId="7384D848" w14:textId="6A5414B6" w:rsidR="003C3582" w:rsidRPr="00B44B71" w:rsidRDefault="003C3582" w:rsidP="00023291">
            <w:pPr>
              <w:widowControl w:val="0"/>
              <w:shd w:val="clear" w:color="auto" w:fill="FFFFFF"/>
              <w:tabs>
                <w:tab w:val="left" w:pos="9638"/>
              </w:tabs>
              <w:spacing w:after="0" w:line="240" w:lineRule="auto"/>
              <w:rPr>
                <w:rFonts w:ascii="Times New Roman" w:eastAsia="Times New Roman" w:hAnsi="Times New Roman" w:cs="Times New Roman"/>
                <w:bCs/>
                <w:i/>
                <w:kern w:val="0"/>
                <w:sz w:val="28"/>
                <w:szCs w:val="28"/>
                <w:lang w:val="uk-UA"/>
                <w14:ligatures w14:val="none"/>
              </w:rPr>
            </w:pPr>
            <w:r w:rsidRPr="00B44B71">
              <w:rPr>
                <w:rFonts w:ascii="Times New Roman" w:eastAsia="Times New Roman" w:hAnsi="Times New Roman" w:cs="Times New Roman"/>
                <w:i/>
                <w:iCs/>
                <w:kern w:val="0"/>
                <w:sz w:val="28"/>
                <w:szCs w:val="28"/>
                <w:lang w:val="uk-UA" w:eastAsia="uk-UA"/>
                <w14:ligatures w14:val="none"/>
              </w:rPr>
              <w:t xml:space="preserve">Олег Фігура, </w:t>
            </w:r>
            <w:r w:rsidRPr="00B44B71">
              <w:rPr>
                <w:rFonts w:ascii="Times New Roman" w:eastAsia="Times New Roman" w:hAnsi="Times New Roman" w:cs="Times New Roman"/>
                <w:i/>
                <w:kern w:val="0"/>
                <w:sz w:val="28"/>
                <w:szCs w:val="28"/>
                <w:lang w:val="uk-UA" w:eastAsia="ru-RU"/>
                <w14:ligatures w14:val="none"/>
              </w:rPr>
              <w:t xml:space="preserve">Богдан Коваль, </w:t>
            </w:r>
            <w:r w:rsidRPr="00B44B71">
              <w:rPr>
                <w:rFonts w:ascii="Times New Roman" w:eastAsia="Calibri" w:hAnsi="Times New Roman" w:cs="Times New Roman"/>
                <w:bCs/>
                <w:i/>
                <w:kern w:val="0"/>
                <w:sz w:val="28"/>
                <w:szCs w:val="28"/>
                <w:lang w:val="uk-UA"/>
                <w14:ligatures w14:val="none"/>
              </w:rPr>
              <w:t xml:space="preserve">Ірина Боровик, </w:t>
            </w:r>
            <w:r w:rsidRPr="00B44B71">
              <w:rPr>
                <w:rFonts w:ascii="Times New Roman" w:eastAsia="Times New Roman" w:hAnsi="Times New Roman" w:cs="Times New Roman"/>
                <w:i/>
                <w:iCs/>
                <w:kern w:val="0"/>
                <w:sz w:val="28"/>
                <w:szCs w:val="28"/>
                <w:lang w:val="uk-UA" w:eastAsia="uk-UA"/>
                <w14:ligatures w14:val="none"/>
              </w:rPr>
              <w:t>Олег Боровик</w:t>
            </w:r>
            <w:r w:rsidRPr="00B44B71">
              <w:rPr>
                <w:rFonts w:ascii="Times New Roman" w:eastAsia="Times New Roman" w:hAnsi="Times New Roman" w:cs="Times New Roman"/>
                <w:iCs/>
                <w:kern w:val="0"/>
                <w:sz w:val="28"/>
                <w:szCs w:val="28"/>
                <w:lang w:val="uk-UA" w:eastAsia="uk-UA"/>
                <w14:ligatures w14:val="none"/>
              </w:rPr>
              <w:t xml:space="preserve"> </w:t>
            </w:r>
            <w:r w:rsidRPr="00B44B71">
              <w:rPr>
                <w:rFonts w:ascii="Times New Roman" w:eastAsia="Calibri" w:hAnsi="Times New Roman" w:cs="Times New Roman"/>
                <w:kern w:val="0"/>
                <w:sz w:val="28"/>
                <w:szCs w:val="28"/>
                <w:lang w:val="uk-UA"/>
                <w14:ligatures w14:val="none"/>
              </w:rPr>
              <w:t>Модель реалізації принципу «освіта впродовж військової кар’єри» для основних типових посад офіцерського складу Державної прикордонної служби України……………………………………………………………………………</w:t>
            </w:r>
          </w:p>
        </w:tc>
        <w:tc>
          <w:tcPr>
            <w:tcW w:w="636" w:type="dxa"/>
            <w:vAlign w:val="bottom"/>
          </w:tcPr>
          <w:p w14:paraId="4A6A3D0A" w14:textId="4FFCE346" w:rsidR="003C3582" w:rsidRPr="00B44B71" w:rsidRDefault="00591195" w:rsidP="00591195">
            <w:pPr>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291</w:t>
            </w:r>
          </w:p>
        </w:tc>
      </w:tr>
      <w:tr w:rsidR="003C3582" w:rsidRPr="00B057B6" w14:paraId="64ABC4AE" w14:textId="77777777" w:rsidTr="00B057B6">
        <w:trPr>
          <w:trHeight w:val="725"/>
        </w:trPr>
        <w:tc>
          <w:tcPr>
            <w:tcW w:w="9322" w:type="dxa"/>
            <w:vAlign w:val="bottom"/>
          </w:tcPr>
          <w:p w14:paraId="6F5D34DE" w14:textId="6BE0D4BD" w:rsidR="003C3582" w:rsidRPr="00B44B71" w:rsidRDefault="003C3582" w:rsidP="00023291">
            <w:pPr>
              <w:tabs>
                <w:tab w:val="left" w:pos="9638"/>
              </w:tabs>
              <w:spacing w:after="0" w:line="240" w:lineRule="auto"/>
              <w:jc w:val="both"/>
              <w:rPr>
                <w:rFonts w:ascii="Times New Roman" w:eastAsia="Times New Roman" w:hAnsi="Times New Roman" w:cs="Times New Roman"/>
                <w:i/>
                <w:kern w:val="0"/>
                <w:sz w:val="28"/>
                <w:szCs w:val="28"/>
                <w:lang w:val="uk-UA" w:eastAsia="ru-RU"/>
                <w14:ligatures w14:val="none"/>
              </w:rPr>
            </w:pPr>
            <w:r w:rsidRPr="00B44B71">
              <w:rPr>
                <w:rFonts w:ascii="Times New Roman" w:eastAsia="Times New Roman" w:hAnsi="Times New Roman" w:cs="Times New Roman"/>
                <w:bCs/>
                <w:i/>
                <w:kern w:val="0"/>
                <w:sz w:val="28"/>
                <w:szCs w:val="28"/>
                <w:lang w:val="uk-UA"/>
                <w14:ligatures w14:val="none"/>
              </w:rPr>
              <w:t>Олександр Хрущак</w:t>
            </w:r>
            <w:r w:rsidRPr="00B44B71">
              <w:rPr>
                <w:rFonts w:ascii="Times New Roman" w:eastAsia="Times New Roman" w:hAnsi="Times New Roman" w:cs="Times New Roman"/>
                <w:bCs/>
                <w:kern w:val="0"/>
                <w:sz w:val="28"/>
                <w:szCs w:val="28"/>
                <w:lang w:val="uk-UA"/>
                <w14:ligatures w14:val="none"/>
              </w:rPr>
              <w:t xml:space="preserve">, </w:t>
            </w:r>
            <w:r w:rsidRPr="00B44B71">
              <w:rPr>
                <w:rFonts w:ascii="Times New Roman" w:eastAsia="Times New Roman" w:hAnsi="Times New Roman" w:cs="Times New Roman"/>
                <w:kern w:val="0"/>
                <w:sz w:val="28"/>
                <w:szCs w:val="28"/>
                <w:lang w:val="uk-UA"/>
                <w14:ligatures w14:val="none"/>
              </w:rPr>
              <w:t>Історичні джерела патріотизму  в контексті національного розвитку України………………………………………………</w:t>
            </w:r>
          </w:p>
        </w:tc>
        <w:tc>
          <w:tcPr>
            <w:tcW w:w="636" w:type="dxa"/>
            <w:vAlign w:val="bottom"/>
          </w:tcPr>
          <w:p w14:paraId="65C22900" w14:textId="4AABFBB1" w:rsidR="003C3582" w:rsidRPr="00B44B71" w:rsidRDefault="00B057B6" w:rsidP="00591195">
            <w:pPr>
              <w:tabs>
                <w:tab w:val="left" w:pos="9638"/>
              </w:tabs>
              <w:spacing w:after="0" w:line="240" w:lineRule="auto"/>
              <w:ind w:left="-110"/>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30</w:t>
            </w:r>
            <w:r w:rsidR="00591195">
              <w:rPr>
                <w:rFonts w:ascii="Times New Roman" w:eastAsia="Times New Roman" w:hAnsi="Times New Roman" w:cs="Times New Roman"/>
                <w:kern w:val="0"/>
                <w:sz w:val="28"/>
                <w:szCs w:val="28"/>
                <w:lang w:val="uk-UA" w:eastAsia="ru-RU"/>
                <w14:ligatures w14:val="none"/>
              </w:rPr>
              <w:t>7</w:t>
            </w:r>
          </w:p>
        </w:tc>
      </w:tr>
      <w:tr w:rsidR="00635D73" w:rsidRPr="00B057B6" w14:paraId="721FBDDC" w14:textId="77777777" w:rsidTr="00B057B6">
        <w:trPr>
          <w:trHeight w:val="725"/>
        </w:trPr>
        <w:tc>
          <w:tcPr>
            <w:tcW w:w="9322" w:type="dxa"/>
            <w:vAlign w:val="bottom"/>
          </w:tcPr>
          <w:p w14:paraId="09B1E179" w14:textId="77777777" w:rsidR="00B057B6" w:rsidRPr="00B057B6" w:rsidRDefault="00B057B6" w:rsidP="00B057B6">
            <w:pPr>
              <w:spacing w:after="0" w:line="240" w:lineRule="auto"/>
              <w:ind w:left="-74" w:firstLine="7"/>
              <w:jc w:val="both"/>
              <w:rPr>
                <w:rFonts w:ascii="Times New Roman" w:eastAsia="Times New Roman" w:hAnsi="Times New Roman" w:cs="Times New Roman"/>
                <w:bCs/>
                <w:kern w:val="0"/>
                <w:sz w:val="28"/>
                <w:szCs w:val="28"/>
                <w:lang w:val="ru-RU" w:eastAsia="ru-RU"/>
                <w14:ligatures w14:val="none"/>
              </w:rPr>
            </w:pPr>
            <w:r w:rsidRPr="00B057B6">
              <w:rPr>
                <w:rFonts w:ascii="Times New Roman" w:eastAsia="Times New Roman" w:hAnsi="Times New Roman" w:cs="Times New Roman"/>
                <w:bCs/>
                <w:kern w:val="0"/>
                <w:sz w:val="28"/>
                <w:szCs w:val="28"/>
                <w:lang w:val="ru-RU" w:eastAsia="ru-RU"/>
                <w14:ligatures w14:val="none"/>
              </w:rPr>
              <w:t xml:space="preserve">Порядок оформлення та подання статей до збірника наукових </w:t>
            </w:r>
          </w:p>
          <w:p w14:paraId="1F0FDC11" w14:textId="0FB79A56" w:rsidR="00635D73" w:rsidRPr="00B44B71" w:rsidRDefault="00B057B6" w:rsidP="00B057B6">
            <w:pPr>
              <w:tabs>
                <w:tab w:val="left" w:pos="9638"/>
              </w:tabs>
              <w:spacing w:after="0" w:line="240" w:lineRule="auto"/>
              <w:jc w:val="both"/>
              <w:rPr>
                <w:rFonts w:ascii="Times New Roman" w:eastAsia="Times New Roman" w:hAnsi="Times New Roman" w:cs="Times New Roman"/>
                <w:bCs/>
                <w:i/>
                <w:kern w:val="0"/>
                <w:sz w:val="28"/>
                <w:szCs w:val="28"/>
                <w:lang w:val="uk-UA"/>
                <w14:ligatures w14:val="none"/>
              </w:rPr>
            </w:pPr>
            <w:r w:rsidRPr="00B057B6">
              <w:rPr>
                <w:rFonts w:ascii="Times New Roman" w:eastAsia="Times New Roman" w:hAnsi="Times New Roman" w:cs="Times New Roman"/>
                <w:bCs/>
                <w:kern w:val="0"/>
                <w:sz w:val="28"/>
                <w:szCs w:val="28"/>
                <w:lang w:val="ru-RU" w:eastAsia="ru-RU"/>
                <w14:ligatures w14:val="none"/>
              </w:rPr>
              <w:t>праць «Військова освіта» Національного університету оборони України</w:t>
            </w:r>
            <w:r>
              <w:rPr>
                <w:rFonts w:ascii="Times New Roman" w:eastAsia="Times New Roman" w:hAnsi="Times New Roman" w:cs="Times New Roman"/>
                <w:bCs/>
                <w:kern w:val="0"/>
                <w:sz w:val="28"/>
                <w:szCs w:val="28"/>
                <w:lang w:val="ru-RU" w:eastAsia="ru-RU"/>
                <w14:ligatures w14:val="none"/>
              </w:rPr>
              <w:t>…….</w:t>
            </w:r>
          </w:p>
        </w:tc>
        <w:tc>
          <w:tcPr>
            <w:tcW w:w="636" w:type="dxa"/>
            <w:vAlign w:val="bottom"/>
          </w:tcPr>
          <w:p w14:paraId="3E7A3A6A" w14:textId="2FE440D2" w:rsidR="00635D73" w:rsidRPr="00B44B71" w:rsidRDefault="00591195" w:rsidP="00591195">
            <w:pPr>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319</w:t>
            </w:r>
          </w:p>
        </w:tc>
      </w:tr>
    </w:tbl>
    <w:p w14:paraId="5531DE0B" w14:textId="77777777" w:rsidR="00B44B71" w:rsidRDefault="00B44B71"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7B6C3ECD" w14:textId="77777777" w:rsidR="00654D6D" w:rsidRDefault="00654D6D"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0CD5F0AF" w14:textId="77777777" w:rsidR="00654D6D" w:rsidRDefault="00654D6D"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53655D17" w14:textId="77777777" w:rsidR="00654D6D" w:rsidRDefault="00654D6D"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0DCA4D56" w14:textId="77777777" w:rsidR="00654D6D" w:rsidRDefault="00654D6D"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61C35360" w14:textId="77777777" w:rsidR="00654D6D" w:rsidRDefault="00654D6D"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65C2D0AE" w14:textId="77777777" w:rsidR="00654D6D" w:rsidRDefault="00654D6D"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2CE57F5B" w14:textId="77777777" w:rsidR="00654D6D" w:rsidRDefault="00654D6D"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50BA1CC8" w14:textId="77777777" w:rsidR="00654D6D" w:rsidRDefault="00654D6D"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002AB0E2" w14:textId="77777777" w:rsidR="00654D6D" w:rsidRDefault="00654D6D"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5AFF1151" w14:textId="77777777" w:rsidR="00654D6D" w:rsidRDefault="00654D6D"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1A41BD9F" w14:textId="77777777" w:rsidR="00654D6D" w:rsidRDefault="00654D6D"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0F710478" w14:textId="77777777" w:rsidR="00654D6D" w:rsidRDefault="00654D6D"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1071A91C" w14:textId="77777777" w:rsidR="00654D6D" w:rsidRDefault="00654D6D"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5C049714" w14:textId="77777777" w:rsidR="00654D6D" w:rsidRDefault="00654D6D"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19659BB8" w14:textId="77777777" w:rsidR="00654D6D" w:rsidRDefault="00654D6D"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0FE65357" w14:textId="77777777" w:rsidR="00654D6D" w:rsidRDefault="00654D6D"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31E8862B" w14:textId="77777777" w:rsidR="00654D6D" w:rsidRDefault="00654D6D"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6A132193" w14:textId="77777777" w:rsidR="00591195" w:rsidRDefault="00591195"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2E979F05" w14:textId="77777777" w:rsidR="00591195" w:rsidRDefault="00591195"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18EDF9B5" w14:textId="77777777" w:rsidR="00591195" w:rsidRDefault="00591195"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6F21F35C" w14:textId="77777777" w:rsidR="00591195" w:rsidRDefault="00591195"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p w14:paraId="752035DE" w14:textId="7C915976"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r w:rsidRPr="00B44B71">
        <w:rPr>
          <w:rFonts w:ascii="Times New Roman" w:eastAsia="Times New Roman" w:hAnsi="Times New Roman" w:cs="Times New Roman"/>
          <w:b/>
          <w:kern w:val="0"/>
          <w:sz w:val="28"/>
          <w:szCs w:val="28"/>
          <w:lang w:val="uk-UA" w:eastAsia="ru-RU"/>
          <w14:ligatures w14:val="none"/>
        </w:rPr>
        <w:t>CONTENTS</w:t>
      </w:r>
    </w:p>
    <w:p w14:paraId="6FBF78BC"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b/>
          <w:kern w:val="0"/>
          <w:sz w:val="28"/>
          <w:szCs w:val="28"/>
          <w:lang w:val="uk-UA" w:eastAsia="ru-RU"/>
          <w14:ligatures w14:val="none"/>
        </w:rPr>
      </w:pPr>
    </w:p>
    <w:tbl>
      <w:tblPr>
        <w:tblW w:w="99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22"/>
        <w:gridCol w:w="636"/>
      </w:tblGrid>
      <w:tr w:rsidR="00B44B71" w:rsidRPr="00B44B71" w14:paraId="6F03353E" w14:textId="77777777" w:rsidTr="00F918EC">
        <w:trPr>
          <w:trHeight w:val="777"/>
        </w:trPr>
        <w:tc>
          <w:tcPr>
            <w:tcW w:w="9322" w:type="dxa"/>
            <w:vAlign w:val="bottom"/>
          </w:tcPr>
          <w:p w14:paraId="1F87C480"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bCs/>
                <w:kern w:val="0"/>
                <w:sz w:val="28"/>
                <w:szCs w:val="28"/>
                <w:lang w:eastAsia="uk-UA"/>
                <w14:ligatures w14:val="none"/>
              </w:rPr>
            </w:pPr>
            <w:r w:rsidRPr="00B44B71">
              <w:rPr>
                <w:rFonts w:ascii="Times New Roman" w:eastAsia="Calibri" w:hAnsi="Times New Roman" w:cs="Times New Roman"/>
                <w:i/>
                <w:spacing w:val="-4"/>
                <w:kern w:val="0"/>
                <w:sz w:val="28"/>
                <w:szCs w:val="28"/>
                <w14:ligatures w14:val="none"/>
              </w:rPr>
              <w:t>Dmytro Hereha,</w:t>
            </w:r>
            <w:r w:rsidRPr="00B44B71">
              <w:rPr>
                <w:rFonts w:ascii="Times New Roman" w:eastAsia="Calibri" w:hAnsi="Times New Roman" w:cs="Times New Roman"/>
                <w:i/>
                <w:spacing w:val="-4"/>
                <w:kern w:val="0"/>
                <w:sz w:val="28"/>
                <w:szCs w:val="28"/>
                <w:lang w:val="uk-UA"/>
                <w14:ligatures w14:val="none"/>
              </w:rPr>
              <w:t xml:space="preserve"> </w:t>
            </w:r>
            <w:r w:rsidRPr="00B44B71">
              <w:rPr>
                <w:rFonts w:ascii="Times New Roman" w:eastAsia="Calibri" w:hAnsi="Times New Roman" w:cs="Times New Roman"/>
                <w:i/>
                <w:spacing w:val="-4"/>
                <w:kern w:val="0"/>
                <w:sz w:val="28"/>
                <w:szCs w:val="28"/>
                <w14:ligatures w14:val="none"/>
              </w:rPr>
              <w:t>Volodymyr Kotsiuruba</w:t>
            </w:r>
            <w:r w:rsidRPr="00B44B71">
              <w:rPr>
                <w:rFonts w:ascii="Times New Roman" w:eastAsia="Calibri" w:hAnsi="Times New Roman" w:cs="Times New Roman"/>
                <w:spacing w:val="-4"/>
                <w:kern w:val="0"/>
                <w:sz w:val="28"/>
                <w:szCs w:val="28"/>
                <w:lang w:val="uk-UA"/>
                <w14:ligatures w14:val="none"/>
              </w:rPr>
              <w:t xml:space="preserve">  </w:t>
            </w:r>
            <w:r w:rsidRPr="00B44B71">
              <w:rPr>
                <w:rFonts w:ascii="Times New Roman" w:eastAsia="Calibri" w:hAnsi="Times New Roman" w:cs="Times New Roman"/>
                <w:spacing w:val="-4"/>
                <w:kern w:val="0"/>
                <w:sz w:val="28"/>
                <w:szCs w:val="28"/>
                <w14:ligatures w14:val="none"/>
              </w:rPr>
              <w:t>Trends in The Development of Support Forces of The Armed Forces of Ukraine Based on The Historical Experience of Their Formation</w:t>
            </w:r>
          </w:p>
        </w:tc>
        <w:tc>
          <w:tcPr>
            <w:tcW w:w="636" w:type="dxa"/>
            <w:vAlign w:val="bottom"/>
          </w:tcPr>
          <w:p w14:paraId="368A343F"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14:ligatures w14:val="none"/>
              </w:rPr>
            </w:pPr>
          </w:p>
        </w:tc>
      </w:tr>
      <w:tr w:rsidR="00635D73" w:rsidRPr="00B44B71" w14:paraId="088C7A64" w14:textId="77777777" w:rsidTr="00F918EC">
        <w:trPr>
          <w:trHeight w:val="777"/>
        </w:trPr>
        <w:tc>
          <w:tcPr>
            <w:tcW w:w="9322" w:type="dxa"/>
            <w:vAlign w:val="bottom"/>
          </w:tcPr>
          <w:p w14:paraId="53CD9E78" w14:textId="199553C9" w:rsidR="00635D73" w:rsidRPr="00102DE8" w:rsidRDefault="00E15310" w:rsidP="00023291">
            <w:pPr>
              <w:widowControl w:val="0"/>
              <w:tabs>
                <w:tab w:val="left" w:pos="2410"/>
                <w:tab w:val="left" w:pos="9638"/>
              </w:tabs>
              <w:spacing w:after="0" w:line="240" w:lineRule="auto"/>
              <w:rPr>
                <w:rFonts w:ascii="Times New Roman" w:eastAsia="Calibri" w:hAnsi="Times New Roman" w:cs="Times New Roman"/>
                <w:i/>
                <w:spacing w:val="-4"/>
                <w:kern w:val="0"/>
                <w:sz w:val="28"/>
                <w:szCs w:val="28"/>
                <w14:ligatures w14:val="none"/>
              </w:rPr>
            </w:pPr>
            <w:r w:rsidRPr="00171341">
              <w:rPr>
                <w:rFonts w:ascii="Times New Roman" w:eastAsia="Times New Roman" w:hAnsi="Times New Roman" w:cs="Times New Roman"/>
                <w:bCs/>
                <w:i/>
                <w:iCs/>
                <w:kern w:val="0"/>
                <w:sz w:val="28"/>
                <w:szCs w:val="28"/>
                <w:lang w:val="uk-UA" w:eastAsia="ru-RU"/>
                <w14:ligatures w14:val="none"/>
              </w:rPr>
              <w:t xml:space="preserve">Vadym Mashtalir, </w:t>
            </w:r>
            <w:r w:rsidRPr="00171341">
              <w:rPr>
                <w:rFonts w:ascii="Times New Roman" w:eastAsia="Times New Roman" w:hAnsi="Times New Roman" w:cs="Times New Roman"/>
                <w:bCs/>
                <w:i/>
                <w:iCs/>
                <w:spacing w:val="-4"/>
                <w:kern w:val="0"/>
                <w:sz w:val="28"/>
                <w:szCs w:val="28"/>
                <w:lang w:eastAsia="ru-RU"/>
                <w14:ligatures w14:val="none"/>
              </w:rPr>
              <w:t>Andrii</w:t>
            </w:r>
            <w:r w:rsidRPr="00171341">
              <w:rPr>
                <w:rFonts w:ascii="Times New Roman" w:eastAsia="Times New Roman" w:hAnsi="Times New Roman" w:cs="Times New Roman"/>
                <w:bCs/>
                <w:i/>
                <w:iCs/>
                <w:spacing w:val="-4"/>
                <w:kern w:val="0"/>
                <w:sz w:val="28"/>
                <w:szCs w:val="28"/>
                <w:lang w:val="uk-UA" w:eastAsia="ru-RU"/>
                <w14:ligatures w14:val="none"/>
              </w:rPr>
              <w:t xml:space="preserve"> </w:t>
            </w:r>
            <w:r w:rsidRPr="00171341">
              <w:rPr>
                <w:rFonts w:ascii="Times New Roman" w:eastAsia="Times New Roman" w:hAnsi="Times New Roman" w:cs="Times New Roman"/>
                <w:bCs/>
                <w:i/>
                <w:iCs/>
                <w:spacing w:val="-4"/>
                <w:kern w:val="0"/>
                <w:sz w:val="28"/>
                <w:szCs w:val="28"/>
                <w:lang w:eastAsia="ru-RU"/>
                <w14:ligatures w14:val="none"/>
              </w:rPr>
              <w:t>Hupalo</w:t>
            </w:r>
            <w:r w:rsidRPr="00171341">
              <w:rPr>
                <w:rFonts w:ascii="Times New Roman" w:eastAsia="Times New Roman" w:hAnsi="Times New Roman" w:cs="Times New Roman"/>
                <w:bCs/>
                <w:i/>
                <w:iCs/>
                <w:spacing w:val="-4"/>
                <w:kern w:val="0"/>
                <w:sz w:val="28"/>
                <w:szCs w:val="28"/>
                <w:lang w:val="uk-UA" w:eastAsia="ru-RU"/>
                <w14:ligatures w14:val="none"/>
              </w:rPr>
              <w:t>,</w:t>
            </w:r>
            <w:r w:rsidR="00171341" w:rsidRPr="00171341">
              <w:rPr>
                <w:rFonts w:ascii="Times New Roman" w:eastAsia="Times New Roman" w:hAnsi="Times New Roman" w:cs="Times New Roman"/>
                <w:bCs/>
                <w:i/>
                <w:iCs/>
                <w:spacing w:val="-4"/>
                <w:kern w:val="0"/>
                <w:sz w:val="28"/>
                <w:szCs w:val="28"/>
                <w:lang w:val="uk-UA" w:eastAsia="ru-RU"/>
                <w14:ligatures w14:val="none"/>
              </w:rPr>
              <w:t xml:space="preserve"> </w:t>
            </w:r>
            <w:r w:rsidRPr="00171341">
              <w:rPr>
                <w:rFonts w:ascii="Times New Roman" w:eastAsia="Times New Roman" w:hAnsi="Times New Roman" w:cs="Times New Roman"/>
                <w:bCs/>
                <w:i/>
                <w:iCs/>
                <w:spacing w:val="-4"/>
                <w:kern w:val="0"/>
                <w:sz w:val="28"/>
                <w:szCs w:val="28"/>
                <w:lang w:val="uk-UA" w:eastAsia="ru-RU"/>
                <w14:ligatures w14:val="none"/>
              </w:rPr>
              <w:t>Svitlana Bondarenko</w:t>
            </w:r>
            <w:r w:rsidR="00171341">
              <w:rPr>
                <w:rFonts w:ascii="Times New Roman" w:eastAsia="Times New Roman" w:hAnsi="Times New Roman" w:cs="Times New Roman"/>
                <w:bCs/>
                <w:spacing w:val="-4"/>
                <w:kern w:val="0"/>
                <w:sz w:val="28"/>
                <w:szCs w:val="28"/>
                <w:lang w:val="uk-UA" w:eastAsia="ru-RU"/>
                <w14:ligatures w14:val="none"/>
              </w:rPr>
              <w:t xml:space="preserve">  </w:t>
            </w:r>
            <w:r w:rsidR="00171341">
              <w:rPr>
                <w:rFonts w:ascii="Times New Roman" w:eastAsia="Times New Roman" w:hAnsi="Times New Roman" w:cs="Times New Roman"/>
                <w:bCs/>
                <w:kern w:val="0"/>
                <w:sz w:val="28"/>
                <w:szCs w:val="28"/>
                <w:lang w:eastAsia="ru-RU"/>
                <w14:ligatures w14:val="none"/>
              </w:rPr>
              <w:t>G</w:t>
            </w:r>
            <w:r w:rsidR="00171341" w:rsidRPr="00171341">
              <w:rPr>
                <w:rFonts w:ascii="Times New Roman" w:eastAsia="Times New Roman" w:hAnsi="Times New Roman" w:cs="Times New Roman"/>
                <w:bCs/>
                <w:kern w:val="0"/>
                <w:sz w:val="28"/>
                <w:szCs w:val="28"/>
                <w:lang w:val="uk-UA" w:eastAsia="ru-RU"/>
                <w14:ligatures w14:val="none"/>
              </w:rPr>
              <w:t>lobal trends in wargaming research in military education: bibliometric analysis of scopus datasets and implications for Ukraine</w:t>
            </w:r>
            <w:r w:rsidR="00102DE8">
              <w:rPr>
                <w:rFonts w:ascii="Times New Roman" w:eastAsia="Times New Roman" w:hAnsi="Times New Roman" w:cs="Times New Roman"/>
                <w:bCs/>
                <w:kern w:val="0"/>
                <w:sz w:val="28"/>
                <w:szCs w:val="28"/>
                <w:lang w:val="uk-UA" w:eastAsia="ru-RU"/>
                <w14:ligatures w14:val="none"/>
              </w:rPr>
              <w:t>…………………………………………</w:t>
            </w:r>
            <w:r w:rsidR="00102DE8">
              <w:rPr>
                <w:rFonts w:ascii="Times New Roman" w:eastAsia="Times New Roman" w:hAnsi="Times New Roman" w:cs="Times New Roman"/>
                <w:bCs/>
                <w:kern w:val="0"/>
                <w:sz w:val="28"/>
                <w:szCs w:val="28"/>
                <w:lang w:eastAsia="ru-RU"/>
                <w14:ligatures w14:val="none"/>
              </w:rPr>
              <w:t>….</w:t>
            </w:r>
          </w:p>
        </w:tc>
        <w:tc>
          <w:tcPr>
            <w:tcW w:w="636" w:type="dxa"/>
            <w:vAlign w:val="bottom"/>
          </w:tcPr>
          <w:p w14:paraId="124552F7" w14:textId="77777777" w:rsidR="00635D73" w:rsidRPr="00B44B71" w:rsidRDefault="00635D73"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14:ligatures w14:val="none"/>
              </w:rPr>
            </w:pPr>
          </w:p>
        </w:tc>
      </w:tr>
      <w:tr w:rsidR="00635D73" w:rsidRPr="00B44B71" w14:paraId="00FEB697" w14:textId="77777777" w:rsidTr="00F918EC">
        <w:trPr>
          <w:trHeight w:val="777"/>
        </w:trPr>
        <w:tc>
          <w:tcPr>
            <w:tcW w:w="9322" w:type="dxa"/>
            <w:vAlign w:val="bottom"/>
          </w:tcPr>
          <w:p w14:paraId="146BA730" w14:textId="7FF939B2" w:rsidR="00635D73" w:rsidRPr="00654D6D" w:rsidRDefault="00654D6D" w:rsidP="00023291">
            <w:pPr>
              <w:tabs>
                <w:tab w:val="left" w:pos="2501"/>
                <w:tab w:val="left" w:pos="9638"/>
              </w:tabs>
              <w:spacing w:after="0" w:line="240" w:lineRule="auto"/>
              <w:jc w:val="both"/>
              <w:rPr>
                <w:rFonts w:ascii="Times New Roman" w:eastAsia="Calibri" w:hAnsi="Times New Roman" w:cs="Times New Roman"/>
                <w:i/>
                <w:spacing w:val="-4"/>
                <w:kern w:val="0"/>
                <w:sz w:val="28"/>
                <w:szCs w:val="28"/>
                <w14:ligatures w14:val="none"/>
              </w:rPr>
            </w:pPr>
            <w:r w:rsidRPr="00654D6D">
              <w:rPr>
                <w:rFonts w:ascii="Times New Roman" w:eastAsia="Times New Roman" w:hAnsi="Times New Roman" w:cs="Times New Roman"/>
                <w:i/>
                <w:iCs/>
                <w:kern w:val="0"/>
                <w:sz w:val="28"/>
                <w:szCs w:val="28"/>
                <w:lang w:eastAsia="uk-UA"/>
                <w14:ligatures w14:val="none"/>
              </w:rPr>
              <w:t>Arkady Atrokhov</w:t>
            </w:r>
            <w:r w:rsidRPr="00654D6D">
              <w:rPr>
                <w:rFonts w:ascii="Times New Roman" w:eastAsia="Times New Roman" w:hAnsi="Times New Roman" w:cs="Times New Roman"/>
                <w:i/>
                <w:iCs/>
                <w:kern w:val="0"/>
                <w:sz w:val="28"/>
                <w:szCs w:val="28"/>
                <w:lang w:val="uk-UA" w:eastAsia="uk-UA"/>
                <w14:ligatures w14:val="none"/>
              </w:rPr>
              <w:t>,</w:t>
            </w:r>
            <w:r>
              <w:rPr>
                <w:rFonts w:ascii="Times New Roman" w:eastAsia="Times New Roman" w:hAnsi="Times New Roman" w:cs="Times New Roman"/>
                <w:kern w:val="0"/>
                <w:sz w:val="28"/>
                <w:szCs w:val="28"/>
                <w:lang w:val="uk-UA" w:eastAsia="uk-UA"/>
                <w14:ligatures w14:val="none"/>
              </w:rPr>
              <w:t xml:space="preserve"> </w:t>
            </w:r>
            <w:r w:rsidRPr="00654D6D">
              <w:rPr>
                <w:rFonts w:ascii="Times New Roman" w:eastAsia="Times New Roman" w:hAnsi="Times New Roman" w:cs="Times New Roman"/>
                <w:color w:val="1F1F1F"/>
                <w:kern w:val="0"/>
                <w:sz w:val="28"/>
                <w:szCs w:val="28"/>
                <w:lang w:val="en" w:eastAsia="uk-UA"/>
                <w14:ligatures w14:val="none"/>
              </w:rPr>
              <w:t>Yuriy Sokorynskyi,</w:t>
            </w:r>
            <w:r>
              <w:rPr>
                <w:rFonts w:ascii="Times New Roman" w:eastAsia="Times New Roman" w:hAnsi="Times New Roman" w:cs="Times New Roman"/>
                <w:color w:val="1F1F1F"/>
                <w:kern w:val="0"/>
                <w:sz w:val="28"/>
                <w:szCs w:val="28"/>
                <w:lang w:val="uk-UA" w:eastAsia="uk-UA"/>
                <w14:ligatures w14:val="none"/>
              </w:rPr>
              <w:t xml:space="preserve"> </w:t>
            </w:r>
            <w:r w:rsidRPr="00654D6D">
              <w:rPr>
                <w:rFonts w:ascii="Times New Roman" w:eastAsia="Times New Roman" w:hAnsi="Times New Roman" w:cs="Times New Roman"/>
                <w:color w:val="000000"/>
                <w:kern w:val="0"/>
                <w:sz w:val="28"/>
                <w:szCs w:val="28"/>
                <w:lang w:val="uk-UA" w:eastAsia="ru-RU"/>
                <w14:ligatures w14:val="none"/>
              </w:rPr>
              <w:t>Andrii Nalyvaiko</w:t>
            </w:r>
            <w:r>
              <w:rPr>
                <w:rFonts w:ascii="Times New Roman" w:eastAsia="Times New Roman" w:hAnsi="Times New Roman" w:cs="Times New Roman"/>
                <w:color w:val="000000"/>
                <w:kern w:val="0"/>
                <w:sz w:val="28"/>
                <w:szCs w:val="28"/>
                <w:lang w:val="uk-UA" w:eastAsia="ru-RU"/>
                <w14:ligatures w14:val="none"/>
              </w:rPr>
              <w:t xml:space="preserve">  </w:t>
            </w:r>
            <w:r w:rsidRPr="00654D6D">
              <w:rPr>
                <w:rFonts w:ascii="Times New Roman" w:eastAsia="Times New Roman" w:hAnsi="Times New Roman" w:cs="Times New Roman"/>
                <w:color w:val="1F1F1F"/>
                <w:kern w:val="0"/>
                <w:sz w:val="28"/>
                <w:szCs w:val="28"/>
                <w:lang w:val="en" w:eastAsia="uk-UA"/>
                <w14:ligatures w14:val="none"/>
              </w:rPr>
              <w:t>Ways to improve departmental and interdepartmental interaction during scientific and scientific and technical activities in the system of the Ministry of Defense of Ukraine</w:t>
            </w:r>
            <w:r>
              <w:rPr>
                <w:rFonts w:ascii="Times New Roman" w:eastAsia="Times New Roman" w:hAnsi="Times New Roman" w:cs="Times New Roman"/>
                <w:color w:val="1F1F1F"/>
                <w:kern w:val="0"/>
                <w:sz w:val="28"/>
                <w:szCs w:val="28"/>
                <w:lang w:val="uk-UA" w:eastAsia="uk-UA"/>
                <w14:ligatures w14:val="none"/>
              </w:rPr>
              <w:t>………….</w:t>
            </w:r>
          </w:p>
        </w:tc>
        <w:tc>
          <w:tcPr>
            <w:tcW w:w="636" w:type="dxa"/>
            <w:vAlign w:val="bottom"/>
          </w:tcPr>
          <w:p w14:paraId="00F98F65" w14:textId="77777777" w:rsidR="00635D73" w:rsidRPr="00B44B71" w:rsidRDefault="00635D73"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14:ligatures w14:val="none"/>
              </w:rPr>
            </w:pPr>
          </w:p>
        </w:tc>
      </w:tr>
      <w:tr w:rsidR="00B44B71" w:rsidRPr="00B44B71" w14:paraId="57FE96BE" w14:textId="77777777" w:rsidTr="00F918EC">
        <w:trPr>
          <w:trHeight w:val="725"/>
        </w:trPr>
        <w:tc>
          <w:tcPr>
            <w:tcW w:w="9322" w:type="dxa"/>
            <w:vAlign w:val="bottom"/>
          </w:tcPr>
          <w:p w14:paraId="691E7BFD"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i/>
                <w:kern w:val="0"/>
                <w:sz w:val="28"/>
                <w:szCs w:val="28"/>
                <w:lang w:val="uk-UA" w:eastAsia="ru-RU"/>
                <w14:ligatures w14:val="none"/>
              </w:rPr>
            </w:pPr>
            <w:r w:rsidRPr="00B44B71">
              <w:rPr>
                <w:rFonts w:ascii="Times New Roman" w:eastAsia="Times New Roman" w:hAnsi="Times New Roman" w:cs="Times New Roman"/>
                <w:bCs/>
                <w:i/>
                <w:kern w:val="0"/>
                <w:sz w:val="28"/>
                <w:szCs w:val="28"/>
                <w:lang w:val="uk-UA"/>
                <w14:ligatures w14:val="none"/>
              </w:rPr>
              <w:t>А</w:t>
            </w:r>
            <w:r w:rsidRPr="00B44B71">
              <w:rPr>
                <w:rFonts w:ascii="Times New Roman" w:eastAsia="Times New Roman" w:hAnsi="Times New Roman" w:cs="Times New Roman"/>
                <w:bCs/>
                <w:i/>
                <w:kern w:val="0"/>
                <w:sz w:val="28"/>
                <w:szCs w:val="28"/>
                <w14:ligatures w14:val="none"/>
              </w:rPr>
              <w:t xml:space="preserve">ndrii Vitchenko </w:t>
            </w:r>
            <w:r w:rsidRPr="00B44B71">
              <w:rPr>
                <w:rFonts w:ascii="Times New Roman" w:eastAsia="Times New Roman" w:hAnsi="Times New Roman" w:cs="Times New Roman"/>
                <w:bCs/>
                <w:color w:val="000000"/>
                <w:kern w:val="0"/>
                <w:sz w:val="28"/>
                <w:szCs w:val="28"/>
                <w:shd w:val="clear" w:color="auto" w:fill="FFFFFF"/>
                <w14:ligatures w14:val="none"/>
              </w:rPr>
              <w:t>Academic integrity in higher military education: to develop or to cultivate?</w:t>
            </w:r>
            <w:r w:rsidRPr="00B44B71">
              <w:rPr>
                <w:rFonts w:ascii="Times New Roman" w:eastAsia="Times New Roman" w:hAnsi="Times New Roman" w:cs="Times New Roman"/>
                <w:bCs/>
                <w:color w:val="000000"/>
                <w:kern w:val="0"/>
                <w:sz w:val="28"/>
                <w:szCs w:val="28"/>
                <w:shd w:val="clear" w:color="auto" w:fill="FFFFFF"/>
                <w:lang w:val="uk-UA"/>
                <w14:ligatures w14:val="none"/>
              </w:rPr>
              <w:t>......................................</w:t>
            </w:r>
            <w:r w:rsidRPr="00B44B71">
              <w:rPr>
                <w:rFonts w:ascii="Times New Roman" w:eastAsia="Times New Roman" w:hAnsi="Times New Roman" w:cs="Times New Roman"/>
                <w:bCs/>
                <w:color w:val="1F1F1F"/>
                <w:kern w:val="0"/>
                <w:sz w:val="28"/>
                <w:szCs w:val="28"/>
                <w:lang w:val="uk-UA" w:eastAsia="uk-UA"/>
                <w14:ligatures w14:val="none"/>
              </w:rPr>
              <w:t>………………………………………………</w:t>
            </w:r>
          </w:p>
        </w:tc>
        <w:tc>
          <w:tcPr>
            <w:tcW w:w="636" w:type="dxa"/>
            <w:vAlign w:val="bottom"/>
          </w:tcPr>
          <w:p w14:paraId="51878B7A"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eastAsia="ru-RU"/>
                <w14:ligatures w14:val="none"/>
              </w:rPr>
            </w:pPr>
          </w:p>
        </w:tc>
      </w:tr>
      <w:tr w:rsidR="00B44B71" w:rsidRPr="00B44B71" w14:paraId="7269DD37" w14:textId="77777777" w:rsidTr="00F918EC">
        <w:trPr>
          <w:trHeight w:val="715"/>
        </w:trPr>
        <w:tc>
          <w:tcPr>
            <w:tcW w:w="9322" w:type="dxa"/>
            <w:vAlign w:val="bottom"/>
          </w:tcPr>
          <w:p w14:paraId="5CE9E58B"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i/>
                <w:iCs/>
                <w:kern w:val="0"/>
                <w:sz w:val="28"/>
                <w:szCs w:val="28"/>
                <w:lang w:val="uk-UA"/>
                <w14:ligatures w14:val="none"/>
              </w:rPr>
            </w:pPr>
            <w:r w:rsidRPr="00B44B71">
              <w:rPr>
                <w:rFonts w:ascii="Times New Roman" w:eastAsia="Calibri" w:hAnsi="Times New Roman" w:cs="Times New Roman"/>
                <w:bCs/>
                <w:i/>
                <w:kern w:val="0"/>
                <w:sz w:val="28"/>
                <w:szCs w:val="28"/>
                <w:shd w:val="clear" w:color="auto" w:fill="FFFFFF"/>
                <w14:ligatures w14:val="none"/>
              </w:rPr>
              <w:t>Stepan Vozniak</w:t>
            </w:r>
            <w:r w:rsidRPr="00B44B71">
              <w:rPr>
                <w:rFonts w:ascii="Times New Roman" w:eastAsia="Calibri" w:hAnsi="Times New Roman" w:cs="Times New Roman"/>
                <w:i/>
                <w:kern w:val="0"/>
                <w:sz w:val="28"/>
                <w:szCs w:val="28"/>
                <w:shd w:val="clear" w:color="auto" w:fill="FFFFFF"/>
                <w14:ligatures w14:val="none"/>
              </w:rPr>
              <w:t xml:space="preserve">, </w:t>
            </w:r>
            <w:r w:rsidRPr="00B44B71">
              <w:rPr>
                <w:rFonts w:ascii="Times New Roman" w:eastAsia="Calibri" w:hAnsi="Times New Roman" w:cs="Times New Roman"/>
                <w:bCs/>
                <w:i/>
                <w:kern w:val="0"/>
                <w:sz w:val="28"/>
                <w:szCs w:val="28"/>
                <w:shd w:val="clear" w:color="auto" w:fill="FFFFFF"/>
                <w14:ligatures w14:val="none"/>
              </w:rPr>
              <w:t>Inna Vozniak</w:t>
            </w:r>
            <w:r w:rsidRPr="00B44B71">
              <w:rPr>
                <w:rFonts w:ascii="Times New Roman" w:eastAsia="Calibri" w:hAnsi="Times New Roman" w:cs="Times New Roman"/>
                <w:i/>
                <w:kern w:val="0"/>
                <w:sz w:val="28"/>
                <w:szCs w:val="28"/>
                <w:shd w:val="clear" w:color="auto" w:fill="FFFFFF"/>
                <w14:ligatures w14:val="none"/>
              </w:rPr>
              <w:t xml:space="preserve">, </w:t>
            </w:r>
            <w:r w:rsidRPr="00B44B71">
              <w:rPr>
                <w:rFonts w:ascii="Times New Roman" w:eastAsia="Calibri" w:hAnsi="Times New Roman" w:cs="Times New Roman"/>
                <w:bCs/>
                <w:i/>
                <w:kern w:val="0"/>
                <w:sz w:val="28"/>
                <w:szCs w:val="28"/>
                <w:shd w:val="clear" w:color="auto" w:fill="FFFFFF"/>
                <w14:ligatures w14:val="none"/>
              </w:rPr>
              <w:t>Iryna Tonkonoh</w:t>
            </w:r>
            <w:r w:rsidRPr="00B44B71">
              <w:rPr>
                <w:rFonts w:ascii="Times New Roman" w:eastAsia="Calibri" w:hAnsi="Times New Roman" w:cs="Times New Roman"/>
                <w:i/>
                <w:kern w:val="0"/>
                <w:sz w:val="28"/>
                <w:szCs w:val="28"/>
                <w:shd w:val="clear" w:color="auto" w:fill="FFFFFF"/>
                <w14:ligatures w14:val="none"/>
              </w:rPr>
              <w:t xml:space="preserve">  A</w:t>
            </w:r>
            <w:r w:rsidRPr="00B44B71">
              <w:rPr>
                <w:rFonts w:ascii="Times New Roman" w:eastAsia="Calibri" w:hAnsi="Times New Roman" w:cs="Times New Roman"/>
                <w:bCs/>
                <w:kern w:val="0"/>
                <w:sz w:val="28"/>
                <w:szCs w:val="28"/>
                <w14:ligatures w14:val="none"/>
              </w:rPr>
              <w:t>ssessment of professional competencies and leadership qualities of candidates for command positions in the armed forces of Ukraine: analysis of methodological approaches…………….</w:t>
            </w:r>
          </w:p>
        </w:tc>
        <w:tc>
          <w:tcPr>
            <w:tcW w:w="636" w:type="dxa"/>
            <w:vAlign w:val="bottom"/>
          </w:tcPr>
          <w:p w14:paraId="1417DC44"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eastAsia="ru-RU"/>
                <w14:ligatures w14:val="none"/>
              </w:rPr>
            </w:pPr>
          </w:p>
        </w:tc>
      </w:tr>
      <w:tr w:rsidR="00B44B71" w:rsidRPr="00B44B71" w14:paraId="38AABFC8" w14:textId="77777777" w:rsidTr="00F918EC">
        <w:trPr>
          <w:trHeight w:val="715"/>
        </w:trPr>
        <w:tc>
          <w:tcPr>
            <w:tcW w:w="9322" w:type="dxa"/>
            <w:vAlign w:val="bottom"/>
          </w:tcPr>
          <w:p w14:paraId="62586FE1" w14:textId="77777777" w:rsidR="00B44B71" w:rsidRPr="00B44B71" w:rsidRDefault="00B44B71" w:rsidP="00023291">
            <w:pPr>
              <w:tabs>
                <w:tab w:val="left" w:pos="9638"/>
              </w:tabs>
              <w:spacing w:after="0" w:line="240" w:lineRule="auto"/>
              <w:jc w:val="both"/>
              <w:rPr>
                <w:rFonts w:ascii="Times New Roman" w:eastAsia="Calibri" w:hAnsi="Times New Roman" w:cs="Times New Roman"/>
                <w:bCs/>
                <w:i/>
                <w:kern w:val="0"/>
                <w:sz w:val="28"/>
                <w:szCs w:val="28"/>
                <w:shd w:val="clear" w:color="auto" w:fill="FFFFFF"/>
                <w14:ligatures w14:val="none"/>
              </w:rPr>
            </w:pPr>
            <w:r w:rsidRPr="00B44B71">
              <w:rPr>
                <w:rFonts w:ascii="Times New Roman" w:eastAsia="Calibri" w:hAnsi="Times New Roman" w:cs="Times New Roman"/>
                <w:i/>
                <w:kern w:val="0"/>
                <w:sz w:val="28"/>
                <w:szCs w:val="28"/>
                <w14:ligatures w14:val="none"/>
              </w:rPr>
              <w:t>Ibragim Gabidulin C</w:t>
            </w:r>
            <w:r w:rsidRPr="00B44B71">
              <w:rPr>
                <w:rFonts w:ascii="Times New Roman" w:eastAsia="Times New Roman" w:hAnsi="Times New Roman" w:cs="Times New Roman"/>
                <w:kern w:val="0"/>
                <w:sz w:val="28"/>
                <w:szCs w:val="28"/>
                <w:lang w:eastAsia="ru-RU"/>
                <w14:ligatures w14:val="none"/>
              </w:rPr>
              <w:t>omparative analysis of military education systems in the united states, NATO and Ukraine…………………………………………………</w:t>
            </w:r>
          </w:p>
        </w:tc>
        <w:tc>
          <w:tcPr>
            <w:tcW w:w="636" w:type="dxa"/>
            <w:vAlign w:val="bottom"/>
          </w:tcPr>
          <w:p w14:paraId="75C8EFF7"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eastAsia="ru-RU"/>
                <w14:ligatures w14:val="none"/>
              </w:rPr>
            </w:pPr>
          </w:p>
        </w:tc>
      </w:tr>
      <w:tr w:rsidR="00B44B71" w:rsidRPr="00B44B71" w14:paraId="641C9C34" w14:textId="77777777" w:rsidTr="00F918EC">
        <w:trPr>
          <w:trHeight w:val="715"/>
        </w:trPr>
        <w:tc>
          <w:tcPr>
            <w:tcW w:w="9322" w:type="dxa"/>
            <w:vAlign w:val="bottom"/>
          </w:tcPr>
          <w:p w14:paraId="098C289C" w14:textId="77777777" w:rsidR="00B44B71" w:rsidRPr="00B44B71" w:rsidRDefault="00B44B71" w:rsidP="00023291">
            <w:pPr>
              <w:tabs>
                <w:tab w:val="left" w:pos="9638"/>
              </w:tabs>
              <w:spacing w:after="0" w:line="240" w:lineRule="auto"/>
              <w:contextualSpacing/>
              <w:jc w:val="both"/>
              <w:rPr>
                <w:rFonts w:ascii="Times New Roman" w:eastAsia="Calibri" w:hAnsi="Times New Roman" w:cs="Times New Roman"/>
                <w:i/>
                <w:kern w:val="0"/>
                <w:sz w:val="28"/>
                <w:szCs w:val="28"/>
                <w14:ligatures w14:val="none"/>
              </w:rPr>
            </w:pPr>
            <w:r w:rsidRPr="00B44B71">
              <w:rPr>
                <w:rFonts w:ascii="Times New Roman" w:eastAsia="Calibri" w:hAnsi="Times New Roman" w:cs="Times New Roman"/>
                <w:i/>
                <w:kern w:val="0"/>
                <w:sz w:val="28"/>
                <w:szCs w:val="28"/>
                <w14:ligatures w14:val="none"/>
              </w:rPr>
              <w:t>Oleksandr Halak</w:t>
            </w:r>
            <w:r w:rsidRPr="00B44B71">
              <w:rPr>
                <w:rFonts w:ascii="Times New Roman" w:eastAsia="Calibri" w:hAnsi="Times New Roman" w:cs="Times New Roman"/>
                <w:i/>
                <w:kern w:val="0"/>
                <w:sz w:val="28"/>
                <w:szCs w:val="28"/>
                <w:lang w:val="uk-UA"/>
                <w14:ligatures w14:val="none"/>
              </w:rPr>
              <w:t>,</w:t>
            </w:r>
            <w:r w:rsidRPr="00B44B71">
              <w:rPr>
                <w:rFonts w:ascii="Times New Roman" w:eastAsia="Calibri" w:hAnsi="Times New Roman" w:cs="Times New Roman"/>
                <w:i/>
                <w:kern w:val="0"/>
                <w:sz w:val="28"/>
                <w:szCs w:val="28"/>
                <w14:ligatures w14:val="none"/>
              </w:rPr>
              <w:t xml:space="preserve"> Andriy Chulinda, </w:t>
            </w:r>
            <w:r w:rsidRPr="00B44B71">
              <w:rPr>
                <w:rFonts w:ascii="Times New Roman" w:eastAsia="Calibri" w:hAnsi="Times New Roman" w:cs="Times New Roman"/>
                <w:bCs/>
                <w:i/>
                <w:color w:val="000000"/>
                <w:kern w:val="0"/>
                <w:sz w:val="28"/>
                <w:szCs w:val="28"/>
                <w14:ligatures w14:val="none"/>
              </w:rPr>
              <w:t xml:space="preserve">Serhii Kasian, </w:t>
            </w:r>
            <w:r w:rsidRPr="00B44B71">
              <w:rPr>
                <w:rFonts w:ascii="Times New Roman" w:eastAsia="Calibri" w:hAnsi="Times New Roman" w:cs="Times New Roman"/>
                <w:i/>
                <w:kern w:val="0"/>
                <w:sz w:val="28"/>
                <w:szCs w:val="28"/>
                <w14:ligatures w14:val="none"/>
              </w:rPr>
              <w:t xml:space="preserve">Anatolii Nikitin  </w:t>
            </w:r>
          </w:p>
          <w:p w14:paraId="60FEB10D" w14:textId="77777777" w:rsidR="00B44B71" w:rsidRPr="00B44B71" w:rsidRDefault="00B44B71" w:rsidP="00023291">
            <w:pPr>
              <w:tabs>
                <w:tab w:val="left" w:pos="9638"/>
              </w:tabs>
              <w:spacing w:after="0" w:line="240" w:lineRule="auto"/>
              <w:contextualSpacing/>
              <w:jc w:val="both"/>
              <w:rPr>
                <w:rFonts w:ascii="Times New Roman" w:eastAsia="Calibri" w:hAnsi="Times New Roman" w:cs="Times New Roman"/>
                <w:i/>
                <w:kern w:val="0"/>
                <w:sz w:val="28"/>
                <w:szCs w:val="28"/>
                <w14:ligatures w14:val="none"/>
              </w:rPr>
            </w:pPr>
            <w:r w:rsidRPr="00B44B71">
              <w:rPr>
                <w:rFonts w:ascii="Times New Roman" w:eastAsia="Calibri" w:hAnsi="Times New Roman" w:cs="Times New Roman"/>
                <w:kern w:val="0"/>
                <w:sz w:val="28"/>
                <w:szCs w:val="28"/>
                <w14:ligatures w14:val="none"/>
              </w:rPr>
              <w:t>Interactive technologies as a catalyst for shifts in educational paradigms……….</w:t>
            </w:r>
          </w:p>
        </w:tc>
        <w:tc>
          <w:tcPr>
            <w:tcW w:w="636" w:type="dxa"/>
            <w:vAlign w:val="bottom"/>
          </w:tcPr>
          <w:p w14:paraId="25DB2B66"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eastAsia="ru-RU"/>
                <w14:ligatures w14:val="none"/>
              </w:rPr>
            </w:pPr>
          </w:p>
        </w:tc>
      </w:tr>
      <w:tr w:rsidR="00023F32" w:rsidRPr="00B44B71" w14:paraId="4EE756D0" w14:textId="77777777" w:rsidTr="00F918EC">
        <w:trPr>
          <w:trHeight w:val="715"/>
        </w:trPr>
        <w:tc>
          <w:tcPr>
            <w:tcW w:w="9322" w:type="dxa"/>
            <w:vAlign w:val="bottom"/>
          </w:tcPr>
          <w:p w14:paraId="7832A5B6" w14:textId="2EB04147" w:rsidR="00023F32" w:rsidRPr="00023F32" w:rsidRDefault="00023F32" w:rsidP="00023291">
            <w:pPr>
              <w:shd w:val="clear" w:color="auto" w:fill="FFFFFF"/>
              <w:tabs>
                <w:tab w:val="left" w:pos="9638"/>
              </w:tabs>
              <w:spacing w:after="0" w:line="240" w:lineRule="auto"/>
              <w:jc w:val="both"/>
              <w:rPr>
                <w:rFonts w:ascii="Times New Roman" w:eastAsia="Calibri" w:hAnsi="Times New Roman" w:cs="Times New Roman"/>
                <w:i/>
                <w:kern w:val="0"/>
                <w:sz w:val="28"/>
                <w:szCs w:val="28"/>
                <w:lang w:val="uk-UA"/>
                <w14:ligatures w14:val="none"/>
              </w:rPr>
            </w:pPr>
            <w:r w:rsidRPr="007A4D4A">
              <w:rPr>
                <w:rFonts w:ascii="Times New Roman" w:eastAsia="Times New Roman" w:hAnsi="Times New Roman" w:cs="Times New Roman"/>
                <w:i/>
                <w:iCs/>
                <w:kern w:val="0"/>
                <w:sz w:val="28"/>
                <w:szCs w:val="28"/>
                <w:lang w:val="uk-UA"/>
                <w14:ligatures w14:val="none"/>
              </w:rPr>
              <w:t>Anatolii Derevianchuk, Dmіtro Chopa, L</w:t>
            </w:r>
            <w:r w:rsidRPr="007A4D4A">
              <w:rPr>
                <w:rFonts w:ascii="Times New Roman" w:eastAsia="Times New Roman" w:hAnsi="Times New Roman" w:cs="Times New Roman"/>
                <w:i/>
                <w:iCs/>
                <w:kern w:val="0"/>
                <w:sz w:val="28"/>
                <w:szCs w:val="28"/>
                <w14:ligatures w14:val="none"/>
              </w:rPr>
              <w:t>i</w:t>
            </w:r>
            <w:r w:rsidRPr="007A4D4A">
              <w:rPr>
                <w:rFonts w:ascii="Times New Roman" w:eastAsia="Times New Roman" w:hAnsi="Times New Roman" w:cs="Times New Roman"/>
                <w:i/>
                <w:iCs/>
                <w:kern w:val="0"/>
                <w:sz w:val="28"/>
                <w:szCs w:val="28"/>
                <w:lang w:val="uk-UA"/>
                <w14:ligatures w14:val="none"/>
              </w:rPr>
              <w:t>udm</w:t>
            </w:r>
            <w:r w:rsidRPr="007A4D4A">
              <w:rPr>
                <w:rFonts w:ascii="Times New Roman" w:eastAsia="Times New Roman" w:hAnsi="Times New Roman" w:cs="Times New Roman"/>
                <w:i/>
                <w:iCs/>
                <w:kern w:val="0"/>
                <w:sz w:val="28"/>
                <w:szCs w:val="28"/>
                <w14:ligatures w14:val="none"/>
              </w:rPr>
              <w:t>y</w:t>
            </w:r>
            <w:r w:rsidRPr="007A4D4A">
              <w:rPr>
                <w:rFonts w:ascii="Times New Roman" w:eastAsia="Times New Roman" w:hAnsi="Times New Roman" w:cs="Times New Roman"/>
                <w:i/>
                <w:iCs/>
                <w:kern w:val="0"/>
                <w:sz w:val="28"/>
                <w:szCs w:val="28"/>
                <w:lang w:val="uk-UA"/>
                <w14:ligatures w14:val="none"/>
              </w:rPr>
              <w:t>la Nalyvaiko</w:t>
            </w:r>
            <w:r>
              <w:rPr>
                <w:rFonts w:ascii="Times New Roman" w:eastAsia="Times New Roman" w:hAnsi="Times New Roman" w:cs="Times New Roman"/>
                <w:kern w:val="0"/>
                <w:sz w:val="28"/>
                <w:szCs w:val="28"/>
                <w:lang w:val="uk-UA"/>
                <w14:ligatures w14:val="none"/>
              </w:rPr>
              <w:t xml:space="preserve"> </w:t>
            </w:r>
            <w:r w:rsidRPr="00023F32">
              <w:rPr>
                <w:rFonts w:ascii="Times New Roman" w:eastAsia="Times New Roman" w:hAnsi="Times New Roman" w:cs="Times New Roman"/>
                <w:kern w:val="0"/>
                <w:sz w:val="28"/>
                <w:szCs w:val="28"/>
                <w:lang w:val="en"/>
                <w14:ligatures w14:val="none"/>
              </w:rPr>
              <w:t>Development of a training model for training military servants for combat work with artillery ammunition</w:t>
            </w:r>
            <w:r>
              <w:rPr>
                <w:rFonts w:ascii="Times New Roman" w:eastAsia="Times New Roman" w:hAnsi="Times New Roman" w:cs="Times New Roman"/>
                <w:kern w:val="0"/>
                <w:sz w:val="28"/>
                <w:szCs w:val="28"/>
                <w:lang w:val="uk-UA"/>
                <w14:ligatures w14:val="none"/>
              </w:rPr>
              <w:t>………………………………………………………………………</w:t>
            </w:r>
          </w:p>
        </w:tc>
        <w:tc>
          <w:tcPr>
            <w:tcW w:w="636" w:type="dxa"/>
            <w:vAlign w:val="bottom"/>
          </w:tcPr>
          <w:p w14:paraId="4A0C24A9" w14:textId="77777777" w:rsidR="00023F32" w:rsidRPr="00B44B71" w:rsidRDefault="00023F32"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eastAsia="ru-RU"/>
                <w14:ligatures w14:val="none"/>
              </w:rPr>
            </w:pPr>
          </w:p>
        </w:tc>
      </w:tr>
      <w:tr w:rsidR="007A4D4A" w:rsidRPr="00B44B71" w14:paraId="4E47FBA2" w14:textId="77777777" w:rsidTr="00F918EC">
        <w:trPr>
          <w:trHeight w:val="715"/>
        </w:trPr>
        <w:tc>
          <w:tcPr>
            <w:tcW w:w="9322" w:type="dxa"/>
            <w:vAlign w:val="bottom"/>
          </w:tcPr>
          <w:p w14:paraId="7BDE3E10" w14:textId="5DC4E218" w:rsidR="007A4D4A" w:rsidRPr="007A4D4A" w:rsidRDefault="007A4D4A" w:rsidP="00023291">
            <w:pPr>
              <w:tabs>
                <w:tab w:val="left" w:pos="9638"/>
              </w:tabs>
              <w:spacing w:after="0" w:line="240" w:lineRule="auto"/>
              <w:rPr>
                <w:rFonts w:ascii="Times New Roman" w:eastAsia="Times New Roman" w:hAnsi="Times New Roman" w:cs="Times New Roman"/>
                <w:i/>
                <w:iCs/>
                <w:kern w:val="0"/>
                <w:sz w:val="28"/>
                <w:szCs w:val="28"/>
                <w14:ligatures w14:val="none"/>
              </w:rPr>
            </w:pPr>
            <w:r w:rsidRPr="009F6551">
              <w:rPr>
                <w:rFonts w:ascii="Times New Roman" w:eastAsia="Times New Roman" w:hAnsi="Times New Roman" w:cs="Times New Roman"/>
                <w:i/>
                <w:iCs/>
                <w:kern w:val="0"/>
                <w:sz w:val="28"/>
                <w:szCs w:val="28"/>
                <w:lang w:eastAsia="uk-UA"/>
                <w14:ligatures w14:val="none"/>
              </w:rPr>
              <w:t>Mykola Dumenko</w:t>
            </w:r>
            <w:r w:rsidRPr="009F6551">
              <w:rPr>
                <w:rFonts w:ascii="Times New Roman" w:eastAsia="Times New Roman" w:hAnsi="Times New Roman" w:cs="Times New Roman"/>
                <w:i/>
                <w:iCs/>
                <w:kern w:val="0"/>
                <w:sz w:val="28"/>
                <w:szCs w:val="28"/>
                <w:lang w:val="uk-UA" w:eastAsia="uk-UA"/>
                <w14:ligatures w14:val="none"/>
              </w:rPr>
              <w:t>,</w:t>
            </w:r>
            <w:r w:rsidRPr="007A4D4A">
              <w:rPr>
                <w:rFonts w:ascii="Times New Roman" w:eastAsia="Times New Roman" w:hAnsi="Times New Roman" w:cs="Times New Roman"/>
                <w:kern w:val="0"/>
                <w:sz w:val="28"/>
                <w:szCs w:val="28"/>
                <w:lang w:eastAsia="uk-UA"/>
                <w14:ligatures w14:val="none"/>
              </w:rPr>
              <w:t xml:space="preserve"> </w:t>
            </w:r>
            <w:r w:rsidRPr="009F6551">
              <w:rPr>
                <w:rFonts w:ascii="Times New Roman" w:eastAsia="Times New Roman" w:hAnsi="Times New Roman" w:cs="Times New Roman"/>
                <w:i/>
                <w:iCs/>
                <w:kern w:val="0"/>
                <w:sz w:val="28"/>
                <w:szCs w:val="28"/>
                <w:lang w:eastAsia="uk-UA"/>
                <w14:ligatures w14:val="none"/>
              </w:rPr>
              <w:t>Arkady Atrokhov</w:t>
            </w:r>
            <w:r w:rsidRPr="009F6551">
              <w:rPr>
                <w:rFonts w:ascii="Times New Roman" w:eastAsia="Times New Roman" w:hAnsi="Times New Roman" w:cs="Times New Roman"/>
                <w:i/>
                <w:iCs/>
                <w:kern w:val="0"/>
                <w:sz w:val="28"/>
                <w:szCs w:val="28"/>
                <w:lang w:val="uk-UA" w:eastAsia="uk-UA"/>
                <w14:ligatures w14:val="none"/>
              </w:rPr>
              <w:t xml:space="preserve"> </w:t>
            </w:r>
            <w:r w:rsidRPr="007A4D4A">
              <w:rPr>
                <w:rFonts w:ascii="Times New Roman" w:eastAsia="Times New Roman" w:hAnsi="Times New Roman" w:cs="Times New Roman"/>
                <w:iCs/>
                <w:kern w:val="0"/>
                <w:sz w:val="28"/>
                <w:szCs w:val="28"/>
                <w:lang w:eastAsia="uk-UA"/>
                <w14:ligatures w14:val="none"/>
              </w:rPr>
              <w:t>Problems of military training of citizens of Ukraine under the reserve officers program for the needs of the Armed Forces of Ukraine and other military formations</w:t>
            </w:r>
            <w:r w:rsidR="009F6551">
              <w:rPr>
                <w:rFonts w:ascii="Times New Roman" w:eastAsia="Times New Roman" w:hAnsi="Times New Roman" w:cs="Times New Roman"/>
                <w:iCs/>
                <w:kern w:val="0"/>
                <w:sz w:val="28"/>
                <w:szCs w:val="28"/>
                <w:lang w:val="uk-UA" w:eastAsia="uk-UA"/>
                <w14:ligatures w14:val="none"/>
              </w:rPr>
              <w:t>…………………………………………….</w:t>
            </w:r>
          </w:p>
        </w:tc>
        <w:tc>
          <w:tcPr>
            <w:tcW w:w="636" w:type="dxa"/>
            <w:vAlign w:val="bottom"/>
          </w:tcPr>
          <w:p w14:paraId="17FFE02E" w14:textId="77777777" w:rsidR="007A4D4A" w:rsidRPr="00B44B71" w:rsidRDefault="007A4D4A"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eastAsia="ru-RU"/>
                <w14:ligatures w14:val="none"/>
              </w:rPr>
            </w:pPr>
          </w:p>
        </w:tc>
      </w:tr>
      <w:tr w:rsidR="00B44B71" w:rsidRPr="00B44B71" w14:paraId="53055715" w14:textId="77777777" w:rsidTr="00F918EC">
        <w:trPr>
          <w:trHeight w:val="715"/>
        </w:trPr>
        <w:tc>
          <w:tcPr>
            <w:tcW w:w="9322" w:type="dxa"/>
            <w:vAlign w:val="bottom"/>
          </w:tcPr>
          <w:p w14:paraId="38A160EA" w14:textId="77777777" w:rsidR="00B44B71" w:rsidRPr="00B44B71" w:rsidRDefault="00B44B71" w:rsidP="00023291">
            <w:pPr>
              <w:tabs>
                <w:tab w:val="left" w:pos="9638"/>
              </w:tabs>
              <w:spacing w:after="0" w:line="240" w:lineRule="auto"/>
              <w:ind w:right="283"/>
              <w:contextualSpacing/>
              <w:jc w:val="both"/>
              <w:rPr>
                <w:rFonts w:ascii="Times New Roman" w:eastAsia="Calibri" w:hAnsi="Times New Roman" w:cs="Times New Roman"/>
                <w:i/>
                <w:kern w:val="0"/>
                <w:sz w:val="28"/>
                <w:szCs w:val="28"/>
                <w:lang w:val="uk-UA"/>
                <w14:ligatures w14:val="none"/>
              </w:rPr>
            </w:pPr>
            <w:r w:rsidRPr="00B44B71">
              <w:rPr>
                <w:rFonts w:ascii="Times New Roman" w:eastAsia="Calibri" w:hAnsi="Times New Roman" w:cs="Times New Roman"/>
                <w:bCs/>
                <w:i/>
                <w:sz w:val="28"/>
                <w:szCs w:val="28"/>
                <w14:ligatures w14:val="none"/>
              </w:rPr>
              <w:t>Serhii Yemelianov</w:t>
            </w:r>
            <w:r w:rsidRPr="00B44B71">
              <w:rPr>
                <w:rFonts w:ascii="Times New Roman" w:eastAsia="Calibri" w:hAnsi="Times New Roman" w:cs="Times New Roman"/>
                <w:bCs/>
                <w:sz w:val="28"/>
                <w:szCs w:val="28"/>
                <w14:ligatures w14:val="none"/>
              </w:rPr>
              <w:t xml:space="preserve"> </w:t>
            </w:r>
            <w:r w:rsidRPr="00B44B71">
              <w:rPr>
                <w:rFonts w:ascii="Times New Roman" w:eastAsia="Calibri" w:hAnsi="Times New Roman" w:cs="Times New Roman"/>
                <w:bCs/>
                <w:sz w:val="28"/>
                <w:szCs w:val="28"/>
                <w:lang w:val="uk-UA"/>
                <w14:ligatures w14:val="none"/>
              </w:rPr>
              <w:t>Pedagogical conditions for the development of media literacy of cadets of the Military training faculty of the State special transport service in the process of professional training</w:t>
            </w:r>
            <w:r w:rsidRPr="00B44B71">
              <w:rPr>
                <w:rFonts w:ascii="Times New Roman" w:eastAsia="Calibri" w:hAnsi="Times New Roman" w:cs="Times New Roman"/>
                <w:bCs/>
                <w:sz w:val="28"/>
                <w:szCs w:val="28"/>
                <w14:ligatures w14:val="none"/>
              </w:rPr>
              <w:t>………………………………….</w:t>
            </w:r>
          </w:p>
        </w:tc>
        <w:tc>
          <w:tcPr>
            <w:tcW w:w="636" w:type="dxa"/>
            <w:vAlign w:val="bottom"/>
          </w:tcPr>
          <w:p w14:paraId="220FCBAC"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eastAsia="ru-RU"/>
                <w14:ligatures w14:val="none"/>
              </w:rPr>
            </w:pPr>
          </w:p>
        </w:tc>
      </w:tr>
      <w:tr w:rsidR="00B44B71" w:rsidRPr="00B44B71" w14:paraId="325F79EB" w14:textId="77777777" w:rsidTr="00F918EC">
        <w:trPr>
          <w:trHeight w:val="715"/>
        </w:trPr>
        <w:tc>
          <w:tcPr>
            <w:tcW w:w="9322" w:type="dxa"/>
            <w:vAlign w:val="bottom"/>
          </w:tcPr>
          <w:p w14:paraId="0EEA930E" w14:textId="77777777" w:rsidR="00B44B71" w:rsidRPr="00B44B71" w:rsidRDefault="00B44B71" w:rsidP="00023291">
            <w:pPr>
              <w:tabs>
                <w:tab w:val="left" w:pos="9638"/>
              </w:tabs>
              <w:spacing w:after="0" w:line="240" w:lineRule="auto"/>
              <w:jc w:val="both"/>
              <w:rPr>
                <w:rFonts w:ascii="Times New Roman" w:eastAsia="Calibri" w:hAnsi="Times New Roman" w:cs="Times New Roman"/>
                <w:i/>
                <w:kern w:val="0"/>
                <w:sz w:val="28"/>
                <w:szCs w:val="28"/>
                <w14:ligatures w14:val="none"/>
              </w:rPr>
            </w:pPr>
            <w:r w:rsidRPr="00B44B71">
              <w:rPr>
                <w:rFonts w:ascii="Times New Roman" w:eastAsia="Calibri" w:hAnsi="Times New Roman" w:cs="Times New Roman"/>
                <w:i/>
                <w:kern w:val="0"/>
                <w:sz w:val="28"/>
                <w:szCs w:val="28"/>
                <w14:ligatures w14:val="none"/>
              </w:rPr>
              <w:t>Ievgeniia Ivanchenko</w:t>
            </w:r>
            <w:r w:rsidRPr="00B44B71">
              <w:rPr>
                <w:rFonts w:ascii="Times New Roman" w:eastAsia="Calibri" w:hAnsi="Times New Roman" w:cs="Times New Roman"/>
                <w:i/>
                <w:kern w:val="0"/>
                <w:sz w:val="28"/>
                <w:szCs w:val="28"/>
                <w:lang w:val="uk-UA"/>
                <w14:ligatures w14:val="none"/>
              </w:rPr>
              <w:t>,</w:t>
            </w:r>
            <w:r w:rsidRPr="00B44B71">
              <w:rPr>
                <w:rFonts w:ascii="Times New Roman" w:eastAsia="Calibri" w:hAnsi="Times New Roman" w:cs="Times New Roman"/>
                <w:i/>
                <w:kern w:val="0"/>
                <w:sz w:val="28"/>
                <w:szCs w:val="28"/>
                <w14:ligatures w14:val="none"/>
              </w:rPr>
              <w:t xml:space="preserve"> </w:t>
            </w:r>
            <w:r w:rsidRPr="00B44B71">
              <w:rPr>
                <w:rFonts w:ascii="Times New Roman" w:eastAsia="Times New Roman" w:hAnsi="Times New Roman" w:cs="Times New Roman"/>
                <w:i/>
                <w:kern w:val="0"/>
                <w:sz w:val="28"/>
                <w:szCs w:val="28"/>
                <w14:ligatures w14:val="none"/>
              </w:rPr>
              <w:t>Oleksandr Voinush</w:t>
            </w:r>
            <w:r w:rsidRPr="00B44B71">
              <w:rPr>
                <w:rFonts w:ascii="Times New Roman" w:eastAsia="Times New Roman" w:hAnsi="Times New Roman" w:cs="Times New Roman"/>
                <w:kern w:val="0"/>
                <w:sz w:val="28"/>
                <w:szCs w:val="28"/>
                <w14:ligatures w14:val="none"/>
              </w:rPr>
              <w:t xml:space="preserve"> Technical thinking as the foundation for the professional development of future artillery repair officers in the context of modern warfare…………………………………………………………………</w:t>
            </w:r>
          </w:p>
        </w:tc>
        <w:tc>
          <w:tcPr>
            <w:tcW w:w="636" w:type="dxa"/>
            <w:vAlign w:val="bottom"/>
          </w:tcPr>
          <w:p w14:paraId="58182C11"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eastAsia="ru-RU"/>
                <w14:ligatures w14:val="none"/>
              </w:rPr>
            </w:pPr>
          </w:p>
        </w:tc>
      </w:tr>
      <w:tr w:rsidR="00B44B71" w:rsidRPr="00B44B71" w14:paraId="6C01365C" w14:textId="77777777" w:rsidTr="00F918EC">
        <w:trPr>
          <w:trHeight w:val="715"/>
        </w:trPr>
        <w:tc>
          <w:tcPr>
            <w:tcW w:w="9322" w:type="dxa"/>
            <w:vAlign w:val="bottom"/>
          </w:tcPr>
          <w:p w14:paraId="13D4FBDF" w14:textId="77777777" w:rsidR="00B44B71" w:rsidRPr="00B44B71" w:rsidRDefault="00B44B71" w:rsidP="00023291">
            <w:pPr>
              <w:tabs>
                <w:tab w:val="left" w:pos="9638"/>
              </w:tabs>
              <w:suppressAutoHyphens/>
              <w:spacing w:after="0" w:line="240" w:lineRule="auto"/>
              <w:jc w:val="both"/>
              <w:rPr>
                <w:rFonts w:ascii="Times New Roman" w:eastAsia="Calibri" w:hAnsi="Times New Roman" w:cs="Times New Roman"/>
                <w:i/>
                <w:kern w:val="0"/>
                <w:sz w:val="28"/>
                <w:szCs w:val="28"/>
                <w14:ligatures w14:val="none"/>
              </w:rPr>
            </w:pPr>
            <w:r w:rsidRPr="00B44B71">
              <w:rPr>
                <w:rFonts w:ascii="Times New Roman" w:eastAsia="Times New Roman" w:hAnsi="Times New Roman" w:cs="Times New Roman"/>
                <w:i/>
                <w:kern w:val="0"/>
                <w:sz w:val="28"/>
                <w:szCs w:val="28"/>
                <w:lang w:eastAsia="uk-UA"/>
                <w14:ligatures w14:val="none"/>
              </w:rPr>
              <w:t>Volodymyr</w:t>
            </w:r>
            <w:r w:rsidRPr="00B44B71">
              <w:rPr>
                <w:rFonts w:ascii="Times New Roman" w:eastAsia="Times New Roman" w:hAnsi="Times New Roman" w:cs="Times New Roman"/>
                <w:i/>
                <w:kern w:val="0"/>
                <w:sz w:val="28"/>
                <w:szCs w:val="28"/>
                <w:lang w:val="uk-UA" w:eastAsia="uk-UA"/>
                <w14:ligatures w14:val="none"/>
              </w:rPr>
              <w:t xml:space="preserve"> </w:t>
            </w:r>
            <w:r w:rsidRPr="00B44B71">
              <w:rPr>
                <w:rFonts w:ascii="Times New Roman" w:eastAsia="Times New Roman" w:hAnsi="Times New Roman" w:cs="Times New Roman"/>
                <w:i/>
                <w:kern w:val="0"/>
                <w:sz w:val="28"/>
                <w:szCs w:val="28"/>
                <w:lang w:eastAsia="uk-UA"/>
                <w14:ligatures w14:val="none"/>
              </w:rPr>
              <w:t>Karpenko</w:t>
            </w:r>
            <w:r w:rsidRPr="00B44B71">
              <w:rPr>
                <w:rFonts w:ascii="Times New Roman" w:eastAsia="Times New Roman" w:hAnsi="Times New Roman" w:cs="Times New Roman"/>
                <w:i/>
                <w:kern w:val="0"/>
                <w:sz w:val="28"/>
                <w:szCs w:val="28"/>
                <w:lang w:val="uk-UA" w:eastAsia="uk-UA"/>
                <w14:ligatures w14:val="none"/>
              </w:rPr>
              <w:t>,</w:t>
            </w:r>
            <w:r w:rsidRPr="00B44B71">
              <w:rPr>
                <w:rFonts w:ascii="Times New Roman" w:eastAsia="Times New Roman" w:hAnsi="Times New Roman" w:cs="Times New Roman"/>
                <w:i/>
                <w:kern w:val="0"/>
                <w:sz w:val="28"/>
                <w:szCs w:val="28"/>
                <w:lang w:eastAsia="uk-UA"/>
                <w14:ligatures w14:val="none"/>
              </w:rPr>
              <w:t xml:space="preserve"> </w:t>
            </w:r>
            <w:r w:rsidRPr="00B44B71">
              <w:rPr>
                <w:rFonts w:ascii="Times New Roman" w:eastAsia="Times New Roman" w:hAnsi="Times New Roman" w:cs="Times New Roman"/>
                <w:bCs/>
                <w:i/>
                <w:kern w:val="0"/>
                <w:sz w:val="28"/>
                <w:szCs w:val="28"/>
                <w:lang w:eastAsia="uk-UA"/>
                <w14:ligatures w14:val="none"/>
              </w:rPr>
              <w:t>Anna Zinchuk</w:t>
            </w:r>
            <w:r w:rsidRPr="00B44B71">
              <w:rPr>
                <w:rFonts w:ascii="Times New Roman" w:eastAsia="Times New Roman" w:hAnsi="Times New Roman" w:cs="Times New Roman"/>
                <w:bCs/>
                <w:kern w:val="0"/>
                <w:sz w:val="28"/>
                <w:szCs w:val="28"/>
                <w:lang w:eastAsia="uk-UA"/>
                <w14:ligatures w14:val="none"/>
              </w:rPr>
              <w:t xml:space="preserve">  Transformation of the officer training system of the Armed Forces of Ukraine amidst russo-ukrainian war (2014 – 2025)………………………………………………………………………………</w:t>
            </w:r>
          </w:p>
        </w:tc>
        <w:tc>
          <w:tcPr>
            <w:tcW w:w="636" w:type="dxa"/>
            <w:vAlign w:val="bottom"/>
          </w:tcPr>
          <w:p w14:paraId="6CCF6922"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eastAsia="ru-RU"/>
                <w14:ligatures w14:val="none"/>
              </w:rPr>
            </w:pPr>
          </w:p>
        </w:tc>
      </w:tr>
      <w:tr w:rsidR="00B44B71" w:rsidRPr="00B44B71" w14:paraId="7FFF95AA" w14:textId="77777777" w:rsidTr="00F918EC">
        <w:trPr>
          <w:trHeight w:val="715"/>
        </w:trPr>
        <w:tc>
          <w:tcPr>
            <w:tcW w:w="9322" w:type="dxa"/>
            <w:vAlign w:val="bottom"/>
          </w:tcPr>
          <w:p w14:paraId="058F4EC0" w14:textId="77777777" w:rsidR="00B44B71" w:rsidRPr="00B44B71" w:rsidRDefault="00B44B71" w:rsidP="00023291">
            <w:pPr>
              <w:tabs>
                <w:tab w:val="left" w:pos="9638"/>
              </w:tabs>
              <w:spacing w:after="0" w:line="240" w:lineRule="auto"/>
              <w:jc w:val="both"/>
              <w:rPr>
                <w:rFonts w:ascii="Times New Roman" w:eastAsia="Calibri" w:hAnsi="Times New Roman" w:cs="Times New Roman"/>
                <w:i/>
                <w:kern w:val="0"/>
                <w:sz w:val="28"/>
                <w:szCs w:val="28"/>
                <w:lang w:val="uk-UA"/>
                <w14:ligatures w14:val="none"/>
              </w:rPr>
            </w:pPr>
            <w:r w:rsidRPr="00B44B71">
              <w:rPr>
                <w:rFonts w:ascii="Times New Roman" w:eastAsia="Times New Roman" w:hAnsi="Times New Roman" w:cs="Times New Roman"/>
                <w:bCs/>
                <w:i/>
                <w:kern w:val="0"/>
                <w:sz w:val="28"/>
                <w:szCs w:val="28"/>
                <w:lang w:eastAsia="ru-RU"/>
                <w14:ligatures w14:val="none"/>
              </w:rPr>
              <w:t>Dmytro Kyslenko</w:t>
            </w:r>
            <w:r w:rsidRPr="00B44B71">
              <w:rPr>
                <w:rFonts w:ascii="Times New Roman" w:eastAsia="Times New Roman" w:hAnsi="Times New Roman" w:cs="Times New Roman"/>
                <w:bCs/>
                <w:i/>
                <w:kern w:val="0"/>
                <w:sz w:val="28"/>
                <w:szCs w:val="28"/>
                <w:lang w:val="uk-UA" w:eastAsia="ru-RU"/>
                <w14:ligatures w14:val="none"/>
              </w:rPr>
              <w:t xml:space="preserve">, </w:t>
            </w:r>
            <w:r w:rsidRPr="00B44B71">
              <w:rPr>
                <w:rFonts w:ascii="Times New Roman" w:eastAsia="Times New Roman" w:hAnsi="Times New Roman" w:cs="Times New Roman"/>
                <w:bCs/>
                <w:i/>
                <w:kern w:val="0"/>
                <w:sz w:val="28"/>
                <w:szCs w:val="28"/>
                <w:lang w:eastAsia="ru-RU"/>
                <w14:ligatures w14:val="none"/>
              </w:rPr>
              <w:t xml:space="preserve">Vitalii Polyvaniuk, </w:t>
            </w:r>
            <w:r w:rsidRPr="00B44B71">
              <w:rPr>
                <w:rFonts w:ascii="Times New Roman" w:eastAsia="Times New Roman" w:hAnsi="Times New Roman" w:cs="Times New Roman"/>
                <w:i/>
                <w:kern w:val="0"/>
                <w:sz w:val="28"/>
                <w:szCs w:val="28"/>
                <w:lang w:eastAsia="ru-RU"/>
                <w14:ligatures w14:val="none"/>
              </w:rPr>
              <w:t>Roman Shostak</w:t>
            </w:r>
            <w:r w:rsidRPr="00B44B71">
              <w:rPr>
                <w:rFonts w:ascii="Times New Roman" w:eastAsia="Times New Roman" w:hAnsi="Times New Roman" w:cs="Times New Roman"/>
                <w:kern w:val="0"/>
                <w:sz w:val="28"/>
                <w:szCs w:val="28"/>
                <w:lang w:eastAsia="ru-RU"/>
                <w14:ligatures w14:val="none"/>
              </w:rPr>
              <w:t xml:space="preserve">  </w:t>
            </w:r>
            <w:r w:rsidRPr="00B44B71">
              <w:rPr>
                <w:rFonts w:ascii="Times New Roman" w:eastAsia="Times New Roman" w:hAnsi="Times New Roman" w:cs="Times New Roman"/>
                <w:bCs/>
                <w:kern w:val="0"/>
                <w:sz w:val="28"/>
                <w:szCs w:val="28"/>
                <w:lang w:eastAsia="ru-RU"/>
                <w14:ligatures w14:val="none"/>
              </w:rPr>
              <w:t>P</w:t>
            </w:r>
            <w:r w:rsidRPr="00B44B71">
              <w:rPr>
                <w:rFonts w:ascii="Times New Roman" w:eastAsia="Times New Roman" w:hAnsi="Times New Roman" w:cs="Times New Roman"/>
                <w:bCs/>
                <w:kern w:val="0"/>
                <w:sz w:val="28"/>
                <w:szCs w:val="28"/>
                <w:lang w:val="uk-UA" w:eastAsia="ru-RU"/>
                <w14:ligatures w14:val="none"/>
              </w:rPr>
              <w:t>rofessional integrity of officers as a pedagogical problem in the conditions of reforming the military education system of Ukraine</w:t>
            </w:r>
            <w:r w:rsidRPr="00B44B71">
              <w:rPr>
                <w:rFonts w:ascii="Times New Roman" w:eastAsia="Times New Roman" w:hAnsi="Times New Roman" w:cs="Times New Roman"/>
                <w:bCs/>
                <w:kern w:val="0"/>
                <w:sz w:val="28"/>
                <w:szCs w:val="28"/>
                <w:lang w:eastAsia="ru-RU"/>
                <w14:ligatures w14:val="none"/>
              </w:rPr>
              <w:t>………………………………………………………</w:t>
            </w:r>
          </w:p>
        </w:tc>
        <w:tc>
          <w:tcPr>
            <w:tcW w:w="636" w:type="dxa"/>
            <w:vAlign w:val="bottom"/>
          </w:tcPr>
          <w:p w14:paraId="65CCE1CE"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eastAsia="ru-RU"/>
                <w14:ligatures w14:val="none"/>
              </w:rPr>
            </w:pPr>
          </w:p>
        </w:tc>
      </w:tr>
      <w:tr w:rsidR="00B44B71" w:rsidRPr="00B44B71" w14:paraId="03FD566F" w14:textId="77777777" w:rsidTr="00727E46">
        <w:trPr>
          <w:trHeight w:val="416"/>
        </w:trPr>
        <w:tc>
          <w:tcPr>
            <w:tcW w:w="9322" w:type="dxa"/>
            <w:vAlign w:val="bottom"/>
          </w:tcPr>
          <w:p w14:paraId="0B1DA84D" w14:textId="1DE3F159" w:rsidR="00B44B71" w:rsidRPr="00727E46" w:rsidRDefault="00B44B71" w:rsidP="00023291">
            <w:pPr>
              <w:tabs>
                <w:tab w:val="left" w:pos="9638"/>
              </w:tabs>
              <w:spacing w:after="0" w:line="240" w:lineRule="auto"/>
              <w:jc w:val="both"/>
              <w:rPr>
                <w:rFonts w:ascii="Times New Roman" w:eastAsia="Times New Roman" w:hAnsi="Times New Roman" w:cs="Times New Roman"/>
                <w:bCs/>
                <w:i/>
                <w:kern w:val="0"/>
                <w:sz w:val="28"/>
                <w:szCs w:val="28"/>
                <w:lang w:val="uk-UA" w:eastAsia="ru-RU"/>
                <w14:ligatures w14:val="none"/>
              </w:rPr>
            </w:pPr>
            <w:r w:rsidRPr="00B44B71">
              <w:rPr>
                <w:rFonts w:ascii="Times New Roman" w:eastAsia="Times New Roman" w:hAnsi="Times New Roman" w:cs="Times New Roman"/>
                <w:bCs/>
                <w:i/>
                <w:kern w:val="0"/>
                <w:sz w:val="28"/>
                <w:szCs w:val="28"/>
                <w14:ligatures w14:val="none"/>
              </w:rPr>
              <w:t>Leonid Oliinyk, Inna Savina</w:t>
            </w:r>
            <w:r w:rsidRPr="00B44B71">
              <w:rPr>
                <w:rFonts w:ascii="Times New Roman" w:eastAsia="Times New Roman" w:hAnsi="Times New Roman" w:cs="Times New Roman"/>
                <w:bCs/>
                <w:kern w:val="0"/>
                <w:sz w:val="28"/>
                <w:szCs w:val="28"/>
                <w14:ligatures w14:val="none"/>
              </w:rPr>
              <w:t xml:space="preserve"> </w:t>
            </w:r>
            <w:r w:rsidRPr="00B44B71">
              <w:rPr>
                <w:rFonts w:ascii="Times New Roman" w:eastAsia="Times New Roman" w:hAnsi="Times New Roman" w:cs="Times New Roman"/>
                <w:kern w:val="0"/>
                <w:sz w:val="28"/>
                <w:szCs w:val="28"/>
                <w14:ligatures w14:val="none"/>
              </w:rPr>
              <w:t>Methodological approaches and principles for studying the development of leadership competence in operational-level officers within the system of professional military education…………………………</w:t>
            </w:r>
            <w:r w:rsidR="00727E46">
              <w:rPr>
                <w:rFonts w:ascii="Times New Roman" w:eastAsia="Times New Roman" w:hAnsi="Times New Roman" w:cs="Times New Roman"/>
                <w:kern w:val="0"/>
                <w:sz w:val="28"/>
                <w:szCs w:val="28"/>
                <w14:ligatures w14:val="none"/>
              </w:rPr>
              <w:t>…</w:t>
            </w:r>
            <w:r w:rsidR="00727E46">
              <w:rPr>
                <w:rFonts w:ascii="Times New Roman" w:eastAsia="Times New Roman" w:hAnsi="Times New Roman" w:cs="Times New Roman"/>
                <w:kern w:val="0"/>
                <w:sz w:val="28"/>
                <w:szCs w:val="28"/>
                <w:lang w:val="uk-UA"/>
                <w14:ligatures w14:val="none"/>
              </w:rPr>
              <w:t>.</w:t>
            </w:r>
          </w:p>
        </w:tc>
        <w:tc>
          <w:tcPr>
            <w:tcW w:w="636" w:type="dxa"/>
            <w:vAlign w:val="bottom"/>
          </w:tcPr>
          <w:p w14:paraId="0BCE4A19"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eastAsia="ru-RU"/>
                <w14:ligatures w14:val="none"/>
              </w:rPr>
            </w:pPr>
          </w:p>
        </w:tc>
      </w:tr>
      <w:tr w:rsidR="00B44B71" w:rsidRPr="00B44B71" w14:paraId="0C806F77" w14:textId="77777777" w:rsidTr="00F918EC">
        <w:trPr>
          <w:trHeight w:val="715"/>
        </w:trPr>
        <w:tc>
          <w:tcPr>
            <w:tcW w:w="9322" w:type="dxa"/>
            <w:vAlign w:val="bottom"/>
          </w:tcPr>
          <w:p w14:paraId="28E9A064" w14:textId="52171991" w:rsidR="00B44B71" w:rsidRPr="00B44B71" w:rsidRDefault="00B44B71" w:rsidP="00023291">
            <w:pPr>
              <w:tabs>
                <w:tab w:val="left" w:pos="9638"/>
              </w:tabs>
              <w:spacing w:after="0" w:line="240" w:lineRule="auto"/>
              <w:jc w:val="both"/>
              <w:rPr>
                <w:rFonts w:ascii="Times New Roman" w:eastAsia="Times New Roman" w:hAnsi="Times New Roman" w:cs="Times New Roman"/>
                <w:bCs/>
                <w:i/>
                <w:kern w:val="0"/>
                <w:sz w:val="28"/>
                <w:szCs w:val="28"/>
                <w:lang w:eastAsia="ru-RU"/>
                <w14:ligatures w14:val="none"/>
              </w:rPr>
            </w:pPr>
            <w:r w:rsidRPr="00B44B71">
              <w:rPr>
                <w:rFonts w:ascii="Times New Roman" w:eastAsia="Calibri" w:hAnsi="Times New Roman" w:cs="Times New Roman"/>
                <w:bCs/>
                <w:i/>
                <w:color w:val="000000"/>
                <w:kern w:val="0"/>
                <w:sz w:val="28"/>
                <w:szCs w:val="28"/>
                <w14:ligatures w14:val="none"/>
              </w:rPr>
              <w:lastRenderedPageBreak/>
              <w:t>Lidiia Parashchuk</w:t>
            </w:r>
            <w:r w:rsidR="00727E46">
              <w:rPr>
                <w:rFonts w:ascii="Times New Roman" w:eastAsia="Calibri" w:hAnsi="Times New Roman" w:cs="Times New Roman"/>
                <w:bCs/>
                <w:i/>
                <w:color w:val="000000"/>
                <w:kern w:val="0"/>
                <w:sz w:val="28"/>
                <w:szCs w:val="28"/>
                <w:lang w:val="uk-UA"/>
                <w14:ligatures w14:val="none"/>
              </w:rPr>
              <w:t xml:space="preserve"> </w:t>
            </w:r>
            <w:r w:rsidRPr="00B44B71">
              <w:rPr>
                <w:rFonts w:ascii="Times New Roman" w:eastAsia="Calibri" w:hAnsi="Times New Roman" w:cs="Times New Roman"/>
                <w:bCs/>
                <w:i/>
                <w:color w:val="000000"/>
                <w:kern w:val="0"/>
                <w:sz w:val="28"/>
                <w:szCs w:val="28"/>
                <w14:ligatures w14:val="none"/>
              </w:rPr>
              <w:t xml:space="preserve"> </w:t>
            </w:r>
            <w:r w:rsidRPr="00B44B71">
              <w:rPr>
                <w:rFonts w:ascii="Times New Roman" w:eastAsia="Calibri" w:hAnsi="Times New Roman" w:cs="Times New Roman"/>
                <w:bCs/>
                <w:i/>
                <w:color w:val="000000"/>
                <w:kern w:val="0"/>
                <w:sz w:val="28"/>
                <w:szCs w:val="28"/>
                <w:lang w:val="uk-UA"/>
                <w14:ligatures w14:val="none"/>
              </w:rPr>
              <w:t>Liubomyra Odosii</w:t>
            </w:r>
            <w:r w:rsidRPr="00B44B71">
              <w:rPr>
                <w:rFonts w:ascii="Times New Roman" w:eastAsia="Calibri" w:hAnsi="Times New Roman" w:cs="Times New Roman"/>
                <w:bCs/>
                <w:color w:val="000000"/>
                <w:kern w:val="0"/>
                <w:sz w:val="28"/>
                <w:szCs w:val="28"/>
                <w14:ligatures w14:val="none"/>
              </w:rPr>
              <w:t xml:space="preserve"> </w:t>
            </w:r>
            <w:r w:rsidRPr="00B44B71">
              <w:rPr>
                <w:rFonts w:ascii="Times New Roman" w:eastAsia="Times New Roman" w:hAnsi="Times New Roman" w:cs="Times New Roman"/>
                <w:bCs/>
                <w:kern w:val="0"/>
                <w:sz w:val="28"/>
                <w:szCs w:val="28"/>
                <w14:ligatures w14:val="none"/>
              </w:rPr>
              <w:t>Features of implementing blended learning based on a digital educational environment as a tool for implementing an individual educational path into the training system of military specialists.</w:t>
            </w:r>
          </w:p>
        </w:tc>
        <w:tc>
          <w:tcPr>
            <w:tcW w:w="636" w:type="dxa"/>
            <w:vAlign w:val="bottom"/>
          </w:tcPr>
          <w:p w14:paraId="25BADB6B"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eastAsia="ru-RU"/>
                <w14:ligatures w14:val="none"/>
              </w:rPr>
            </w:pPr>
          </w:p>
        </w:tc>
      </w:tr>
      <w:tr w:rsidR="009F6551" w:rsidRPr="00B44B71" w14:paraId="6FC6BD36" w14:textId="77777777" w:rsidTr="00960787">
        <w:trPr>
          <w:trHeight w:val="859"/>
        </w:trPr>
        <w:tc>
          <w:tcPr>
            <w:tcW w:w="9322" w:type="dxa"/>
            <w:vAlign w:val="bottom"/>
          </w:tcPr>
          <w:p w14:paraId="230A2300" w14:textId="5B3CABB0" w:rsidR="009F6551" w:rsidRPr="009F6551" w:rsidRDefault="009F6551" w:rsidP="00023291">
            <w:pPr>
              <w:tabs>
                <w:tab w:val="left" w:pos="993"/>
                <w:tab w:val="left" w:pos="9638"/>
              </w:tabs>
              <w:spacing w:after="0" w:line="240" w:lineRule="auto"/>
              <w:jc w:val="both"/>
              <w:rPr>
                <w:rFonts w:ascii="Times New Roman" w:eastAsia="Calibri" w:hAnsi="Times New Roman" w:cs="Times New Roman"/>
                <w:bCs/>
                <w:i/>
                <w:color w:val="000000"/>
                <w:kern w:val="0"/>
                <w:sz w:val="28"/>
                <w:szCs w:val="28"/>
                <w:lang w:val="uk-UA"/>
                <w14:ligatures w14:val="none"/>
              </w:rPr>
            </w:pPr>
            <w:r w:rsidRPr="009F6551">
              <w:rPr>
                <w:rFonts w:ascii="Times New Roman" w:eastAsia="Calibri" w:hAnsi="Times New Roman" w:cs="Times New Roman"/>
                <w:bCs/>
                <w:kern w:val="0"/>
                <w:sz w:val="24"/>
                <w:szCs w:val="24"/>
                <w:lang w:val="uk-UA"/>
                <w14:ligatures w14:val="none"/>
              </w:rPr>
              <w:t xml:space="preserve"> </w:t>
            </w:r>
            <w:r w:rsidRPr="009F6551">
              <w:rPr>
                <w:rFonts w:ascii="Times New Roman" w:eastAsia="Calibri" w:hAnsi="Times New Roman" w:cs="Times New Roman"/>
                <w:bCs/>
                <w:i/>
                <w:iCs/>
                <w:kern w:val="0"/>
                <w:sz w:val="28"/>
                <w:szCs w:val="28"/>
                <w:lang w:val="uk-UA"/>
                <w14:ligatures w14:val="none"/>
              </w:rPr>
              <w:t>L</w:t>
            </w:r>
            <w:r w:rsidRPr="009F6551">
              <w:rPr>
                <w:rFonts w:ascii="Times New Roman" w:eastAsia="Calibri" w:hAnsi="Times New Roman" w:cs="Times New Roman"/>
                <w:bCs/>
                <w:i/>
                <w:iCs/>
                <w:kern w:val="0"/>
                <w:sz w:val="28"/>
                <w:szCs w:val="28"/>
                <w14:ligatures w14:val="none"/>
              </w:rPr>
              <w:t>i</w:t>
            </w:r>
            <w:r w:rsidRPr="009F6551">
              <w:rPr>
                <w:rFonts w:ascii="Times New Roman" w:eastAsia="Calibri" w:hAnsi="Times New Roman" w:cs="Times New Roman"/>
                <w:bCs/>
                <w:i/>
                <w:iCs/>
                <w:kern w:val="0"/>
                <w:sz w:val="28"/>
                <w:szCs w:val="28"/>
                <w:lang w:val="uk-UA"/>
                <w14:ligatures w14:val="none"/>
              </w:rPr>
              <w:t>udm</w:t>
            </w:r>
            <w:r w:rsidRPr="009F6551">
              <w:rPr>
                <w:rFonts w:ascii="Times New Roman" w:eastAsia="Calibri" w:hAnsi="Times New Roman" w:cs="Times New Roman"/>
                <w:bCs/>
                <w:i/>
                <w:iCs/>
                <w:kern w:val="0"/>
                <w:sz w:val="28"/>
                <w:szCs w:val="28"/>
                <w14:ligatures w14:val="none"/>
              </w:rPr>
              <w:t>y</w:t>
            </w:r>
            <w:r w:rsidRPr="009F6551">
              <w:rPr>
                <w:rFonts w:ascii="Times New Roman" w:eastAsia="Calibri" w:hAnsi="Times New Roman" w:cs="Times New Roman"/>
                <w:bCs/>
                <w:i/>
                <w:iCs/>
                <w:kern w:val="0"/>
                <w:sz w:val="28"/>
                <w:szCs w:val="28"/>
                <w:lang w:val="uk-UA"/>
                <w14:ligatures w14:val="none"/>
              </w:rPr>
              <w:t>la Prypolova</w:t>
            </w:r>
            <w:r>
              <w:rPr>
                <w:rFonts w:ascii="Times New Roman" w:eastAsia="Calibri" w:hAnsi="Times New Roman" w:cs="Times New Roman"/>
                <w:bCs/>
                <w:kern w:val="0"/>
                <w:sz w:val="28"/>
                <w:szCs w:val="28"/>
                <w:lang w:val="uk-UA"/>
                <w14:ligatures w14:val="none"/>
              </w:rPr>
              <w:t xml:space="preserve"> </w:t>
            </w:r>
            <w:r w:rsidR="00727E46">
              <w:rPr>
                <w:rFonts w:ascii="Times New Roman" w:eastAsia="Calibri" w:hAnsi="Times New Roman" w:cs="Times New Roman"/>
                <w:bCs/>
                <w:kern w:val="0"/>
                <w:sz w:val="28"/>
                <w:szCs w:val="28"/>
                <w:lang w:val="uk-UA"/>
                <w14:ligatures w14:val="none"/>
              </w:rPr>
              <w:t xml:space="preserve"> </w:t>
            </w:r>
            <w:r w:rsidRPr="009F6551">
              <w:rPr>
                <w:rFonts w:ascii="Times New Roman" w:eastAsia="Calibri" w:hAnsi="Times New Roman" w:cs="Times New Roman"/>
                <w:bCs/>
                <w:kern w:val="0"/>
                <w:sz w:val="28"/>
                <w:szCs w:val="28"/>
                <w:lang w:val="uk-UA"/>
                <w14:ligatures w14:val="none"/>
              </w:rPr>
              <w:t>Prospects of inter-departmental cooperation in scientific  activities in the system of the Ministry of defense of Ukraine</w:t>
            </w:r>
            <w:r>
              <w:rPr>
                <w:rFonts w:ascii="Times New Roman" w:eastAsia="Calibri" w:hAnsi="Times New Roman" w:cs="Times New Roman"/>
                <w:bCs/>
                <w:kern w:val="0"/>
                <w:sz w:val="28"/>
                <w:szCs w:val="28"/>
                <w:lang w:val="uk-UA"/>
                <w14:ligatures w14:val="none"/>
              </w:rPr>
              <w:t>……………………</w:t>
            </w:r>
          </w:p>
        </w:tc>
        <w:tc>
          <w:tcPr>
            <w:tcW w:w="636" w:type="dxa"/>
            <w:vAlign w:val="bottom"/>
          </w:tcPr>
          <w:p w14:paraId="56ED7C4F" w14:textId="77777777" w:rsidR="009F6551" w:rsidRPr="00B44B71" w:rsidRDefault="009F6551"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eastAsia="ru-RU"/>
                <w14:ligatures w14:val="none"/>
              </w:rPr>
            </w:pPr>
          </w:p>
        </w:tc>
      </w:tr>
      <w:tr w:rsidR="00102DE8" w:rsidRPr="00B44B71" w14:paraId="415EAB32" w14:textId="77777777" w:rsidTr="00F918EC">
        <w:trPr>
          <w:trHeight w:val="715"/>
        </w:trPr>
        <w:tc>
          <w:tcPr>
            <w:tcW w:w="9322" w:type="dxa"/>
            <w:vAlign w:val="bottom"/>
          </w:tcPr>
          <w:p w14:paraId="08810BD5" w14:textId="3684B39F" w:rsidR="00102DE8" w:rsidRPr="00960787" w:rsidRDefault="00727E46" w:rsidP="00023291">
            <w:pPr>
              <w:pStyle w:val="HTMLPreformatted"/>
              <w:shd w:val="clear" w:color="auto" w:fill="F8F9FA"/>
              <w:tabs>
                <w:tab w:val="left" w:pos="9638"/>
              </w:tabs>
              <w:jc w:val="both"/>
              <w:rPr>
                <w:rFonts w:ascii="Times New Roman" w:hAnsi="Times New Roman"/>
                <w:color w:val="1F1F1F"/>
                <w:sz w:val="28"/>
                <w:szCs w:val="28"/>
                <w:lang w:val="uk-UA" w:eastAsia="uk-UA"/>
              </w:rPr>
            </w:pPr>
            <w:r w:rsidRPr="00960787">
              <w:rPr>
                <w:rFonts w:ascii="Times New Roman" w:hAnsi="Times New Roman"/>
                <w:i/>
                <w:sz w:val="28"/>
                <w:szCs w:val="28"/>
                <w:lang w:val="en-US" w:eastAsia="uk-UA"/>
              </w:rPr>
              <w:t>Vitaliy Rakhmanov</w:t>
            </w:r>
            <w:r w:rsidRPr="00960787">
              <w:rPr>
                <w:rFonts w:ascii="Times New Roman" w:hAnsi="Times New Roman"/>
                <w:sz w:val="28"/>
                <w:szCs w:val="28"/>
                <w:lang w:val="uk-UA" w:eastAsia="uk-UA"/>
              </w:rPr>
              <w:t xml:space="preserve">  </w:t>
            </w:r>
            <w:r w:rsidR="00960787" w:rsidRPr="00960787">
              <w:rPr>
                <w:rFonts w:ascii="Times New Roman" w:hAnsi="Times New Roman"/>
                <w:color w:val="1F1F1F"/>
                <w:sz w:val="28"/>
                <w:szCs w:val="28"/>
                <w:lang w:val="en" w:eastAsia="uk-UA"/>
              </w:rPr>
              <w:t>Forecasting educational activities in higher educational institutions using artificial intelligence based on statistical analysis of air alarms</w:t>
            </w:r>
          </w:p>
        </w:tc>
        <w:tc>
          <w:tcPr>
            <w:tcW w:w="636" w:type="dxa"/>
            <w:vAlign w:val="bottom"/>
          </w:tcPr>
          <w:p w14:paraId="59AF9E74" w14:textId="77777777" w:rsidR="00102DE8" w:rsidRPr="00B44B71" w:rsidRDefault="00102DE8"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eastAsia="ru-RU"/>
                <w14:ligatures w14:val="none"/>
              </w:rPr>
            </w:pPr>
          </w:p>
        </w:tc>
      </w:tr>
      <w:tr w:rsidR="00B44B71" w:rsidRPr="00B44B71" w14:paraId="4B963E12" w14:textId="77777777" w:rsidTr="00F918EC">
        <w:trPr>
          <w:trHeight w:val="715"/>
        </w:trPr>
        <w:tc>
          <w:tcPr>
            <w:tcW w:w="9322" w:type="dxa"/>
            <w:vAlign w:val="bottom"/>
          </w:tcPr>
          <w:p w14:paraId="3640E8AB" w14:textId="77777777" w:rsidR="00B44B71" w:rsidRPr="00B44B71" w:rsidRDefault="00B44B71" w:rsidP="00023291">
            <w:pPr>
              <w:widowControl w:val="0"/>
              <w:tabs>
                <w:tab w:val="left" w:pos="9638"/>
              </w:tabs>
              <w:spacing w:after="0" w:line="240" w:lineRule="auto"/>
              <w:rPr>
                <w:rFonts w:ascii="Times New Roman" w:eastAsia="Times New Roman" w:hAnsi="Times New Roman" w:cs="Times New Roman"/>
                <w:bCs/>
                <w:i/>
                <w:kern w:val="0"/>
                <w:sz w:val="28"/>
                <w:szCs w:val="28"/>
                <w:lang w:val="uk-UA" w:eastAsia="ru-RU"/>
                <w14:ligatures w14:val="none"/>
              </w:rPr>
            </w:pPr>
            <w:r w:rsidRPr="009F6551">
              <w:rPr>
                <w:rFonts w:ascii="Times New Roman" w:eastAsia="Times New Roman" w:hAnsi="Times New Roman" w:cs="Times New Roman"/>
                <w:i/>
                <w:iCs/>
                <w:kern w:val="0"/>
                <w:sz w:val="28"/>
                <w:szCs w:val="28"/>
                <w:lang w:val="en-GB" w:eastAsia="ru-RU"/>
                <w14:ligatures w14:val="none"/>
              </w:rPr>
              <w:t>Vitalii Sahan</w:t>
            </w:r>
            <w:r w:rsidRPr="00B44B71">
              <w:rPr>
                <w:rFonts w:ascii="Times New Roman" w:eastAsia="Times New Roman" w:hAnsi="Times New Roman" w:cs="Times New Roman"/>
                <w:kern w:val="0"/>
                <w:sz w:val="28"/>
                <w:szCs w:val="28"/>
                <w:lang w:val="en-GB" w:eastAsia="ru-RU"/>
                <w14:ligatures w14:val="none"/>
              </w:rPr>
              <w:t xml:space="preserve">  </w:t>
            </w:r>
            <w:r w:rsidRPr="00B44B71">
              <w:rPr>
                <w:rFonts w:ascii="Times New Roman" w:eastAsia="Times New Roman" w:hAnsi="Times New Roman" w:cs="Times New Roman"/>
                <w:bCs/>
                <w:kern w:val="0"/>
                <w:sz w:val="28"/>
                <w:szCs w:val="28"/>
                <w:lang w:val="en-GB" w:eastAsia="ru-RU"/>
                <w14:ligatures w14:val="none"/>
              </w:rPr>
              <w:t>Training of logi stics officers in the State Border Guard Service of Ukraine in the current context of hostilities……………………………………….</w:t>
            </w:r>
          </w:p>
        </w:tc>
        <w:tc>
          <w:tcPr>
            <w:tcW w:w="636" w:type="dxa"/>
            <w:vAlign w:val="bottom"/>
          </w:tcPr>
          <w:p w14:paraId="732ACA0D"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eastAsia="ru-RU"/>
                <w14:ligatures w14:val="none"/>
              </w:rPr>
            </w:pPr>
          </w:p>
        </w:tc>
      </w:tr>
      <w:tr w:rsidR="00B44B71" w:rsidRPr="00B44B71" w14:paraId="4C6E522B" w14:textId="77777777" w:rsidTr="00F918EC">
        <w:trPr>
          <w:trHeight w:val="715"/>
        </w:trPr>
        <w:tc>
          <w:tcPr>
            <w:tcW w:w="9322" w:type="dxa"/>
            <w:vAlign w:val="bottom"/>
          </w:tcPr>
          <w:p w14:paraId="5DD8215D"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bCs/>
                <w:i/>
                <w:kern w:val="0"/>
                <w:sz w:val="28"/>
                <w:szCs w:val="28"/>
                <w:lang w:val="uk-UA" w:eastAsia="ru-RU"/>
                <w14:ligatures w14:val="none"/>
              </w:rPr>
            </w:pPr>
            <w:r w:rsidRPr="00B44B71">
              <w:rPr>
                <w:rFonts w:ascii="Times New Roman" w:eastAsia="Times New Roman" w:hAnsi="Times New Roman" w:cs="Times New Roman"/>
                <w:i/>
                <w:color w:val="000000"/>
                <w:kern w:val="0"/>
                <w:sz w:val="28"/>
                <w:szCs w:val="28"/>
                <w:lang w:eastAsia="ru-RU"/>
                <w14:ligatures w14:val="none"/>
              </w:rPr>
              <w:t>Valentyna</w:t>
            </w:r>
            <w:r w:rsidRPr="00B44B71">
              <w:rPr>
                <w:rFonts w:ascii="Times New Roman" w:eastAsia="Times New Roman" w:hAnsi="Times New Roman" w:cs="Times New Roman"/>
                <w:i/>
                <w:color w:val="000000"/>
                <w:kern w:val="0"/>
                <w:sz w:val="28"/>
                <w:szCs w:val="28"/>
                <w:lang w:val="uk-UA" w:eastAsia="ru-RU"/>
                <w14:ligatures w14:val="none"/>
              </w:rPr>
              <w:t xml:space="preserve"> </w:t>
            </w:r>
            <w:r w:rsidRPr="00B44B71">
              <w:rPr>
                <w:rFonts w:ascii="Times New Roman" w:eastAsia="Times New Roman" w:hAnsi="Times New Roman" w:cs="Times New Roman"/>
                <w:i/>
                <w:color w:val="000000"/>
                <w:kern w:val="0"/>
                <w:sz w:val="28"/>
                <w:szCs w:val="28"/>
                <w:lang w:eastAsia="ru-RU"/>
                <w14:ligatures w14:val="none"/>
              </w:rPr>
              <w:t>Svystun</w:t>
            </w:r>
            <w:r w:rsidRPr="00B44B71">
              <w:rPr>
                <w:rFonts w:ascii="Times New Roman" w:eastAsia="Times New Roman" w:hAnsi="Times New Roman" w:cs="Times New Roman"/>
                <w:i/>
                <w:color w:val="000000"/>
                <w:kern w:val="0"/>
                <w:sz w:val="28"/>
                <w:szCs w:val="28"/>
                <w:lang w:val="uk-UA" w:eastAsia="ru-RU"/>
                <w14:ligatures w14:val="none"/>
              </w:rPr>
              <w:t xml:space="preserve">, </w:t>
            </w:r>
            <w:r w:rsidRPr="00B44B71">
              <w:rPr>
                <w:rFonts w:ascii="Times New Roman" w:eastAsia="Times New Roman" w:hAnsi="Times New Roman" w:cs="Times New Roman"/>
                <w:bCs/>
                <w:i/>
                <w:color w:val="000000"/>
                <w:kern w:val="0"/>
                <w:sz w:val="28"/>
                <w:szCs w:val="28"/>
                <w:lang w:eastAsia="ru-RU"/>
                <w14:ligatures w14:val="none"/>
              </w:rPr>
              <w:t>Yuriy</w:t>
            </w:r>
            <w:r w:rsidRPr="00B44B71">
              <w:rPr>
                <w:rFonts w:ascii="Times New Roman" w:eastAsia="Times New Roman" w:hAnsi="Times New Roman" w:cs="Times New Roman"/>
                <w:bCs/>
                <w:i/>
                <w:color w:val="000000"/>
                <w:kern w:val="0"/>
                <w:sz w:val="28"/>
                <w:szCs w:val="28"/>
                <w:lang w:val="uk-UA" w:eastAsia="ru-RU"/>
                <w14:ligatures w14:val="none"/>
              </w:rPr>
              <w:t xml:space="preserve"> </w:t>
            </w:r>
            <w:r w:rsidRPr="00B44B71">
              <w:rPr>
                <w:rFonts w:ascii="Times New Roman" w:eastAsia="Times New Roman" w:hAnsi="Times New Roman" w:cs="Times New Roman"/>
                <w:bCs/>
                <w:i/>
                <w:color w:val="000000"/>
                <w:kern w:val="0"/>
                <w:sz w:val="28"/>
                <w:szCs w:val="28"/>
                <w:lang w:eastAsia="ru-RU"/>
                <w14:ligatures w14:val="none"/>
              </w:rPr>
              <w:t>Finohenov</w:t>
            </w:r>
            <w:r w:rsidRPr="00B44B71">
              <w:rPr>
                <w:rFonts w:ascii="Times New Roman" w:eastAsia="Times New Roman" w:hAnsi="Times New Roman" w:cs="Times New Roman"/>
                <w:b/>
                <w:bCs/>
                <w:color w:val="000000"/>
                <w:kern w:val="0"/>
                <w:sz w:val="24"/>
                <w:szCs w:val="24"/>
                <w:lang w:val="uk-UA" w:eastAsia="ru-RU"/>
                <w14:ligatures w14:val="none"/>
              </w:rPr>
              <w:t xml:space="preserve"> </w:t>
            </w:r>
            <w:r w:rsidRPr="009F6551">
              <w:rPr>
                <w:rFonts w:ascii="Times New Roman" w:eastAsia="Times New Roman" w:hAnsi="Times New Roman" w:cs="Times New Roman"/>
                <w:color w:val="000000"/>
                <w:kern w:val="0"/>
                <w:sz w:val="24"/>
                <w:szCs w:val="24"/>
                <w:lang w:eastAsia="ru-RU"/>
                <w14:ligatures w14:val="none"/>
              </w:rPr>
              <w:t>P</w:t>
            </w:r>
            <w:r w:rsidRPr="00B44B71">
              <w:rPr>
                <w:rFonts w:ascii="Times New Roman" w:eastAsia="Times New Roman" w:hAnsi="Times New Roman" w:cs="Times New Roman"/>
                <w:color w:val="000000"/>
                <w:kern w:val="0"/>
                <w:sz w:val="28"/>
                <w:szCs w:val="28"/>
                <w:lang w:val="uk-UA" w:eastAsia="ru-RU"/>
                <w14:ligatures w14:val="none"/>
              </w:rPr>
              <w:t xml:space="preserve">edahohichni umovy formuvannya profesiynoyi kompetentnosti maybutnikh ofitseriv – fakhivtsiv z fizychnoyi kulʹtury i sportu Zbroynykh Syl </w:t>
            </w:r>
            <w:r w:rsidRPr="00B44B71">
              <w:rPr>
                <w:rFonts w:ascii="Times New Roman" w:eastAsia="Times New Roman" w:hAnsi="Times New Roman" w:cs="Times New Roman"/>
                <w:bCs/>
                <w:kern w:val="0"/>
                <w:sz w:val="28"/>
                <w:szCs w:val="28"/>
                <w:lang w:val="uk-UA" w:eastAsia="ru-RU"/>
                <w14:ligatures w14:val="none"/>
              </w:rPr>
              <w:t>Ukraine</w:t>
            </w:r>
            <w:r w:rsidRPr="00B44B71">
              <w:rPr>
                <w:rFonts w:ascii="Times New Roman" w:eastAsia="Times New Roman" w:hAnsi="Times New Roman" w:cs="Times New Roman"/>
                <w:color w:val="000000"/>
                <w:kern w:val="0"/>
                <w:sz w:val="28"/>
                <w:szCs w:val="28"/>
                <w:lang w:val="uk-UA" w:eastAsia="ru-RU"/>
                <w14:ligatures w14:val="none"/>
              </w:rPr>
              <w:t xml:space="preserve"> ……………………………………….</w:t>
            </w:r>
          </w:p>
        </w:tc>
        <w:tc>
          <w:tcPr>
            <w:tcW w:w="636" w:type="dxa"/>
            <w:vAlign w:val="bottom"/>
          </w:tcPr>
          <w:p w14:paraId="4784CB0B"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eastAsia="ru-RU"/>
                <w14:ligatures w14:val="none"/>
              </w:rPr>
            </w:pPr>
          </w:p>
        </w:tc>
      </w:tr>
      <w:tr w:rsidR="00B44B71" w:rsidRPr="00B44B71" w14:paraId="1AB67A19" w14:textId="77777777" w:rsidTr="00F918EC">
        <w:trPr>
          <w:trHeight w:val="715"/>
        </w:trPr>
        <w:tc>
          <w:tcPr>
            <w:tcW w:w="9322" w:type="dxa"/>
            <w:vAlign w:val="bottom"/>
          </w:tcPr>
          <w:p w14:paraId="3F53080C"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bCs/>
                <w:i/>
                <w:kern w:val="0"/>
                <w:sz w:val="28"/>
                <w:szCs w:val="28"/>
                <w:lang w:val="uk-UA" w:eastAsia="ru-RU"/>
                <w14:ligatures w14:val="none"/>
              </w:rPr>
            </w:pPr>
            <w:r w:rsidRPr="00B44B71">
              <w:rPr>
                <w:rFonts w:ascii="Times New Roman" w:eastAsia="Times New Roman" w:hAnsi="Times New Roman" w:cs="Times New Roman"/>
                <w:bCs/>
                <w:i/>
                <w:iCs/>
                <w:color w:val="000000"/>
                <w:kern w:val="0"/>
                <w:sz w:val="28"/>
                <w:szCs w:val="28"/>
                <w:lang w:eastAsia="uk-UA"/>
                <w14:ligatures w14:val="none"/>
              </w:rPr>
              <w:t>Oleh Fihura</w:t>
            </w:r>
            <w:r w:rsidRPr="00B44B71">
              <w:rPr>
                <w:rFonts w:ascii="Times New Roman" w:eastAsia="Times New Roman" w:hAnsi="Times New Roman" w:cs="Times New Roman"/>
                <w:i/>
                <w:iCs/>
                <w:color w:val="000000"/>
                <w:kern w:val="0"/>
                <w:sz w:val="28"/>
                <w:szCs w:val="28"/>
                <w:lang w:eastAsia="uk-UA"/>
                <w14:ligatures w14:val="none"/>
              </w:rPr>
              <w:t xml:space="preserve">, </w:t>
            </w:r>
            <w:r w:rsidRPr="00B44B71">
              <w:rPr>
                <w:rFonts w:ascii="Times New Roman" w:eastAsia="Times New Roman" w:hAnsi="Times New Roman" w:cs="Times New Roman"/>
                <w:bCs/>
                <w:i/>
                <w:color w:val="000000"/>
                <w:kern w:val="0"/>
                <w:sz w:val="28"/>
                <w:szCs w:val="28"/>
                <w:lang w:eastAsia="ru-RU"/>
                <w14:ligatures w14:val="none"/>
              </w:rPr>
              <w:t>Bohdan Koval</w:t>
            </w:r>
            <w:r w:rsidRPr="00B44B71">
              <w:rPr>
                <w:rFonts w:ascii="Times New Roman" w:eastAsia="Times New Roman" w:hAnsi="Times New Roman" w:cs="Times New Roman"/>
                <w:i/>
                <w:color w:val="000000"/>
                <w:kern w:val="0"/>
                <w:sz w:val="28"/>
                <w:szCs w:val="28"/>
                <w:lang w:eastAsia="ru-RU"/>
                <w14:ligatures w14:val="none"/>
              </w:rPr>
              <w:t xml:space="preserve">, </w:t>
            </w:r>
            <w:r w:rsidRPr="00B44B71">
              <w:rPr>
                <w:rFonts w:ascii="Times New Roman" w:eastAsia="Calibri" w:hAnsi="Times New Roman" w:cs="Times New Roman"/>
                <w:bCs/>
                <w:i/>
                <w:color w:val="000000"/>
                <w:kern w:val="0"/>
                <w:sz w:val="28"/>
                <w:szCs w:val="28"/>
                <w14:ligatures w14:val="none"/>
              </w:rPr>
              <w:t>Iryna Borovyk</w:t>
            </w:r>
            <w:r w:rsidRPr="00B44B71">
              <w:rPr>
                <w:rFonts w:ascii="Times New Roman" w:eastAsia="Calibri" w:hAnsi="Times New Roman" w:cs="Times New Roman"/>
                <w:i/>
                <w:color w:val="000000"/>
                <w:kern w:val="0"/>
                <w:sz w:val="28"/>
                <w:szCs w:val="28"/>
                <w14:ligatures w14:val="none"/>
              </w:rPr>
              <w:t xml:space="preserve">, </w:t>
            </w:r>
            <w:r w:rsidRPr="00B44B71">
              <w:rPr>
                <w:rFonts w:ascii="Times New Roman" w:eastAsia="Times New Roman" w:hAnsi="Times New Roman" w:cs="Times New Roman"/>
                <w:bCs/>
                <w:i/>
                <w:color w:val="000000"/>
                <w:kern w:val="0"/>
                <w:sz w:val="28"/>
                <w:szCs w:val="28"/>
                <w:lang w:eastAsia="ru-RU"/>
                <w14:ligatures w14:val="none"/>
              </w:rPr>
              <w:t>Oleh Borovyk</w:t>
            </w:r>
            <w:r w:rsidRPr="00B44B71">
              <w:rPr>
                <w:rFonts w:ascii="Times New Roman" w:eastAsia="Times New Roman" w:hAnsi="Times New Roman" w:cs="Times New Roman"/>
                <w:bCs/>
                <w:color w:val="000000"/>
                <w:kern w:val="0"/>
                <w:sz w:val="28"/>
                <w:szCs w:val="28"/>
                <w:lang w:eastAsia="ru-RU"/>
                <w14:ligatures w14:val="none"/>
              </w:rPr>
              <w:t xml:space="preserve"> </w:t>
            </w:r>
            <w:r w:rsidRPr="00B44B71">
              <w:rPr>
                <w:rFonts w:ascii="Times New Roman" w:eastAsia="Calibri" w:hAnsi="Times New Roman" w:cs="Times New Roman"/>
                <w:bCs/>
                <w:kern w:val="0"/>
                <w:sz w:val="28"/>
                <w:szCs w:val="28"/>
                <w14:ligatures w14:val="none"/>
              </w:rPr>
              <w:t xml:space="preserve">Model for implementing the principle of </w:t>
            </w:r>
            <w:r w:rsidRPr="00B44B71">
              <w:rPr>
                <w:rFonts w:ascii="Times New Roman" w:eastAsia="Calibri" w:hAnsi="Times New Roman" w:cs="Times New Roman"/>
                <w:bCs/>
                <w:kern w:val="0"/>
                <w:sz w:val="28"/>
                <w:szCs w:val="28"/>
                <w:lang w:val="uk-UA"/>
                <w14:ligatures w14:val="none"/>
              </w:rPr>
              <w:t>«</w:t>
            </w:r>
            <w:r w:rsidRPr="00B44B71">
              <w:rPr>
                <w:rFonts w:ascii="Times New Roman" w:eastAsia="Calibri" w:hAnsi="Times New Roman" w:cs="Times New Roman"/>
                <w:bCs/>
                <w:kern w:val="0"/>
                <w:sz w:val="28"/>
                <w:szCs w:val="28"/>
                <w14:ligatures w14:val="none"/>
              </w:rPr>
              <w:t>education throughout the military career</w:t>
            </w:r>
            <w:r w:rsidRPr="00B44B71">
              <w:rPr>
                <w:rFonts w:ascii="Times New Roman" w:eastAsia="Calibri" w:hAnsi="Times New Roman" w:cs="Times New Roman"/>
                <w:bCs/>
                <w:kern w:val="0"/>
                <w:sz w:val="28"/>
                <w:szCs w:val="28"/>
                <w:lang w:val="uk-UA"/>
                <w14:ligatures w14:val="none"/>
              </w:rPr>
              <w:t>»</w:t>
            </w:r>
            <w:r w:rsidRPr="00B44B71">
              <w:rPr>
                <w:rFonts w:ascii="Times New Roman" w:eastAsia="Calibri" w:hAnsi="Times New Roman" w:cs="Times New Roman"/>
                <w:bCs/>
                <w:kern w:val="0"/>
                <w:sz w:val="28"/>
                <w:szCs w:val="28"/>
                <w14:ligatures w14:val="none"/>
              </w:rPr>
              <w:t xml:space="preserve"> for the main typical standard officer positions within the </w:t>
            </w:r>
            <w:r w:rsidRPr="00B44B71">
              <w:rPr>
                <w:rFonts w:ascii="Times New Roman" w:eastAsia="Times New Roman" w:hAnsi="Times New Roman" w:cs="Times New Roman"/>
                <w:iCs/>
                <w:color w:val="000000"/>
                <w:kern w:val="0"/>
                <w:sz w:val="24"/>
                <w:szCs w:val="24"/>
                <w:lang w:eastAsia="uk-UA"/>
                <w14:ligatures w14:val="none"/>
              </w:rPr>
              <w:t>State Border Guard Service of Ukraine</w:t>
            </w:r>
            <w:r w:rsidRPr="00B44B71">
              <w:rPr>
                <w:rFonts w:ascii="Times New Roman" w:eastAsia="Calibri" w:hAnsi="Times New Roman" w:cs="Times New Roman"/>
                <w:bCs/>
                <w:kern w:val="0"/>
                <w:sz w:val="28"/>
                <w:szCs w:val="28"/>
                <w14:ligatures w14:val="none"/>
              </w:rPr>
              <w:t xml:space="preserve"> ……………………………………………………………………………</w:t>
            </w:r>
          </w:p>
        </w:tc>
        <w:tc>
          <w:tcPr>
            <w:tcW w:w="636" w:type="dxa"/>
            <w:vAlign w:val="bottom"/>
          </w:tcPr>
          <w:p w14:paraId="6F6898B0"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eastAsia="ru-RU"/>
                <w14:ligatures w14:val="none"/>
              </w:rPr>
            </w:pPr>
          </w:p>
        </w:tc>
      </w:tr>
      <w:tr w:rsidR="00B44B71" w:rsidRPr="00B44B71" w14:paraId="61AC1F96" w14:textId="77777777" w:rsidTr="009F6551">
        <w:trPr>
          <w:trHeight w:val="523"/>
        </w:trPr>
        <w:tc>
          <w:tcPr>
            <w:tcW w:w="9322" w:type="dxa"/>
            <w:vAlign w:val="bottom"/>
          </w:tcPr>
          <w:p w14:paraId="4A4986C6" w14:textId="61E5B648" w:rsidR="00B44B71" w:rsidRPr="00B44B71" w:rsidRDefault="00B44B71" w:rsidP="00023291">
            <w:pPr>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contextualSpacing/>
              <w:rPr>
                <w:rFonts w:ascii="Times New Roman" w:eastAsia="Times New Roman" w:hAnsi="Times New Roman" w:cs="Times New Roman"/>
                <w:bCs/>
                <w:i/>
                <w:iCs/>
                <w:color w:val="000000"/>
                <w:kern w:val="0"/>
                <w:sz w:val="28"/>
                <w:szCs w:val="28"/>
                <w:lang w:val="uk-UA" w:eastAsia="uk-UA"/>
                <w14:ligatures w14:val="none"/>
              </w:rPr>
            </w:pPr>
            <w:r w:rsidRPr="00B44B71">
              <w:rPr>
                <w:rFonts w:ascii="Times New Roman" w:eastAsia="Times New Roman" w:hAnsi="Times New Roman" w:cs="Times New Roman"/>
                <w:i/>
                <w:kern w:val="0"/>
                <w:sz w:val="28"/>
                <w:szCs w:val="28"/>
                <w14:ligatures w14:val="none"/>
              </w:rPr>
              <w:t>Olexandr</w:t>
            </w:r>
            <w:r w:rsidRPr="00B44B71">
              <w:rPr>
                <w:rFonts w:ascii="Times New Roman" w:eastAsia="Times New Roman" w:hAnsi="Times New Roman" w:cs="Times New Roman"/>
                <w:i/>
                <w:color w:val="1F1F1F"/>
                <w:kern w:val="0"/>
                <w:sz w:val="28"/>
                <w:szCs w:val="28"/>
                <w:lang w:val="en" w:eastAsia="uk-UA"/>
                <w14:ligatures w14:val="none"/>
              </w:rPr>
              <w:t xml:space="preserve"> Khrushchak </w:t>
            </w:r>
            <w:r w:rsidRPr="00B44B71">
              <w:rPr>
                <w:rFonts w:ascii="Times New Roman" w:eastAsia="Times New Roman" w:hAnsi="Times New Roman" w:cs="Times New Roman"/>
                <w:bCs/>
                <w:color w:val="1F1F1F"/>
                <w:kern w:val="0"/>
                <w:sz w:val="28"/>
                <w:szCs w:val="28"/>
                <w:lang w:val="en" w:eastAsia="uk-UA"/>
                <w14:ligatures w14:val="none"/>
              </w:rPr>
              <w:t>Historical sources of patriotism</w:t>
            </w:r>
            <w:r w:rsidRPr="00B44B71">
              <w:rPr>
                <w:rFonts w:ascii="Times New Roman" w:eastAsia="Times New Roman" w:hAnsi="Times New Roman" w:cs="Times New Roman"/>
                <w:bCs/>
                <w:color w:val="1F1F1F"/>
                <w:kern w:val="0"/>
                <w:sz w:val="28"/>
                <w:szCs w:val="28"/>
                <w:lang w:val="uk-UA" w:eastAsia="uk-UA"/>
                <w14:ligatures w14:val="none"/>
              </w:rPr>
              <w:t xml:space="preserve"> </w:t>
            </w:r>
            <w:r w:rsidRPr="00B44B71">
              <w:rPr>
                <w:rFonts w:ascii="Times New Roman" w:eastAsia="Times New Roman" w:hAnsi="Times New Roman" w:cs="Times New Roman"/>
                <w:bCs/>
                <w:color w:val="1F1F1F"/>
                <w:kern w:val="0"/>
                <w:sz w:val="28"/>
                <w:szCs w:val="28"/>
                <w:lang w:val="en" w:eastAsia="uk-UA"/>
                <w14:ligatures w14:val="none"/>
              </w:rPr>
              <w:t>in the context of national development of Ukraine</w:t>
            </w:r>
            <w:r w:rsidR="009F6551">
              <w:rPr>
                <w:rFonts w:ascii="Times New Roman" w:eastAsia="Times New Roman" w:hAnsi="Times New Roman" w:cs="Times New Roman"/>
                <w:bCs/>
                <w:color w:val="1F1F1F"/>
                <w:kern w:val="0"/>
                <w:sz w:val="28"/>
                <w:szCs w:val="28"/>
                <w:lang w:val="uk-UA" w:eastAsia="uk-UA"/>
                <w14:ligatures w14:val="none"/>
              </w:rPr>
              <w:t>…………………………………………………………...</w:t>
            </w:r>
          </w:p>
        </w:tc>
        <w:tc>
          <w:tcPr>
            <w:tcW w:w="636" w:type="dxa"/>
            <w:vAlign w:val="bottom"/>
          </w:tcPr>
          <w:p w14:paraId="01C44588"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eastAsia="ru-RU"/>
                <w14:ligatures w14:val="none"/>
              </w:rPr>
            </w:pPr>
          </w:p>
        </w:tc>
      </w:tr>
      <w:tr w:rsidR="00A003D7" w:rsidRPr="00B057B6" w14:paraId="4EF49CAD" w14:textId="77777777" w:rsidTr="009F6551">
        <w:trPr>
          <w:trHeight w:val="523"/>
        </w:trPr>
        <w:tc>
          <w:tcPr>
            <w:tcW w:w="9322" w:type="dxa"/>
            <w:vAlign w:val="bottom"/>
          </w:tcPr>
          <w:p w14:paraId="5325FDC3" w14:textId="5E559763" w:rsidR="00A003D7" w:rsidRPr="00B057B6" w:rsidRDefault="00B057B6" w:rsidP="00B057B6">
            <w:pPr>
              <w:spacing w:after="0" w:line="240" w:lineRule="auto"/>
              <w:ind w:right="172"/>
              <w:jc w:val="both"/>
              <w:rPr>
                <w:rFonts w:ascii="Times New Roman" w:eastAsia="Times New Roman" w:hAnsi="Times New Roman" w:cs="Times New Roman"/>
                <w:bCs/>
                <w:kern w:val="0"/>
                <w:sz w:val="28"/>
                <w:szCs w:val="28"/>
                <w:lang w:eastAsia="ru-RU"/>
                <w14:ligatures w14:val="none"/>
              </w:rPr>
            </w:pPr>
            <w:r w:rsidRPr="00B057B6">
              <w:rPr>
                <w:rFonts w:ascii="Times New Roman" w:eastAsia="Times New Roman" w:hAnsi="Times New Roman" w:cs="Times New Roman"/>
                <w:color w:val="202124"/>
                <w:spacing w:val="-4"/>
                <w:kern w:val="0"/>
                <w:sz w:val="28"/>
                <w:szCs w:val="28"/>
                <w:shd w:val="clear" w:color="auto" w:fill="FFFFFF"/>
                <w:lang w:eastAsia="ru-RU"/>
                <w14:ligatures w14:val="none"/>
              </w:rPr>
              <w:t xml:space="preserve">Procedure for registration and submission of articles to the collection of scientificworks </w:t>
            </w:r>
            <w:r w:rsidRPr="00B057B6">
              <w:rPr>
                <w:rFonts w:ascii="Times New Roman" w:eastAsia="Times New Roman" w:hAnsi="Times New Roman" w:cs="Times New Roman"/>
                <w:color w:val="202124"/>
                <w:spacing w:val="-4"/>
                <w:kern w:val="0"/>
                <w:sz w:val="28"/>
                <w:szCs w:val="28"/>
                <w:shd w:val="clear" w:color="auto" w:fill="FFFFFF"/>
                <w:lang w:val="uk-UA" w:eastAsia="ru-RU"/>
                <w14:ligatures w14:val="none"/>
              </w:rPr>
              <w:t xml:space="preserve"> </w:t>
            </w:r>
            <w:r w:rsidRPr="00B057B6">
              <w:rPr>
                <w:rFonts w:ascii="Times New Roman" w:eastAsia="Times New Roman" w:hAnsi="Times New Roman" w:cs="Times New Roman"/>
                <w:bCs/>
                <w:kern w:val="0"/>
                <w:sz w:val="28"/>
                <w:szCs w:val="28"/>
                <w:lang w:eastAsia="ru-RU"/>
                <w14:ligatures w14:val="none"/>
              </w:rPr>
              <w:t>«</w:t>
            </w:r>
            <w:r w:rsidRPr="00B057B6">
              <w:rPr>
                <w:rFonts w:ascii="Times New Roman" w:eastAsia="Times New Roman" w:hAnsi="Times New Roman" w:cs="Times New Roman"/>
                <w:color w:val="202124"/>
                <w:spacing w:val="-4"/>
                <w:kern w:val="0"/>
                <w:sz w:val="28"/>
                <w:szCs w:val="28"/>
                <w:shd w:val="clear" w:color="auto" w:fill="FFFFFF"/>
                <w:lang w:eastAsia="ru-RU"/>
                <w14:ligatures w14:val="none"/>
              </w:rPr>
              <w:t>Military Education</w:t>
            </w:r>
            <w:r w:rsidRPr="00B057B6">
              <w:rPr>
                <w:rFonts w:ascii="Times New Roman" w:eastAsia="Times New Roman" w:hAnsi="Times New Roman" w:cs="Times New Roman"/>
                <w:bCs/>
                <w:kern w:val="0"/>
                <w:sz w:val="28"/>
                <w:szCs w:val="28"/>
                <w:lang w:eastAsia="ru-RU"/>
                <w14:ligatures w14:val="none"/>
              </w:rPr>
              <w:t>»</w:t>
            </w:r>
            <w:r w:rsidRPr="00B057B6">
              <w:rPr>
                <w:rFonts w:ascii="Times New Roman" w:eastAsia="Times New Roman" w:hAnsi="Times New Roman" w:cs="Times New Roman"/>
                <w:color w:val="202124"/>
                <w:spacing w:val="-4"/>
                <w:kern w:val="0"/>
                <w:sz w:val="28"/>
                <w:szCs w:val="28"/>
                <w:shd w:val="clear" w:color="auto" w:fill="FFFFFF"/>
                <w:lang w:eastAsia="ru-RU"/>
                <w14:ligatures w14:val="none"/>
              </w:rPr>
              <w:t xml:space="preserve"> of the National Defence University of Ukraine</w:t>
            </w:r>
            <w:r>
              <w:rPr>
                <w:rFonts w:ascii="Times New Roman" w:eastAsia="Times New Roman" w:hAnsi="Times New Roman" w:cs="Times New Roman"/>
                <w:color w:val="202124"/>
                <w:spacing w:val="-4"/>
                <w:kern w:val="0"/>
                <w:sz w:val="28"/>
                <w:szCs w:val="28"/>
                <w:shd w:val="clear" w:color="auto" w:fill="FFFFFF"/>
                <w:lang w:val="uk-UA" w:eastAsia="ru-RU"/>
                <w14:ligatures w14:val="none"/>
              </w:rPr>
              <w:t>…………………………………….</w:t>
            </w:r>
            <w:r w:rsidRPr="00B057B6">
              <w:rPr>
                <w:rFonts w:ascii="Times New Roman" w:eastAsia="Times New Roman" w:hAnsi="Times New Roman" w:cs="Times New Roman"/>
                <w:color w:val="202124"/>
                <w:spacing w:val="-4"/>
                <w:kern w:val="0"/>
                <w:sz w:val="28"/>
                <w:szCs w:val="28"/>
                <w:shd w:val="clear" w:color="auto" w:fill="FFFFFF"/>
                <w:lang w:eastAsia="ru-RU"/>
                <w14:ligatures w14:val="none"/>
              </w:rPr>
              <w:t>……</w:t>
            </w:r>
            <w:r w:rsidRPr="00B057B6">
              <w:rPr>
                <w:rFonts w:ascii="Times New Roman" w:eastAsia="Times New Roman" w:hAnsi="Times New Roman" w:cs="Times New Roman"/>
                <w:color w:val="202124"/>
                <w:spacing w:val="-4"/>
                <w:kern w:val="0"/>
                <w:sz w:val="28"/>
                <w:szCs w:val="28"/>
                <w:shd w:val="clear" w:color="auto" w:fill="FFFFFF"/>
                <w:lang w:val="uk-UA" w:eastAsia="ru-RU"/>
                <w14:ligatures w14:val="none"/>
              </w:rPr>
              <w:t>...</w:t>
            </w:r>
            <w:r w:rsidRPr="00B057B6">
              <w:rPr>
                <w:rFonts w:ascii="Times New Roman" w:eastAsia="Times New Roman" w:hAnsi="Times New Roman" w:cs="Times New Roman"/>
                <w:color w:val="202124"/>
                <w:spacing w:val="-4"/>
                <w:kern w:val="0"/>
                <w:sz w:val="28"/>
                <w:szCs w:val="28"/>
                <w:shd w:val="clear" w:color="auto" w:fill="FFFFFF"/>
                <w:lang w:eastAsia="ru-RU"/>
                <w14:ligatures w14:val="none"/>
              </w:rPr>
              <w:t>…</w:t>
            </w:r>
            <w:r w:rsidRPr="00B057B6">
              <w:rPr>
                <w:rFonts w:ascii="Times New Roman" w:eastAsia="Times New Roman" w:hAnsi="Times New Roman" w:cs="Times New Roman"/>
                <w:color w:val="202124"/>
                <w:spacing w:val="-4"/>
                <w:kern w:val="0"/>
                <w:sz w:val="28"/>
                <w:szCs w:val="28"/>
                <w:shd w:val="clear" w:color="auto" w:fill="FFFFFF"/>
                <w:lang w:val="uk-UA" w:eastAsia="ru-RU"/>
                <w14:ligatures w14:val="none"/>
              </w:rPr>
              <w:t>……………………………</w:t>
            </w:r>
          </w:p>
        </w:tc>
        <w:tc>
          <w:tcPr>
            <w:tcW w:w="636" w:type="dxa"/>
            <w:vAlign w:val="bottom"/>
          </w:tcPr>
          <w:p w14:paraId="7384F695" w14:textId="77777777" w:rsidR="00A003D7" w:rsidRPr="00B44B71" w:rsidRDefault="00A003D7"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eastAsia="ru-RU"/>
                <w14:ligatures w14:val="none"/>
              </w:rPr>
            </w:pPr>
          </w:p>
        </w:tc>
      </w:tr>
    </w:tbl>
    <w:p w14:paraId="36A083AF" w14:textId="77777777" w:rsidR="00A003D7" w:rsidRDefault="00A003D7" w:rsidP="00023291">
      <w:pPr>
        <w:tabs>
          <w:tab w:val="left" w:pos="9638"/>
        </w:tabs>
        <w:spacing w:after="0" w:line="276" w:lineRule="auto"/>
        <w:ind w:firstLine="709"/>
        <w:jc w:val="both"/>
        <w:rPr>
          <w:rFonts w:ascii="Times New Roman" w:eastAsia="Calibri" w:hAnsi="Times New Roman" w:cs="Times New Roman"/>
          <w:kern w:val="0"/>
          <w:sz w:val="28"/>
          <w:szCs w:val="28"/>
          <w:lang w:val="uk-UA"/>
          <w14:ligatures w14:val="none"/>
        </w:rPr>
      </w:pPr>
    </w:p>
    <w:p w14:paraId="6734B24C" w14:textId="77777777" w:rsidR="00A003D7" w:rsidRDefault="00A003D7" w:rsidP="00023291">
      <w:pPr>
        <w:tabs>
          <w:tab w:val="left" w:pos="9638"/>
        </w:tabs>
        <w:spacing w:after="0" w:line="276" w:lineRule="auto"/>
        <w:ind w:firstLine="709"/>
        <w:jc w:val="both"/>
        <w:rPr>
          <w:rFonts w:ascii="Times New Roman" w:eastAsia="Calibri" w:hAnsi="Times New Roman" w:cs="Times New Roman"/>
          <w:kern w:val="0"/>
          <w:sz w:val="28"/>
          <w:szCs w:val="28"/>
          <w:lang w:val="uk-UA"/>
          <w14:ligatures w14:val="none"/>
        </w:rPr>
      </w:pPr>
    </w:p>
    <w:p w14:paraId="01FF97DD" w14:textId="77777777" w:rsidR="00A003D7" w:rsidRPr="00B057B6" w:rsidRDefault="00A003D7" w:rsidP="00023291">
      <w:pPr>
        <w:tabs>
          <w:tab w:val="left" w:pos="9638"/>
        </w:tabs>
        <w:spacing w:after="0" w:line="276" w:lineRule="auto"/>
        <w:ind w:firstLine="709"/>
        <w:jc w:val="both"/>
        <w:rPr>
          <w:rFonts w:ascii="Times New Roman" w:eastAsia="Calibri" w:hAnsi="Times New Roman" w:cs="Times New Roman"/>
          <w:kern w:val="0"/>
          <w:sz w:val="28"/>
          <w:szCs w:val="28"/>
          <w14:ligatures w14:val="none"/>
        </w:rPr>
      </w:pPr>
    </w:p>
    <w:p w14:paraId="74DEFD6B" w14:textId="77777777" w:rsidR="004E1190" w:rsidRPr="00B057B6" w:rsidRDefault="004E1190" w:rsidP="00023291">
      <w:pPr>
        <w:tabs>
          <w:tab w:val="left" w:pos="9638"/>
        </w:tabs>
        <w:spacing w:after="0" w:line="276" w:lineRule="auto"/>
        <w:ind w:firstLine="709"/>
        <w:jc w:val="both"/>
        <w:rPr>
          <w:rFonts w:ascii="Times New Roman" w:eastAsia="Calibri" w:hAnsi="Times New Roman" w:cs="Times New Roman"/>
          <w:kern w:val="0"/>
          <w:sz w:val="28"/>
          <w:szCs w:val="28"/>
          <w14:ligatures w14:val="none"/>
        </w:rPr>
      </w:pPr>
    </w:p>
    <w:p w14:paraId="29ACE02B" w14:textId="77777777" w:rsidR="004E1190" w:rsidRPr="00B057B6" w:rsidRDefault="004E1190" w:rsidP="00023291">
      <w:pPr>
        <w:tabs>
          <w:tab w:val="left" w:pos="9638"/>
        </w:tabs>
        <w:spacing w:after="0" w:line="276" w:lineRule="auto"/>
        <w:ind w:firstLine="709"/>
        <w:jc w:val="both"/>
        <w:rPr>
          <w:rFonts w:ascii="Times New Roman" w:eastAsia="Calibri" w:hAnsi="Times New Roman" w:cs="Times New Roman"/>
          <w:kern w:val="0"/>
          <w:sz w:val="28"/>
          <w:szCs w:val="28"/>
          <w14:ligatures w14:val="none"/>
        </w:rPr>
      </w:pPr>
    </w:p>
    <w:p w14:paraId="6820937B" w14:textId="77777777" w:rsidR="004E1190" w:rsidRPr="00B057B6" w:rsidRDefault="004E1190" w:rsidP="00023291">
      <w:pPr>
        <w:tabs>
          <w:tab w:val="left" w:pos="9638"/>
        </w:tabs>
        <w:spacing w:after="0" w:line="276" w:lineRule="auto"/>
        <w:ind w:firstLine="709"/>
        <w:jc w:val="both"/>
        <w:rPr>
          <w:rFonts w:ascii="Times New Roman" w:eastAsia="Calibri" w:hAnsi="Times New Roman" w:cs="Times New Roman"/>
          <w:kern w:val="0"/>
          <w:sz w:val="28"/>
          <w:szCs w:val="28"/>
          <w14:ligatures w14:val="none"/>
        </w:rPr>
      </w:pPr>
    </w:p>
    <w:p w14:paraId="44C6C8EC" w14:textId="77777777" w:rsidR="004E1190" w:rsidRPr="00B057B6" w:rsidRDefault="004E1190" w:rsidP="00023291">
      <w:pPr>
        <w:tabs>
          <w:tab w:val="left" w:pos="9638"/>
        </w:tabs>
        <w:spacing w:after="0" w:line="276" w:lineRule="auto"/>
        <w:ind w:firstLine="709"/>
        <w:jc w:val="both"/>
        <w:rPr>
          <w:rFonts w:ascii="Times New Roman" w:eastAsia="Calibri" w:hAnsi="Times New Roman" w:cs="Times New Roman"/>
          <w:kern w:val="0"/>
          <w:sz w:val="28"/>
          <w:szCs w:val="28"/>
          <w14:ligatures w14:val="none"/>
        </w:rPr>
      </w:pPr>
    </w:p>
    <w:p w14:paraId="33261BB9" w14:textId="77777777" w:rsidR="00A003D7" w:rsidRDefault="00A003D7" w:rsidP="00023291">
      <w:pPr>
        <w:tabs>
          <w:tab w:val="left" w:pos="9638"/>
        </w:tabs>
        <w:spacing w:after="0" w:line="276" w:lineRule="auto"/>
        <w:ind w:firstLine="709"/>
        <w:jc w:val="both"/>
        <w:rPr>
          <w:rFonts w:ascii="Times New Roman" w:eastAsia="Calibri" w:hAnsi="Times New Roman" w:cs="Times New Roman"/>
          <w:kern w:val="0"/>
          <w:sz w:val="28"/>
          <w:szCs w:val="28"/>
          <w:lang w:val="uk-UA"/>
          <w14:ligatures w14:val="none"/>
        </w:rPr>
      </w:pPr>
    </w:p>
    <w:p w14:paraId="6FA60A73" w14:textId="77777777" w:rsidR="00A003D7" w:rsidRDefault="00A003D7" w:rsidP="00023291">
      <w:pPr>
        <w:tabs>
          <w:tab w:val="left" w:pos="9638"/>
        </w:tabs>
        <w:spacing w:after="0" w:line="276" w:lineRule="auto"/>
        <w:ind w:firstLine="709"/>
        <w:jc w:val="both"/>
        <w:rPr>
          <w:rFonts w:ascii="Times New Roman" w:eastAsia="Calibri" w:hAnsi="Times New Roman" w:cs="Times New Roman"/>
          <w:kern w:val="0"/>
          <w:sz w:val="28"/>
          <w:szCs w:val="28"/>
          <w:lang w:val="uk-UA"/>
          <w14:ligatures w14:val="none"/>
        </w:rPr>
      </w:pPr>
    </w:p>
    <w:p w14:paraId="25036B47" w14:textId="77777777" w:rsidR="00A003D7" w:rsidRDefault="00A003D7" w:rsidP="00023291">
      <w:pPr>
        <w:tabs>
          <w:tab w:val="left" w:pos="9638"/>
        </w:tabs>
        <w:spacing w:after="0" w:line="276" w:lineRule="auto"/>
        <w:ind w:firstLine="709"/>
        <w:jc w:val="both"/>
        <w:rPr>
          <w:rFonts w:ascii="Times New Roman" w:eastAsia="Calibri" w:hAnsi="Times New Roman" w:cs="Times New Roman"/>
          <w:kern w:val="0"/>
          <w:sz w:val="28"/>
          <w:szCs w:val="28"/>
          <w:lang w:val="uk-UA"/>
          <w14:ligatures w14:val="none"/>
        </w:rPr>
      </w:pPr>
    </w:p>
    <w:p w14:paraId="5637CF12" w14:textId="77777777" w:rsidR="00A003D7" w:rsidRDefault="00A003D7" w:rsidP="00023291">
      <w:pPr>
        <w:tabs>
          <w:tab w:val="left" w:pos="9638"/>
        </w:tabs>
        <w:spacing w:after="0" w:line="276" w:lineRule="auto"/>
        <w:ind w:firstLine="709"/>
        <w:jc w:val="both"/>
        <w:rPr>
          <w:rFonts w:ascii="Times New Roman" w:eastAsia="Calibri" w:hAnsi="Times New Roman" w:cs="Times New Roman"/>
          <w:kern w:val="0"/>
          <w:sz w:val="28"/>
          <w:szCs w:val="28"/>
          <w:lang w:val="uk-UA"/>
          <w14:ligatures w14:val="none"/>
        </w:rPr>
      </w:pPr>
    </w:p>
    <w:p w14:paraId="449E700F" w14:textId="77777777" w:rsidR="004E1190" w:rsidRPr="00B057B6" w:rsidRDefault="004E1190" w:rsidP="00023291">
      <w:pPr>
        <w:tabs>
          <w:tab w:val="left" w:pos="9638"/>
        </w:tabs>
        <w:spacing w:after="0" w:line="276" w:lineRule="auto"/>
        <w:ind w:firstLine="709"/>
        <w:jc w:val="both"/>
        <w:rPr>
          <w:rFonts w:ascii="Times New Roman" w:eastAsia="Calibri" w:hAnsi="Times New Roman" w:cs="Times New Roman"/>
          <w:kern w:val="0"/>
          <w:sz w:val="28"/>
          <w:szCs w:val="28"/>
          <w14:ligatures w14:val="none"/>
        </w:rPr>
      </w:pPr>
    </w:p>
    <w:p w14:paraId="1916ED83" w14:textId="77777777" w:rsidR="004E1190" w:rsidRPr="00B057B6" w:rsidRDefault="004E1190" w:rsidP="00023291">
      <w:pPr>
        <w:tabs>
          <w:tab w:val="left" w:pos="9638"/>
        </w:tabs>
        <w:spacing w:after="0" w:line="276" w:lineRule="auto"/>
        <w:ind w:firstLine="709"/>
        <w:jc w:val="both"/>
        <w:rPr>
          <w:rFonts w:ascii="Times New Roman" w:eastAsia="Calibri" w:hAnsi="Times New Roman" w:cs="Times New Roman"/>
          <w:kern w:val="0"/>
          <w:sz w:val="28"/>
          <w:szCs w:val="28"/>
          <w14:ligatures w14:val="none"/>
        </w:rPr>
      </w:pPr>
    </w:p>
    <w:p w14:paraId="1FA28406" w14:textId="77777777" w:rsidR="004E1190" w:rsidRPr="00B057B6" w:rsidRDefault="004E1190" w:rsidP="00023291">
      <w:pPr>
        <w:tabs>
          <w:tab w:val="left" w:pos="9638"/>
        </w:tabs>
        <w:spacing w:after="0" w:line="276" w:lineRule="auto"/>
        <w:ind w:firstLine="709"/>
        <w:jc w:val="both"/>
        <w:rPr>
          <w:rFonts w:ascii="Times New Roman" w:eastAsia="Calibri" w:hAnsi="Times New Roman" w:cs="Times New Roman"/>
          <w:kern w:val="0"/>
          <w:sz w:val="28"/>
          <w:szCs w:val="28"/>
          <w14:ligatures w14:val="none"/>
        </w:rPr>
      </w:pPr>
    </w:p>
    <w:p w14:paraId="38AF8DF5" w14:textId="77777777" w:rsidR="004E1190" w:rsidRPr="00B057B6" w:rsidRDefault="004E1190" w:rsidP="00023291">
      <w:pPr>
        <w:tabs>
          <w:tab w:val="left" w:pos="9638"/>
        </w:tabs>
        <w:spacing w:after="0" w:line="276" w:lineRule="auto"/>
        <w:ind w:firstLine="709"/>
        <w:jc w:val="both"/>
        <w:rPr>
          <w:rFonts w:ascii="Times New Roman" w:eastAsia="Calibri" w:hAnsi="Times New Roman" w:cs="Times New Roman"/>
          <w:noProof/>
          <w:kern w:val="0"/>
          <w:sz w:val="28"/>
          <w:szCs w:val="28"/>
          <w:lang w:eastAsia="uk-UA"/>
          <w14:ligatures w14:val="none"/>
        </w:rPr>
      </w:pPr>
    </w:p>
    <w:p w14:paraId="41E5B730" w14:textId="77777777" w:rsidR="004E1190" w:rsidRPr="00B057B6" w:rsidRDefault="004E1190" w:rsidP="00023291">
      <w:pPr>
        <w:tabs>
          <w:tab w:val="left" w:pos="9638"/>
        </w:tabs>
        <w:spacing w:after="0" w:line="276" w:lineRule="auto"/>
        <w:ind w:firstLine="709"/>
        <w:jc w:val="both"/>
        <w:rPr>
          <w:rFonts w:ascii="Times New Roman" w:eastAsia="Calibri" w:hAnsi="Times New Roman" w:cs="Times New Roman"/>
          <w:noProof/>
          <w:kern w:val="0"/>
          <w:sz w:val="28"/>
          <w:szCs w:val="28"/>
          <w:lang w:eastAsia="uk-UA"/>
          <w14:ligatures w14:val="none"/>
        </w:rPr>
      </w:pPr>
    </w:p>
    <w:p w14:paraId="3CAB5E45" w14:textId="77777777" w:rsidR="004E1190" w:rsidRPr="00B057B6" w:rsidRDefault="004E1190" w:rsidP="00023291">
      <w:pPr>
        <w:tabs>
          <w:tab w:val="left" w:pos="9638"/>
        </w:tabs>
        <w:spacing w:after="0" w:line="276" w:lineRule="auto"/>
        <w:ind w:firstLine="709"/>
        <w:jc w:val="both"/>
        <w:rPr>
          <w:rFonts w:ascii="Times New Roman" w:eastAsia="Calibri" w:hAnsi="Times New Roman" w:cs="Times New Roman"/>
          <w:kern w:val="0"/>
          <w:sz w:val="28"/>
          <w:szCs w:val="28"/>
          <w14:ligatures w14:val="none"/>
        </w:rPr>
      </w:pPr>
    </w:p>
    <w:p w14:paraId="154C57E2" w14:textId="77777777" w:rsidR="004E1190" w:rsidRPr="00B057B6" w:rsidRDefault="004E1190" w:rsidP="00023291">
      <w:pPr>
        <w:tabs>
          <w:tab w:val="left" w:pos="9638"/>
        </w:tabs>
        <w:spacing w:after="0" w:line="276" w:lineRule="auto"/>
        <w:ind w:firstLine="709"/>
        <w:jc w:val="both"/>
        <w:rPr>
          <w:rFonts w:ascii="Times New Roman" w:eastAsia="Calibri" w:hAnsi="Times New Roman" w:cs="Times New Roman"/>
          <w:kern w:val="0"/>
          <w:sz w:val="28"/>
          <w:szCs w:val="28"/>
          <w14:ligatures w14:val="none"/>
        </w:rPr>
      </w:pPr>
    </w:p>
    <w:p w14:paraId="2CD43246" w14:textId="77777777" w:rsidR="004E1190" w:rsidRPr="00B057B6" w:rsidRDefault="004E1190" w:rsidP="00023291">
      <w:pPr>
        <w:tabs>
          <w:tab w:val="left" w:pos="9638"/>
        </w:tabs>
        <w:spacing w:after="0" w:line="276" w:lineRule="auto"/>
        <w:ind w:firstLine="709"/>
        <w:jc w:val="both"/>
        <w:rPr>
          <w:rFonts w:ascii="Times New Roman" w:eastAsia="Calibri" w:hAnsi="Times New Roman" w:cs="Times New Roman"/>
          <w:kern w:val="0"/>
          <w:sz w:val="28"/>
          <w:szCs w:val="28"/>
          <w14:ligatures w14:val="none"/>
        </w:rPr>
      </w:pPr>
    </w:p>
    <w:p w14:paraId="6399719B" w14:textId="77777777" w:rsidR="004E1190" w:rsidRPr="00B057B6" w:rsidRDefault="004E1190" w:rsidP="00023291">
      <w:pPr>
        <w:tabs>
          <w:tab w:val="left" w:pos="9638"/>
        </w:tabs>
        <w:spacing w:after="0" w:line="276" w:lineRule="auto"/>
        <w:ind w:firstLine="709"/>
        <w:jc w:val="both"/>
        <w:rPr>
          <w:rFonts w:ascii="Times New Roman" w:eastAsia="Calibri" w:hAnsi="Times New Roman" w:cs="Times New Roman"/>
          <w:kern w:val="0"/>
          <w:sz w:val="28"/>
          <w:szCs w:val="28"/>
          <w14:ligatures w14:val="none"/>
        </w:rPr>
      </w:pPr>
    </w:p>
    <w:p w14:paraId="0D79C6EA" w14:textId="77777777" w:rsidR="004E1190" w:rsidRPr="00B057B6" w:rsidRDefault="004E1190" w:rsidP="00023291">
      <w:pPr>
        <w:tabs>
          <w:tab w:val="left" w:pos="9638"/>
        </w:tabs>
        <w:spacing w:after="0" w:line="276" w:lineRule="auto"/>
        <w:ind w:firstLine="709"/>
        <w:jc w:val="both"/>
        <w:rPr>
          <w:rFonts w:ascii="Times New Roman" w:eastAsia="Calibri" w:hAnsi="Times New Roman" w:cs="Times New Roman"/>
          <w:kern w:val="0"/>
          <w:sz w:val="28"/>
          <w:szCs w:val="28"/>
          <w14:ligatures w14:val="none"/>
        </w:rPr>
      </w:pPr>
    </w:p>
    <w:p w14:paraId="2344ABA4" w14:textId="141B05A0" w:rsidR="00B44B71" w:rsidRPr="00B44B71" w:rsidRDefault="004E1190" w:rsidP="00023291">
      <w:pPr>
        <w:tabs>
          <w:tab w:val="left" w:pos="9638"/>
        </w:tabs>
        <w:spacing w:after="0" w:line="276"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noProof/>
          <w:kern w:val="0"/>
          <w:sz w:val="28"/>
          <w:szCs w:val="28"/>
          <w:lang w:val="uk-UA" w:eastAsia="uk-UA"/>
          <w14:ligatures w14:val="none"/>
        </w:rPr>
        <w:drawing>
          <wp:anchor distT="0" distB="0" distL="114300" distR="114300" simplePos="0" relativeHeight="251661312" behindDoc="0" locked="0" layoutInCell="1" allowOverlap="1" wp14:anchorId="5AF3DD3F" wp14:editId="6BB37B87">
            <wp:simplePos x="0" y="0"/>
            <wp:positionH relativeFrom="column">
              <wp:posOffset>-20320</wp:posOffset>
            </wp:positionH>
            <wp:positionV relativeFrom="paragraph">
              <wp:posOffset>99695</wp:posOffset>
            </wp:positionV>
            <wp:extent cx="2612390" cy="3340735"/>
            <wp:effectExtent l="0" t="0" r="0" b="0"/>
            <wp:wrapSquare wrapText="bothSides"/>
            <wp:docPr id="1" name="Рисунок 1" descr="C:\Users\Andrii\Desktop\стаття\Генерал-майор_Дмитро_Михайлович_Гере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drii\Desktop\стаття\Генерал-майор_Дмитро_Михайлович_Герега.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12390" cy="3340735"/>
                    </a:xfrm>
                    <a:prstGeom prst="rect">
                      <a:avLst/>
                    </a:prstGeom>
                    <a:noFill/>
                    <a:ln>
                      <a:noFill/>
                    </a:ln>
                  </pic:spPr>
                </pic:pic>
              </a:graphicData>
            </a:graphic>
            <wp14:sizeRelH relativeFrom="page">
              <wp14:pctWidth>0</wp14:pctWidth>
            </wp14:sizeRelH>
            <wp14:sizeRelV relativeFrom="page">
              <wp14:pctHeight>0</wp14:pctHeight>
            </wp14:sizeRelV>
          </wp:anchor>
        </w:drawing>
      </w:r>
      <w:r w:rsidR="00B44B71" w:rsidRPr="00B44B71">
        <w:rPr>
          <w:rFonts w:ascii="Times New Roman" w:eastAsia="Calibri" w:hAnsi="Times New Roman" w:cs="Times New Roman"/>
          <w:kern w:val="0"/>
          <w:sz w:val="28"/>
          <w:szCs w:val="28"/>
          <w:lang w:val="uk-UA"/>
          <w14:ligatures w14:val="none"/>
        </w:rPr>
        <w:t>Шановні читачі, автори наукових публікацій та</w:t>
      </w:r>
      <w:r w:rsidR="009F6551">
        <w:rPr>
          <w:rFonts w:ascii="Times New Roman" w:eastAsia="Calibri" w:hAnsi="Times New Roman" w:cs="Times New Roman"/>
          <w:kern w:val="0"/>
          <w:sz w:val="28"/>
          <w:szCs w:val="28"/>
          <w:lang w:val="uk-UA"/>
          <w14:ligatures w14:val="none"/>
        </w:rPr>
        <w:t xml:space="preserve"> </w:t>
      </w:r>
      <w:r w:rsidR="00B44B71" w:rsidRPr="00B44B71">
        <w:rPr>
          <w:rFonts w:ascii="Times New Roman" w:eastAsia="Calibri" w:hAnsi="Times New Roman" w:cs="Times New Roman"/>
          <w:kern w:val="0"/>
          <w:sz w:val="28"/>
          <w:szCs w:val="28"/>
          <w:lang w:val="uk-UA"/>
          <w14:ligatures w14:val="none"/>
        </w:rPr>
        <w:t>редакційна колегія!</w:t>
      </w:r>
    </w:p>
    <w:p w14:paraId="1C797D82" w14:textId="13F74843" w:rsidR="00B44B71" w:rsidRPr="00B44B71" w:rsidRDefault="005C6658" w:rsidP="00023291">
      <w:pPr>
        <w:tabs>
          <w:tab w:val="left" w:pos="9638"/>
        </w:tabs>
        <w:spacing w:after="0" w:line="276" w:lineRule="auto"/>
        <w:ind w:firstLine="709"/>
        <w:jc w:val="both"/>
        <w:rPr>
          <w:rFonts w:ascii="Times New Roman" w:eastAsia="Calibri" w:hAnsi="Times New Roman" w:cs="Times New Roman"/>
          <w:kern w:val="0"/>
          <w:sz w:val="28"/>
          <w:szCs w:val="28"/>
          <w:lang w:val="uk-UA"/>
          <w14:ligatures w14:val="none"/>
        </w:rPr>
      </w:pPr>
      <w:r>
        <w:rPr>
          <w:rFonts w:ascii="Times New Roman" w:eastAsia="Calibri" w:hAnsi="Times New Roman" w:cs="Times New Roman"/>
          <w:kern w:val="0"/>
          <w:sz w:val="28"/>
          <w:szCs w:val="28"/>
          <w:lang w:val="uk-UA"/>
          <w14:ligatures w14:val="none"/>
        </w:rPr>
        <w:t>Наукове видння, яке</w:t>
      </w:r>
      <w:r w:rsidR="00B44B71" w:rsidRPr="00B44B71">
        <w:rPr>
          <w:rFonts w:ascii="Times New Roman" w:eastAsia="Calibri" w:hAnsi="Times New Roman" w:cs="Times New Roman"/>
          <w:kern w:val="0"/>
          <w:sz w:val="28"/>
          <w:szCs w:val="28"/>
          <w:lang w:val="uk-UA"/>
          <w14:ligatures w14:val="none"/>
        </w:rPr>
        <w:t xml:space="preserve"> ви тримаєте в руках, дозволяє обговорювати в живому форматі ключові проблемні питання теорії та практики військової освіти Збройних Сил України, інших складових сил оборони держави, вивчати та ділитись досвідом, набутим на полі бою, аналізувати досвід провідних країн світу та отримувати нові наукові знання. </w:t>
      </w:r>
    </w:p>
    <w:p w14:paraId="7BD0B047" w14:textId="40478DE3" w:rsidR="00B44B71" w:rsidRPr="00B44B71" w:rsidRDefault="00B44B71" w:rsidP="00023291">
      <w:pPr>
        <w:tabs>
          <w:tab w:val="left" w:pos="9638"/>
        </w:tabs>
        <w:spacing w:after="0" w:line="276"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Ситуація в Україні нажаль на сьогодні залишається досить напруженою внаслідок збройної агресії підступного ворога, який не залишає своїх планів щодо знищення суверенітету та незалежності нашої держави. При цьому, недосягнення стратегічних успіхів противником на полі бою є результатом якісної підготовки особового складу та творчого підходу до застосування новітнього озброєння, військової та спеціальної техніки, постійного вдосконалення форм і способів ведення збройної боротьби.</w:t>
      </w:r>
    </w:p>
    <w:p w14:paraId="10077BA6" w14:textId="77777777" w:rsidR="00B44B71" w:rsidRPr="00B44B71" w:rsidRDefault="00B44B71" w:rsidP="00023291">
      <w:pPr>
        <w:tabs>
          <w:tab w:val="left" w:pos="9638"/>
        </w:tabs>
        <w:spacing w:after="0" w:line="276"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Кожен з нас здійснює свій вклад у майбутню Перемогу. Тому бажаю всім Вам творчих успіхів, натхнення і наснаги на тернистому шляху наукових досліджень на благо українського народу та України в цілому!</w:t>
      </w:r>
    </w:p>
    <w:p w14:paraId="0A1F397E" w14:textId="77777777" w:rsidR="00B44B71" w:rsidRPr="00B44B71" w:rsidRDefault="00B44B71" w:rsidP="00023291">
      <w:pPr>
        <w:tabs>
          <w:tab w:val="left" w:pos="9638"/>
        </w:tabs>
        <w:spacing w:after="0" w:line="276" w:lineRule="auto"/>
        <w:ind w:firstLine="709"/>
        <w:jc w:val="both"/>
        <w:rPr>
          <w:rFonts w:ascii="Times New Roman" w:eastAsia="Calibri" w:hAnsi="Times New Roman" w:cs="Times New Roman"/>
          <w:kern w:val="0"/>
          <w:sz w:val="28"/>
          <w:szCs w:val="28"/>
          <w:lang w:val="uk-UA"/>
          <w14:ligatures w14:val="none"/>
        </w:rPr>
      </w:pPr>
    </w:p>
    <w:p w14:paraId="6AED545D" w14:textId="77777777" w:rsidR="00B44B71" w:rsidRPr="00B44B71" w:rsidRDefault="00B44B71" w:rsidP="00023291">
      <w:pPr>
        <w:tabs>
          <w:tab w:val="left" w:pos="9638"/>
        </w:tabs>
        <w:spacing w:after="0" w:line="276" w:lineRule="auto"/>
        <w:ind w:firstLine="709"/>
        <w:jc w:val="both"/>
        <w:rPr>
          <w:rFonts w:ascii="Times New Roman" w:eastAsia="Calibri" w:hAnsi="Times New Roman" w:cs="Times New Roman"/>
          <w:kern w:val="0"/>
          <w:sz w:val="28"/>
          <w:szCs w:val="28"/>
          <w:lang w:val="pl-PL"/>
          <w14:ligatures w14:val="none"/>
        </w:rPr>
      </w:pPr>
      <w:r w:rsidRPr="00B44B71">
        <w:rPr>
          <w:rFonts w:ascii="Times New Roman" w:eastAsia="Calibri" w:hAnsi="Times New Roman" w:cs="Times New Roman"/>
          <w:kern w:val="0"/>
          <w:sz w:val="28"/>
          <w:szCs w:val="28"/>
          <w:lang w:val="uk-UA"/>
          <w14:ligatures w14:val="none"/>
        </w:rPr>
        <w:t>Слава Збройним Силам України</w:t>
      </w:r>
      <w:r w:rsidRPr="00B44B71">
        <w:rPr>
          <w:rFonts w:ascii="Times New Roman" w:eastAsia="Calibri" w:hAnsi="Times New Roman" w:cs="Times New Roman"/>
          <w:kern w:val="0"/>
          <w:sz w:val="28"/>
          <w:szCs w:val="28"/>
          <w:lang w:val="pl-PL"/>
          <w14:ligatures w14:val="none"/>
        </w:rPr>
        <w:t xml:space="preserve">! </w:t>
      </w:r>
    </w:p>
    <w:p w14:paraId="2DCA5977" w14:textId="77777777" w:rsidR="00B44B71" w:rsidRPr="00B44B71" w:rsidRDefault="00B44B71" w:rsidP="00023291">
      <w:pPr>
        <w:tabs>
          <w:tab w:val="left" w:pos="9638"/>
        </w:tabs>
        <w:spacing w:after="0" w:line="276"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Слава Україні!</w:t>
      </w:r>
    </w:p>
    <w:p w14:paraId="46D6F070" w14:textId="6E82C52C" w:rsidR="00B44B71" w:rsidRPr="00B44B71" w:rsidRDefault="0014634A" w:rsidP="0014634A">
      <w:pPr>
        <w:tabs>
          <w:tab w:val="left" w:pos="9638"/>
        </w:tabs>
        <w:spacing w:after="0" w:line="276" w:lineRule="auto"/>
        <w:ind w:left="-284"/>
        <w:jc w:val="both"/>
        <w:rPr>
          <w:rFonts w:ascii="Times New Roman" w:eastAsia="Calibri" w:hAnsi="Times New Roman" w:cs="Times New Roman"/>
          <w:kern w:val="0"/>
          <w:sz w:val="28"/>
          <w:szCs w:val="28"/>
          <w:lang w:val="uk-UA"/>
          <w14:ligatures w14:val="none"/>
        </w:rPr>
      </w:pPr>
      <w:r>
        <w:rPr>
          <w:rFonts w:ascii="Times New Roman" w:eastAsia="Calibri" w:hAnsi="Times New Roman" w:cs="Times New Roman"/>
          <w:noProof/>
          <w:kern w:val="0"/>
          <w:sz w:val="28"/>
          <w:szCs w:val="28"/>
          <w:lang w:val="uk-UA"/>
        </w:rPr>
        <w:drawing>
          <wp:inline distT="0" distB="0" distL="0" distR="0" wp14:anchorId="29D31BC7" wp14:editId="28510C4B">
            <wp:extent cx="6613634" cy="1386840"/>
            <wp:effectExtent l="0" t="0" r="3175" b="0"/>
            <wp:docPr id="166948174"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48174" name="Picture 166948174"/>
                    <pic:cNvPicPr/>
                  </pic:nvPicPr>
                  <pic:blipFill>
                    <a:blip r:embed="rId11" cstate="print">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6684455" cy="1401691"/>
                    </a:xfrm>
                    <a:prstGeom prst="rect">
                      <a:avLst/>
                    </a:prstGeom>
                  </pic:spPr>
                </pic:pic>
              </a:graphicData>
            </a:graphic>
          </wp:inline>
        </w:drawing>
      </w:r>
    </w:p>
    <w:p w14:paraId="064A4AD5"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b/>
          <w:color w:val="000000"/>
          <w:kern w:val="0"/>
          <w:sz w:val="24"/>
          <w:szCs w:val="24"/>
          <w:lang w:val="uk-UA"/>
          <w14:ligatures w14:val="none"/>
        </w:rPr>
      </w:pPr>
    </w:p>
    <w:p w14:paraId="6B2574B7"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b/>
          <w:color w:val="000000"/>
          <w:kern w:val="0"/>
          <w:sz w:val="24"/>
          <w:szCs w:val="24"/>
          <w:lang w:val="uk-UA"/>
          <w14:ligatures w14:val="none"/>
        </w:rPr>
      </w:pPr>
    </w:p>
    <w:p w14:paraId="16FB782F"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b/>
          <w:color w:val="000000"/>
          <w:kern w:val="0"/>
          <w:sz w:val="24"/>
          <w:szCs w:val="24"/>
          <w:lang w:val="uk-UA"/>
          <w14:ligatures w14:val="none"/>
        </w:rPr>
      </w:pPr>
    </w:p>
    <w:p w14:paraId="483E6589"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b/>
          <w:color w:val="000000"/>
          <w:kern w:val="0"/>
          <w:sz w:val="24"/>
          <w:szCs w:val="24"/>
          <w:lang w:val="uk-UA"/>
          <w14:ligatures w14:val="none"/>
        </w:rPr>
      </w:pPr>
    </w:p>
    <w:p w14:paraId="5FB96AAE" w14:textId="0F312ADB" w:rsidR="004E1190" w:rsidRPr="00B44B71" w:rsidRDefault="004C5E80"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r>
        <w:rPr>
          <w:rFonts w:ascii="Times New Roman" w:eastAsia="Times New Roman" w:hAnsi="Times New Roman" w:cs="Times New Roman"/>
          <w:b/>
          <w:color w:val="000000"/>
          <w:kern w:val="0"/>
          <w:sz w:val="24"/>
          <w:szCs w:val="24"/>
          <w:lang w:val="uk-UA"/>
          <w14:ligatures w14:val="none"/>
        </w:rPr>
        <w:br w:type="column"/>
      </w:r>
      <w:r w:rsidR="004E1190" w:rsidRPr="00B44B71">
        <w:rPr>
          <w:rFonts w:ascii="Times New Roman" w:eastAsia="Times New Roman" w:hAnsi="Times New Roman" w:cs="Times New Roman"/>
          <w:kern w:val="0"/>
          <w:sz w:val="23"/>
          <w:szCs w:val="23"/>
          <w:lang w:val="uk-UA" w:eastAsia="ru-RU"/>
          <w14:ligatures w14:val="none"/>
        </w:rPr>
        <w:lastRenderedPageBreak/>
        <w:t>ISSN: 2617-1775</w:t>
      </w:r>
      <w:r w:rsidR="00E4040F" w:rsidRPr="00E4040F">
        <w:rPr>
          <w:rFonts w:ascii="Times New Roman" w:eastAsia="Calibri" w:hAnsi="Times New Roman" w:cs="Times New Roman"/>
          <w:b/>
          <w:kern w:val="0"/>
          <w:sz w:val="24"/>
          <w:szCs w:val="24"/>
          <w:lang w:val="uk-UA"/>
          <w14:ligatures w14:val="none"/>
        </w:rPr>
        <w:t xml:space="preserve"> </w:t>
      </w:r>
      <w:r w:rsidR="00E4040F" w:rsidRPr="00EF0A28">
        <w:rPr>
          <w:rFonts w:ascii="Times New Roman" w:eastAsia="Calibri" w:hAnsi="Times New Roman" w:cs="Times New Roman"/>
          <w:b/>
          <w:kern w:val="0"/>
          <w:sz w:val="24"/>
          <w:szCs w:val="24"/>
          <w:lang w:val="ru-RU"/>
          <w14:ligatures w14:val="none"/>
        </w:rPr>
        <w:t xml:space="preserve">                                                                                                     </w:t>
      </w:r>
      <w:r w:rsidR="00E4040F" w:rsidRPr="004E1190">
        <w:rPr>
          <w:rFonts w:ascii="Times New Roman" w:eastAsia="Calibri" w:hAnsi="Times New Roman" w:cs="Times New Roman"/>
          <w:b/>
          <w:kern w:val="0"/>
          <w:sz w:val="24"/>
          <w:szCs w:val="24"/>
          <w:lang w:val="uk-UA"/>
          <w14:ligatures w14:val="none"/>
        </w:rPr>
        <w:t>УДК 378.147(045)</w:t>
      </w:r>
    </w:p>
    <w:p w14:paraId="2EC6D842" w14:textId="6F15A9F7" w:rsidR="00B44B71" w:rsidRPr="004E1190" w:rsidRDefault="004E1190" w:rsidP="00023291">
      <w:pPr>
        <w:tabs>
          <w:tab w:val="left" w:pos="9638"/>
        </w:tabs>
        <w:spacing w:after="0" w:line="240" w:lineRule="auto"/>
        <w:rPr>
          <w:rFonts w:ascii="Times New Roman" w:eastAsia="Calibri" w:hAnsi="Times New Roman" w:cs="Times New Roman"/>
          <w:b/>
          <w:kern w:val="0"/>
          <w:sz w:val="24"/>
          <w:szCs w:val="24"/>
          <w14:ligatures w14:val="none"/>
        </w:rPr>
      </w:pPr>
      <w:r w:rsidRPr="00B44B71">
        <w:rPr>
          <w:rFonts w:ascii="Times New Roman" w:eastAsia="Times New Roman" w:hAnsi="Times New Roman" w:cs="Times New Roman"/>
          <w:kern w:val="0"/>
          <w:sz w:val="23"/>
          <w:szCs w:val="23"/>
          <w:lang w:val="uk-UA" w:eastAsia="ru-RU"/>
          <w14:ligatures w14:val="none"/>
        </w:rPr>
        <w:t>ISSN: 2617-1783 (online)</w:t>
      </w:r>
      <w:r>
        <w:rPr>
          <w:rFonts w:ascii="Times New Roman" w:eastAsia="Times New Roman" w:hAnsi="Times New Roman" w:cs="Times New Roman"/>
          <w:kern w:val="0"/>
          <w:sz w:val="23"/>
          <w:szCs w:val="23"/>
          <w:lang w:eastAsia="ru-RU"/>
          <w14:ligatures w14:val="none"/>
        </w:rPr>
        <w:t xml:space="preserve">                            </w:t>
      </w:r>
      <w:r w:rsidR="00E4040F">
        <w:rPr>
          <w:rFonts w:ascii="Times New Roman" w:eastAsia="Times New Roman" w:hAnsi="Times New Roman" w:cs="Times New Roman"/>
          <w:kern w:val="0"/>
          <w:sz w:val="23"/>
          <w:szCs w:val="23"/>
          <w:lang w:eastAsia="ru-RU"/>
          <w14:ligatures w14:val="none"/>
        </w:rPr>
        <w:t xml:space="preserve">                            </w:t>
      </w:r>
      <w:r w:rsidR="00E4040F" w:rsidRPr="004E1190">
        <w:rPr>
          <w:rFonts w:ascii="Times New Roman" w:eastAsia="Times New Roman" w:hAnsi="Times New Roman" w:cs="Times New Roman"/>
          <w:bCs/>
          <w:smallCaps/>
          <w:color w:val="000000"/>
          <w:kern w:val="0"/>
          <w:sz w:val="24"/>
          <w:szCs w:val="24"/>
          <w:lang w:eastAsia="ru-RU"/>
          <w14:ligatures w14:val="none"/>
        </w:rPr>
        <w:t>DOI</w:t>
      </w:r>
      <w:r w:rsidR="00E4040F" w:rsidRPr="004E1190">
        <w:rPr>
          <w:rFonts w:ascii="Times New Roman" w:eastAsia="Times New Roman" w:hAnsi="Times New Roman" w:cs="Times New Roman"/>
          <w:bCs/>
          <w:smallCaps/>
          <w:color w:val="000000"/>
          <w:kern w:val="0"/>
          <w:sz w:val="24"/>
          <w:szCs w:val="24"/>
          <w:lang w:val="uk-UA" w:eastAsia="ru-RU"/>
          <w14:ligatures w14:val="none"/>
        </w:rPr>
        <w:t>:10.33099/2617-1775/2026-01/</w:t>
      </w:r>
      <w:r w:rsidR="002A5031">
        <w:rPr>
          <w:rFonts w:ascii="Times New Roman" w:eastAsia="Times New Roman" w:hAnsi="Times New Roman" w:cs="Times New Roman"/>
          <w:bCs/>
          <w:smallCaps/>
          <w:color w:val="000000"/>
          <w:kern w:val="0"/>
          <w:sz w:val="24"/>
          <w:szCs w:val="24"/>
          <w:lang w:val="uk-UA" w:eastAsia="ru-RU"/>
          <w14:ligatures w14:val="none"/>
        </w:rPr>
        <w:t>10-28</w:t>
      </w:r>
    </w:p>
    <w:p w14:paraId="1D6318D2" w14:textId="77777777" w:rsidR="00B44B71" w:rsidRPr="00B44B71" w:rsidRDefault="00B44B71" w:rsidP="00023291">
      <w:pPr>
        <w:tabs>
          <w:tab w:val="left" w:pos="9638"/>
        </w:tabs>
        <w:spacing w:after="0" w:line="240" w:lineRule="auto"/>
        <w:jc w:val="both"/>
        <w:rPr>
          <w:rFonts w:ascii="Times New Roman" w:eastAsia="Calibri" w:hAnsi="Times New Roman" w:cs="Times New Roman"/>
          <w:b/>
          <w:kern w:val="0"/>
          <w:sz w:val="28"/>
          <w:szCs w:val="28"/>
          <w:lang w:val="uk-UA"/>
          <w14:ligatures w14:val="none"/>
        </w:rPr>
      </w:pPr>
    </w:p>
    <w:p w14:paraId="7DBBF6A5" w14:textId="39CF9841" w:rsidR="00B44B71" w:rsidRPr="00B44B71" w:rsidRDefault="001B0296" w:rsidP="00023291">
      <w:pPr>
        <w:tabs>
          <w:tab w:val="left" w:pos="9638"/>
        </w:tabs>
        <w:spacing w:after="0" w:line="240" w:lineRule="auto"/>
        <w:jc w:val="right"/>
        <w:rPr>
          <w:rFonts w:ascii="Times New Roman" w:eastAsia="Calibri" w:hAnsi="Times New Roman" w:cs="Times New Roman"/>
          <w:kern w:val="0"/>
          <w:sz w:val="28"/>
          <w:szCs w:val="28"/>
          <w:lang w:val="uk-UA"/>
          <w14:ligatures w14:val="none"/>
        </w:rPr>
      </w:pPr>
      <w:r>
        <w:rPr>
          <w:rFonts w:ascii="Times New Roman" w:eastAsia="Calibri" w:hAnsi="Times New Roman" w:cs="Times New Roman"/>
          <w:b/>
          <w:kern w:val="0"/>
          <w:sz w:val="28"/>
          <w:szCs w:val="28"/>
          <w:lang w:val="uk-UA"/>
          <w14:ligatures w14:val="none"/>
        </w:rPr>
        <w:t xml:space="preserve">Дмитро Герега </w:t>
      </w:r>
      <w:r w:rsidR="00B44B71" w:rsidRPr="00B44B71">
        <w:rPr>
          <w:rFonts w:ascii="Times New Roman" w:eastAsia="Calibri" w:hAnsi="Times New Roman" w:cs="Times New Roman"/>
          <w:b/>
          <w:kern w:val="0"/>
          <w:sz w:val="28"/>
          <w:szCs w:val="28"/>
          <w:lang w:val="uk-UA"/>
          <w14:ligatures w14:val="none"/>
        </w:rPr>
        <w:t>,</w:t>
      </w:r>
      <w:r w:rsidR="00B44B71" w:rsidRPr="00B44B71">
        <w:rPr>
          <w:rFonts w:ascii="Times New Roman" w:eastAsia="Calibri" w:hAnsi="Times New Roman" w:cs="Times New Roman"/>
          <w:kern w:val="0"/>
          <w:sz w:val="28"/>
          <w:szCs w:val="28"/>
          <w:lang w:val="uk-UA"/>
          <w14:ligatures w14:val="none"/>
        </w:rPr>
        <w:t xml:space="preserve"> </w:t>
      </w:r>
    </w:p>
    <w:p w14:paraId="2EF20749" w14:textId="77777777" w:rsidR="00B44B71" w:rsidRPr="00B44B71" w:rsidRDefault="00B44B71" w:rsidP="00023291">
      <w:pPr>
        <w:tabs>
          <w:tab w:val="left" w:pos="9638"/>
        </w:tabs>
        <w:spacing w:after="0" w:line="240" w:lineRule="auto"/>
        <w:jc w:val="right"/>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Командування Сил підтримки Збройних Сил України, м. Київ</w:t>
      </w:r>
    </w:p>
    <w:p w14:paraId="160E525D" w14:textId="77777777" w:rsidR="00B44B71" w:rsidRPr="00B44B71" w:rsidRDefault="00B44B71" w:rsidP="00023291">
      <w:pPr>
        <w:tabs>
          <w:tab w:val="left" w:pos="9638"/>
        </w:tabs>
        <w:spacing w:after="0" w:line="240" w:lineRule="auto"/>
        <w:jc w:val="right"/>
        <w:rPr>
          <w:rFonts w:ascii="Times New Roman" w:eastAsia="Calibri" w:hAnsi="Times New Roman" w:cs="Times New Roman"/>
          <w:kern w:val="0"/>
          <w:sz w:val="28"/>
          <w:szCs w:val="28"/>
          <w:lang w:val="uk-UA"/>
          <w14:ligatures w14:val="none"/>
        </w:rPr>
      </w:pPr>
      <w:hyperlink r:id="rId13" w:history="1">
        <w:r w:rsidRPr="00B44B71">
          <w:rPr>
            <w:rFonts w:ascii="Times New Roman" w:eastAsia="Calibri" w:hAnsi="Times New Roman" w:cs="Times New Roman"/>
            <w:color w:val="0563C1"/>
            <w:kern w:val="0"/>
            <w:sz w:val="28"/>
            <w:szCs w:val="28"/>
            <w:u w:val="single"/>
            <w:lang w:val="uk-UA"/>
            <w14:ligatures w14:val="none"/>
          </w:rPr>
          <w:t>https://orcid.org/0000-0001-8141-1407</w:t>
        </w:r>
      </w:hyperlink>
    </w:p>
    <w:p w14:paraId="3E7A8144" w14:textId="0877AD5A" w:rsidR="00B44B71" w:rsidRPr="00B44B71" w:rsidRDefault="001B0296" w:rsidP="00023291">
      <w:pPr>
        <w:tabs>
          <w:tab w:val="left" w:pos="993"/>
          <w:tab w:val="left" w:pos="9638"/>
        </w:tabs>
        <w:spacing w:after="0" w:line="240" w:lineRule="auto"/>
        <w:jc w:val="right"/>
        <w:rPr>
          <w:rFonts w:ascii="Times New Roman" w:eastAsia="Calibri" w:hAnsi="Times New Roman" w:cs="Times New Roman"/>
          <w:i/>
          <w:kern w:val="0"/>
          <w:sz w:val="28"/>
          <w:szCs w:val="28"/>
          <w:lang w:val="uk-UA"/>
          <w14:ligatures w14:val="none"/>
        </w:rPr>
      </w:pPr>
      <w:r>
        <w:rPr>
          <w:rFonts w:ascii="Times New Roman" w:eastAsia="Calibri" w:hAnsi="Times New Roman" w:cs="Times New Roman"/>
          <w:b/>
          <w:kern w:val="0"/>
          <w:sz w:val="28"/>
          <w:szCs w:val="28"/>
          <w:lang w:val="uk-UA"/>
          <w14:ligatures w14:val="none"/>
        </w:rPr>
        <w:t xml:space="preserve">Володимир </w:t>
      </w:r>
      <w:r w:rsidR="00B44B71" w:rsidRPr="00B44B71">
        <w:rPr>
          <w:rFonts w:ascii="Times New Roman" w:eastAsia="Calibri" w:hAnsi="Times New Roman" w:cs="Times New Roman"/>
          <w:b/>
          <w:kern w:val="0"/>
          <w:sz w:val="28"/>
          <w:szCs w:val="28"/>
          <w:lang w:val="uk-UA"/>
          <w14:ligatures w14:val="none"/>
        </w:rPr>
        <w:t>Коцюруба</w:t>
      </w:r>
      <w:r w:rsidR="00B44B71" w:rsidRPr="00B44B71">
        <w:rPr>
          <w:rFonts w:ascii="Times New Roman" w:eastAsia="Calibri" w:hAnsi="Times New Roman" w:cs="Times New Roman"/>
          <w:i/>
          <w:kern w:val="0"/>
          <w:sz w:val="28"/>
          <w:szCs w:val="28"/>
          <w:lang w:val="uk-UA"/>
          <w14:ligatures w14:val="none"/>
        </w:rPr>
        <w:t xml:space="preserve">, </w:t>
      </w:r>
    </w:p>
    <w:p w14:paraId="7CBDF27A" w14:textId="537435B6" w:rsidR="00B44B71" w:rsidRPr="00B44B71" w:rsidRDefault="00B44B71" w:rsidP="00023291">
      <w:pPr>
        <w:tabs>
          <w:tab w:val="left" w:pos="993"/>
          <w:tab w:val="left" w:pos="9638"/>
        </w:tabs>
        <w:spacing w:after="0" w:line="240" w:lineRule="auto"/>
        <w:jc w:val="right"/>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доктор технічних наук, професор</w:t>
      </w:r>
      <w:r w:rsidR="008E3172">
        <w:rPr>
          <w:rFonts w:ascii="Times New Roman" w:eastAsia="Calibri" w:hAnsi="Times New Roman" w:cs="Times New Roman"/>
          <w:kern w:val="0"/>
          <w:sz w:val="28"/>
          <w:szCs w:val="28"/>
          <w:lang w:val="uk-UA"/>
          <w14:ligatures w14:val="none"/>
        </w:rPr>
        <w:t>, заслужений винахідник України</w:t>
      </w:r>
      <w:r w:rsidRPr="00B44B71">
        <w:rPr>
          <w:rFonts w:ascii="Times New Roman" w:eastAsia="Calibri" w:hAnsi="Times New Roman" w:cs="Times New Roman"/>
          <w:kern w:val="0"/>
          <w:sz w:val="28"/>
          <w:szCs w:val="28"/>
          <w:lang w:val="uk-UA"/>
          <w14:ligatures w14:val="none"/>
        </w:rPr>
        <w:t xml:space="preserve"> </w:t>
      </w:r>
    </w:p>
    <w:p w14:paraId="1E0C3E4A" w14:textId="77777777" w:rsidR="00B44B71" w:rsidRPr="00B44B71" w:rsidRDefault="00B44B71" w:rsidP="00023291">
      <w:pPr>
        <w:tabs>
          <w:tab w:val="left" w:pos="993"/>
          <w:tab w:val="left" w:pos="9638"/>
        </w:tabs>
        <w:spacing w:after="0" w:line="240" w:lineRule="auto"/>
        <w:jc w:val="right"/>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Національний університету оборони України, м. Київ </w:t>
      </w:r>
    </w:p>
    <w:p w14:paraId="56BE5C0C" w14:textId="77777777" w:rsidR="00B44B71" w:rsidRDefault="00B44B71" w:rsidP="00023291">
      <w:pPr>
        <w:tabs>
          <w:tab w:val="left" w:pos="993"/>
          <w:tab w:val="left" w:pos="9638"/>
        </w:tabs>
        <w:spacing w:after="0" w:line="240" w:lineRule="auto"/>
        <w:jc w:val="right"/>
        <w:rPr>
          <w:lang w:val="uk-UA"/>
        </w:rPr>
      </w:pPr>
      <w:hyperlink r:id="rId14" w:history="1">
        <w:r w:rsidRPr="00B44B71">
          <w:rPr>
            <w:rFonts w:ascii="Times New Roman" w:eastAsia="Calibri" w:hAnsi="Times New Roman" w:cs="Times New Roman"/>
            <w:color w:val="0563C1"/>
            <w:kern w:val="0"/>
            <w:sz w:val="28"/>
            <w:szCs w:val="28"/>
            <w:u w:val="single"/>
            <w:lang w:val="uk-UA"/>
            <w14:ligatures w14:val="none"/>
          </w:rPr>
          <w:t>https://orcid.org/0000-0001-6565-9576</w:t>
        </w:r>
      </w:hyperlink>
    </w:p>
    <w:p w14:paraId="10655D4A" w14:textId="1284B2A3" w:rsidR="00F96118" w:rsidRPr="00F96118" w:rsidRDefault="00F96118" w:rsidP="00023291">
      <w:pPr>
        <w:tabs>
          <w:tab w:val="left" w:pos="9638"/>
        </w:tabs>
        <w:spacing w:after="0" w:line="240" w:lineRule="auto"/>
        <w:jc w:val="right"/>
        <w:rPr>
          <w:rFonts w:ascii="Times New Roman" w:eastAsia="Times New Roman" w:hAnsi="Times New Roman" w:cs="Times New Roman"/>
          <w:color w:val="0563C1"/>
          <w:kern w:val="0"/>
          <w:sz w:val="24"/>
          <w:szCs w:val="24"/>
          <w:u w:val="single"/>
          <w:lang w:val="uk-UA"/>
          <w14:ligatures w14:val="none"/>
        </w:rPr>
      </w:pPr>
    </w:p>
    <w:p w14:paraId="4E632CF4" w14:textId="77777777" w:rsidR="00F96118" w:rsidRPr="00F96118" w:rsidRDefault="00F96118" w:rsidP="00023291">
      <w:pPr>
        <w:tabs>
          <w:tab w:val="left" w:pos="993"/>
          <w:tab w:val="left" w:pos="9638"/>
        </w:tabs>
        <w:spacing w:after="0" w:line="240" w:lineRule="auto"/>
        <w:jc w:val="right"/>
        <w:rPr>
          <w:rFonts w:ascii="Times New Roman" w:eastAsia="Calibri" w:hAnsi="Times New Roman" w:cs="Times New Roman"/>
          <w:kern w:val="0"/>
          <w:sz w:val="28"/>
          <w:szCs w:val="28"/>
          <w:lang w:val="uk-UA"/>
          <w14:ligatures w14:val="none"/>
        </w:rPr>
      </w:pPr>
    </w:p>
    <w:p w14:paraId="45018D07" w14:textId="77777777" w:rsidR="00B44B71" w:rsidRPr="00B44B71" w:rsidRDefault="00B44B71" w:rsidP="00023291">
      <w:pPr>
        <w:tabs>
          <w:tab w:val="left" w:pos="9638"/>
        </w:tabs>
        <w:spacing w:after="0" w:line="240" w:lineRule="auto"/>
        <w:jc w:val="center"/>
        <w:rPr>
          <w:rFonts w:ascii="Times New Roman" w:eastAsia="Calibri" w:hAnsi="Times New Roman" w:cs="Times New Roman"/>
          <w:b/>
          <w:kern w:val="0"/>
          <w:sz w:val="28"/>
          <w:szCs w:val="28"/>
          <w:lang w:val="uk-UA"/>
          <w14:ligatures w14:val="none"/>
        </w:rPr>
      </w:pPr>
      <w:r w:rsidRPr="00B44B71">
        <w:rPr>
          <w:rFonts w:ascii="Times New Roman" w:eastAsia="Calibri" w:hAnsi="Times New Roman" w:cs="Times New Roman"/>
          <w:b/>
          <w:kern w:val="0"/>
          <w:sz w:val="28"/>
          <w:szCs w:val="28"/>
          <w:lang w:val="uk-UA"/>
          <w14:ligatures w14:val="none"/>
        </w:rPr>
        <w:t>ТЕНДЕНЦІЇ РОЗВИТКУ, ВІЙСЬКОВОЇ ОСВІТИ ТА ПІДГОТОВКИ СИЛ ПІДТРИМКИ ЗБРОЙНИХ СИЛ УКРАЇНИ НА ОСНОВІ ІСТОРИЧНОГО ДОСВІДУ ЇХ ФОРМУВАННЯ</w:t>
      </w:r>
    </w:p>
    <w:p w14:paraId="678C2B5E" w14:textId="77777777" w:rsidR="00B44B71" w:rsidRPr="00B44B71" w:rsidRDefault="00B44B71" w:rsidP="00023291">
      <w:pPr>
        <w:tabs>
          <w:tab w:val="left" w:pos="9638"/>
        </w:tabs>
        <w:spacing w:after="0" w:line="240" w:lineRule="auto"/>
        <w:jc w:val="center"/>
        <w:rPr>
          <w:rFonts w:ascii="Times New Roman" w:eastAsia="Calibri" w:hAnsi="Times New Roman" w:cs="Times New Roman"/>
          <w:kern w:val="0"/>
          <w:sz w:val="28"/>
          <w:szCs w:val="28"/>
          <w:lang w:val="uk-UA"/>
          <w14:ligatures w14:val="none"/>
        </w:rPr>
      </w:pPr>
    </w:p>
    <w:p w14:paraId="0768AF96"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i/>
          <w:kern w:val="0"/>
          <w:sz w:val="24"/>
          <w:szCs w:val="24"/>
          <w:lang w:val="uk-UA"/>
          <w14:ligatures w14:val="none"/>
        </w:rPr>
      </w:pPr>
      <w:bookmarkStart w:id="1" w:name="_Hlk221780002"/>
      <w:r w:rsidRPr="00B44B71">
        <w:rPr>
          <w:rFonts w:ascii="Times New Roman" w:eastAsia="Calibri" w:hAnsi="Times New Roman" w:cs="Times New Roman"/>
          <w:i/>
          <w:kern w:val="0"/>
          <w:sz w:val="24"/>
          <w:szCs w:val="24"/>
          <w:lang w:val="uk-UA"/>
          <w14:ligatures w14:val="none"/>
        </w:rPr>
        <w:t>У статі розглянуті історичні аспекти формування Сил підтримки Збройних Сил України починаючі з часів незалежності України, проблемні питання розвитку системи управління, організаційних структур, озброєння, військової та спеціальної техніки, що визначають вимоги до військової освіти та підготовки для потреб об’єднаної підтримки. Поглиблений аналіз недоліків та переваг дозволив сформулювати основні перспективні напрямки розвитку Сил підтримки Збройних Сил України на середньострокову та довгострокову перспективу із врахуванням тенденцій змін форм і способів збройної боротьби, досвіду відсічі збройної агресії російської федерації проти України. Реалізація вказаних перспективних напрямків розвитку Сил підтримки Збройних Сил України дозволить досягнути очікуваний результат розвитку, зокрема, Сил підтримки Збройних Сил України стануть оптимальними за чисельністю, оснащені сучасними озброєнням, військовою технікою і засобами, всебічно підготовлені та забезпечені, спроможні виконувати покладені на них завдання, а також досягти євроатлантичних стандартів та критеріїв, що дозволить брати повноцінну участь у спільних операціях зі збройними силами країн-партнерів ЄС та НАТО.</w:t>
      </w:r>
    </w:p>
    <w:p w14:paraId="5624B953"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i/>
          <w:kern w:val="0"/>
          <w:sz w:val="24"/>
          <w:szCs w:val="24"/>
          <w:lang w:val="uk-UA"/>
          <w14:ligatures w14:val="none"/>
        </w:rPr>
      </w:pPr>
      <w:r w:rsidRPr="00B44B71">
        <w:rPr>
          <w:rFonts w:ascii="Times New Roman" w:eastAsia="Calibri" w:hAnsi="Times New Roman" w:cs="Times New Roman"/>
          <w:b/>
          <w:i/>
          <w:kern w:val="0"/>
          <w:sz w:val="24"/>
          <w:szCs w:val="24"/>
          <w:lang w:val="uk-UA"/>
          <w14:ligatures w14:val="none"/>
        </w:rPr>
        <w:t>Ключові слова:</w:t>
      </w:r>
      <w:r w:rsidRPr="00B44B71">
        <w:rPr>
          <w:rFonts w:ascii="Times New Roman" w:eastAsia="Calibri" w:hAnsi="Times New Roman" w:cs="Times New Roman"/>
          <w:i/>
          <w:kern w:val="0"/>
          <w:sz w:val="24"/>
          <w:szCs w:val="24"/>
          <w:lang w:val="uk-UA"/>
          <w14:ligatures w14:val="none"/>
        </w:rPr>
        <w:t xml:space="preserve"> розвиток; система управління; організаційні структури; озброєння, військова та спеціальна техніка; військова освіта; підготовка; інженерна підтримка; хімічний, біологічний, радіаційний та ядерний захист; топографічна служба; навігація; гідрометеорологічна служба; кінологічна служба</w:t>
      </w:r>
    </w:p>
    <w:p w14:paraId="59E688F5"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p>
    <w:p w14:paraId="7C20F6BE"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b/>
          <w:kern w:val="0"/>
          <w:sz w:val="28"/>
          <w:szCs w:val="28"/>
          <w:lang w:val="uk-UA"/>
          <w14:ligatures w14:val="none"/>
        </w:rPr>
        <w:t>Постановка проблеми.</w:t>
      </w:r>
      <w:r w:rsidRPr="00B44B71">
        <w:rPr>
          <w:rFonts w:ascii="Times New Roman" w:eastAsia="Calibri" w:hAnsi="Times New Roman" w:cs="Times New Roman"/>
          <w:kern w:val="0"/>
          <w:sz w:val="28"/>
          <w:szCs w:val="28"/>
          <w:lang w:val="uk-UA"/>
          <w14:ligatures w14:val="none"/>
        </w:rPr>
        <w:t xml:space="preserve"> З метою приведення у відповідність сучасним вимогам доктринальної бази, організаційних структур, військової освіти та підготовки, ресурсного забезпечення, якості планування та управління, укомплектування персоналом, військової інфраструктури та взаємосумісності Сил підтримки (СП) Збройних Сил (ЗС) України зі збройними силами країн-партнерів ЄС та НАТО перед теорією та практикою воєнного мистецтва виникає потреба обґрунтування перспективних напрямків розвитку СП ЗС України. При цьому, слід врахувати позитивні та негативні історичні аспекти їх формування і трансформації. </w:t>
      </w:r>
    </w:p>
    <w:p w14:paraId="17A6CBC4"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b/>
          <w:kern w:val="0"/>
          <w:sz w:val="28"/>
          <w:szCs w:val="28"/>
          <w:lang w:val="uk-UA"/>
          <w14:ligatures w14:val="none"/>
        </w:rPr>
        <w:t>Аналіз останніх досліджень та публікацій.</w:t>
      </w:r>
      <w:r w:rsidRPr="00B44B71">
        <w:rPr>
          <w:rFonts w:ascii="Times New Roman" w:eastAsia="Calibri" w:hAnsi="Times New Roman" w:cs="Times New Roman"/>
          <w:kern w:val="0"/>
          <w:sz w:val="28"/>
          <w:szCs w:val="28"/>
          <w:lang w:val="uk-UA"/>
          <w14:ligatures w14:val="none"/>
        </w:rPr>
        <w:t xml:space="preserve"> Проведений аналіз попередніх досліджень та публікацій показав, що у більшості із них </w:t>
      </w:r>
      <w:r w:rsidRPr="00B44B71">
        <w:rPr>
          <w:rFonts w:ascii="Times New Roman" w:eastAsia="Calibri" w:hAnsi="Times New Roman" w:cs="Times New Roman"/>
          <w:kern w:val="0"/>
          <w:sz w:val="28"/>
          <w:szCs w:val="28"/>
          <w:lang w:val="uk-UA"/>
          <w14:ligatures w14:val="none"/>
        </w:rPr>
        <w:lastRenderedPageBreak/>
        <w:t xml:space="preserve">розкриваються історичні аспекти формування та трансформації окремих родів спеціальних військ оперативного (бойового) забезпечення та СП ЗС України. Так у [1-7] наведені історичні факти зміни бойового та чисельного складу інженерних військ ЗС України. У [8, 9] наведено склад сил і засобів радіаційного, хімічного та біологічного (РХБ) захисту, зміни їх чисельності, організаційних структур, керівний склад органів військового управління за різними періодами. Військові публікації [10, 11] присвячені висвітленню історичного досвіду розвитку топографічної та гідрометеорологічної служб, їх сучасного стану, структури, складу сил та засобів, досвіду миротворчої діяльності та завдань, що на них покладаються. </w:t>
      </w:r>
      <w:r w:rsidRPr="00B44B71">
        <w:rPr>
          <w:rFonts w:ascii="Times New Roman" w:eastAsia="Calibri" w:hAnsi="Times New Roman" w:cs="Times New Roman"/>
          <w:color w:val="000000"/>
          <w:kern w:val="0"/>
          <w:sz w:val="28"/>
          <w:szCs w:val="28"/>
          <w:lang w:val="uk-UA"/>
          <w14:ligatures w14:val="none"/>
        </w:rPr>
        <w:t>Інтеграційні засади удосконалення нормативно-правових актів щодо підготовки громадян України до військової служби</w:t>
      </w:r>
      <w:r w:rsidRPr="00B44B71">
        <w:rPr>
          <w:rFonts w:ascii="Times New Roman" w:eastAsia="Calibri" w:hAnsi="Times New Roman" w:cs="Times New Roman"/>
          <w:kern w:val="0"/>
          <w:sz w:val="28"/>
          <w:szCs w:val="28"/>
          <w:lang w:val="uk-UA"/>
          <w14:ligatures w14:val="none"/>
        </w:rPr>
        <w:t xml:space="preserve">, що можуть бути використані у перспективній моделі військової освіти та підготовки в інтересах СП ЗС України, наведені у [12]. </w:t>
      </w:r>
    </w:p>
    <w:p w14:paraId="74E3D1AD"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Всі попередні дослідження та публікації безперечно мають велику наукову новизну та практичне значення. Однак, в них не ставилось завдання синтезу всіх напрямків та перспектив розвитку СП ЗС України в цілому. Отже, проблемне питання комплексного обґрунтування тенденцій розвитку СП ЗС України із врахуванням історичного досвіту вирішено не в повному обсязі.</w:t>
      </w:r>
    </w:p>
    <w:p w14:paraId="62EFD1E2"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b/>
          <w:kern w:val="0"/>
          <w:sz w:val="28"/>
          <w:szCs w:val="28"/>
          <w:lang w:val="uk-UA"/>
          <w14:ligatures w14:val="none"/>
        </w:rPr>
        <w:t>Метою статті</w:t>
      </w:r>
      <w:r w:rsidRPr="00B44B71">
        <w:rPr>
          <w:rFonts w:ascii="Times New Roman" w:eastAsia="Calibri" w:hAnsi="Times New Roman" w:cs="Times New Roman"/>
          <w:kern w:val="0"/>
          <w:sz w:val="28"/>
          <w:szCs w:val="28"/>
          <w:lang w:val="uk-UA"/>
          <w14:ligatures w14:val="none"/>
        </w:rPr>
        <w:t xml:space="preserve"> є висвітлення результатів комплексного обґрунтування тенденцій розвитку СП ЗС України на середньострокову та довгострокову перспективу, військової освіти та підготовки в їх інтересах із врахуванням історичного досвіту їх формування та трансформації.</w:t>
      </w:r>
    </w:p>
    <w:p w14:paraId="2553A4A5"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b/>
          <w:kern w:val="0"/>
          <w:sz w:val="28"/>
          <w:szCs w:val="28"/>
          <w:lang w:val="uk-UA"/>
          <w14:ligatures w14:val="none"/>
        </w:rPr>
        <w:t xml:space="preserve">Виклад основного матеріалу. </w:t>
      </w:r>
      <w:r w:rsidRPr="00B44B71">
        <w:rPr>
          <w:rFonts w:ascii="Times New Roman" w:eastAsia="Calibri" w:hAnsi="Times New Roman" w:cs="Times New Roman"/>
          <w:kern w:val="0"/>
          <w:sz w:val="28"/>
          <w:szCs w:val="28"/>
          <w:lang w:val="uk-UA"/>
          <w14:ligatures w14:val="none"/>
        </w:rPr>
        <w:t>Тенденції розвитку СП ЗС України, також як й інших родів військ, напряму пов’язані із попереднім історичним досвідом та сучасним їх станом. Перспективні напрямки розвитку СП ЗС України останнім часом набули корінних векторних змін. У зв’язку із подіями, які відбуваються на сході країни були переглянуті підходи до реформування як ЗС України в цілому, так і СП ЗС України. Уточнення набули принципи бойового застосування військових частин (підрозділів) СП ЗС України, змінилось і ставлення до руйнівного характеру формування їх складу сил і засобів у діючих угрупованнях військ (сил). Прийшло розуміння потреби наукового обґрунтування складу сил та засобів СП ЗС України на основі системного підходу із врахуванням закономірностей розвитку збройної боротьби.</w:t>
      </w:r>
    </w:p>
    <w:p w14:paraId="14E003BE"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Формування СП ЗС України ґрунтується на поступовій трансформації та подальшому поєднанні у окремий рід сил військових частин окремих родів спеціальних військ оперативного (бойового) забезпечення (інженерні, хімічні, РЕБ), топографічна та гідрометеорологічна служби військових округів (Київський, Одеський, Прикарпатський), які розміщувались на території України в часи Союзу Радянських Соціалістичних Республік (СРСР) до 1991 року. Крім того, Україні відійшли військові частини центрального підпорядкування Міністерства оборони (МО) СРСР. Аналіз статистичних даних розподілу угруповання окремих родів військ оперативного (бойового) забезпечення під час розпаду СРСР показав, що Україні дісталась друга за чисельністю сил та засобів частина.</w:t>
      </w:r>
    </w:p>
    <w:p w14:paraId="70FC5388"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lastRenderedPageBreak/>
        <w:t>Інженерні війська, як і спеціальні війська, були призначені для виконання завдань інженерного забезпечення бойових дій об’єднань, з’єднань та частин усіх видів ЗС України. Встановлено, що від Радянської армії інженерні війська ЗС України успадкували інженерні з’єднання, військові частини трьох загальновійськових, двох танкових армій та одного армійського корпусу трьох військових округів, армії протиповітряної оборони, чотирьох повітряних армій та ракетної армії, а також військові частини, установи та заклади підпорядкування МО СРСР.</w:t>
      </w:r>
    </w:p>
    <w:p w14:paraId="1B1D7B80"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Водночас комплект органів військового управління, з’єднань, військових частин та установ інженерних військ, що залишився на території України у спадок від Радянської армії відповідав потребам і завданням періоду “холодної війни” та планувався до застосування відповідно зі своїм призначенням. Зокрема, переправно-десантні, понтонно-мостові та дорожньо-мостові частини для форсування великих водних перешкод на Європейському театрі воєнних дій, а інженерно-саперні, штурму та розгородження для інженерного забезпечення прориву укріплених районів (вузлів) оборони, у тому числі подолання ядерних мінно-вибухових загороджень.</w:t>
      </w:r>
    </w:p>
    <w:p w14:paraId="551790FA"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Аналіз попередніх досліджень [1-3] показав, що інженерні війська ЗС України успадкували значні сили та засоби, що дозволило створити основу вітчизняних інженерних військ.</w:t>
      </w:r>
    </w:p>
    <w:p w14:paraId="0421987F"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spacing w:val="-4"/>
          <w:kern w:val="0"/>
          <w:sz w:val="28"/>
          <w:szCs w:val="28"/>
          <w:lang w:val="uk-UA"/>
          <w14:ligatures w14:val="none"/>
        </w:rPr>
      </w:pPr>
      <w:r w:rsidRPr="00B44B71">
        <w:rPr>
          <w:rFonts w:ascii="Times New Roman" w:eastAsia="Calibri" w:hAnsi="Times New Roman" w:cs="Times New Roman"/>
          <w:spacing w:val="-4"/>
          <w:kern w:val="0"/>
          <w:sz w:val="28"/>
          <w:szCs w:val="28"/>
          <w:lang w:val="uk-UA"/>
          <w14:ligatures w14:val="none"/>
        </w:rPr>
        <w:t xml:space="preserve">Великі запаси засобів інженерного озброєння (ЗІО) радянського виробництва задовольняли потреби ЗС України, у тому числі інженерних військ до початку 2000-х рр. Деякі зразки ЗІО хоча і є застарілими але і сьогодні знаходяться на озброєнні інженерних військ ЗС України. Запаси інженерних боєприпасів поста радянського періоду використовувалися під час встановлення мінно-вибухових загороджень (МВЗ) підрозділами інженерних військ ЗС України в антитерористичній операції (АТО), операції об’єднаних сил (ООС) в окремих районах Донецької та Луганської областей [1, 3]. </w:t>
      </w:r>
    </w:p>
    <w:p w14:paraId="17E3F32A"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На території Прикарпатського воєнного округу знаходились 36 тактичних ядерних інженерних фугасів, які призначалися для мінування Карпатського хребта та у 1992 році були передані збройним силам російської федерації. </w:t>
      </w:r>
    </w:p>
    <w:p w14:paraId="1EF4607C"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На підставі аналізу [1-4] особливостей організаційних змін складу інженерних військ ЗС України використано існуючу періодизацію їх створення та розвитку у продовж 1992–2018 рр., що включає два періоди та п’ять етапів. </w:t>
      </w:r>
    </w:p>
    <w:p w14:paraId="202640CD"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Під час першого періоду (1992–2014 рр.), а це мирний період, були створені основи та до 2005 р. розвивалися інженерні війська ЗС України. Після 2005 р. починається їх реформування, а насправді скорочення інженерних військ ЗС України.</w:t>
      </w:r>
    </w:p>
    <w:p w14:paraId="7690C472"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Другий період (2014–2018 рр.) – це період відновлення інженерних військ ЗС України в умовах ведення бойових дій під час їх участі в АТО [5].</w:t>
      </w:r>
    </w:p>
    <w:p w14:paraId="2ACD50A9"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spacing w:val="-2"/>
          <w:kern w:val="0"/>
          <w:sz w:val="28"/>
          <w:szCs w:val="28"/>
          <w:lang w:val="uk-UA"/>
          <w14:ligatures w14:val="none"/>
        </w:rPr>
      </w:pPr>
      <w:r w:rsidRPr="00B44B71">
        <w:rPr>
          <w:rFonts w:ascii="Times New Roman" w:eastAsia="Calibri" w:hAnsi="Times New Roman" w:cs="Times New Roman"/>
          <w:spacing w:val="-2"/>
          <w:kern w:val="0"/>
          <w:sz w:val="28"/>
          <w:szCs w:val="28"/>
          <w:lang w:val="uk-UA"/>
          <w14:ligatures w14:val="none"/>
        </w:rPr>
        <w:t xml:space="preserve">Встановлено, що особливістю першого мирного періоду було формування з’єднань, частин та установ на базі успадкованого угрупування інженерних військ Радянської армії (таблиця). Чисельність інженерних військ на території України станом на початок 1992 р. за даними [1-3] становила близько 30 тис. </w:t>
      </w:r>
      <w:r w:rsidRPr="00B44B71">
        <w:rPr>
          <w:rFonts w:ascii="Times New Roman" w:eastAsia="Calibri" w:hAnsi="Times New Roman" w:cs="Times New Roman"/>
          <w:spacing w:val="-2"/>
          <w:kern w:val="0"/>
          <w:sz w:val="28"/>
          <w:szCs w:val="28"/>
          <w:lang w:val="uk-UA"/>
          <w14:ligatures w14:val="none"/>
        </w:rPr>
        <w:lastRenderedPageBreak/>
        <w:t>посад, що складало 3,8 % від загальної чисельності ЗС України (780 тис.). В подальшому на фоні значного скорочення чисельності ЗС України встановлено такі тенденції реформування інженерних військ: оборонна достатність та економічна доцільність; збільшення частки бойових частин за рахунок зменшення частин забезпечення; збереження мінімальної кількості інженерних частин. Так чисельність інженерних військ на кінець 2005 р. зменшилась до           8 тис. посад, разом з тим їх частка від загальної чисельності ЗС України залишилася на рівні 3,3 % від загальної кількості посад ЗС України (245 тис.).</w:t>
      </w:r>
    </w:p>
    <w:p w14:paraId="219C37FE"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spacing w:val="-2"/>
          <w:kern w:val="0"/>
          <w:sz w:val="28"/>
          <w:szCs w:val="28"/>
          <w:lang w:val="uk-UA"/>
          <w14:ligatures w14:val="none"/>
        </w:rPr>
      </w:pPr>
    </w:p>
    <w:p w14:paraId="011CC187" w14:textId="77777777" w:rsidR="00B44B71" w:rsidRPr="00B44B71" w:rsidRDefault="00B44B71" w:rsidP="00023291">
      <w:pPr>
        <w:tabs>
          <w:tab w:val="left" w:pos="9638"/>
        </w:tabs>
        <w:spacing w:after="0" w:line="240" w:lineRule="auto"/>
        <w:ind w:left="-15" w:firstLine="15"/>
        <w:jc w:val="right"/>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Таблиця 1</w:t>
      </w:r>
    </w:p>
    <w:p w14:paraId="4738F8A3"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b/>
          <w:bCs/>
          <w:kern w:val="0"/>
          <w:sz w:val="28"/>
          <w:szCs w:val="28"/>
          <w:lang w:val="uk-UA"/>
          <w14:ligatures w14:val="none"/>
        </w:rPr>
      </w:pPr>
      <w:r w:rsidRPr="00B44B71">
        <w:rPr>
          <w:rFonts w:ascii="Times New Roman" w:eastAsia="Calibri" w:hAnsi="Times New Roman" w:cs="Times New Roman"/>
          <w:b/>
          <w:bCs/>
          <w:kern w:val="0"/>
          <w:sz w:val="28"/>
          <w:szCs w:val="28"/>
          <w:lang w:val="uk-UA"/>
          <w14:ligatures w14:val="none"/>
        </w:rPr>
        <w:t>Динаміка зміни складу інженерних військ ЗС України [1-3]</w:t>
      </w:r>
    </w:p>
    <w:tbl>
      <w:tblPr>
        <w:tblW w:w="9783" w:type="dxa"/>
        <w:tblCellMar>
          <w:left w:w="0" w:type="dxa"/>
          <w:right w:w="0" w:type="dxa"/>
        </w:tblCellMar>
        <w:tblLook w:val="0600" w:firstRow="0" w:lastRow="0" w:firstColumn="0" w:lastColumn="0" w:noHBand="1" w:noVBand="1"/>
      </w:tblPr>
      <w:tblGrid>
        <w:gridCol w:w="2553"/>
        <w:gridCol w:w="2409"/>
        <w:gridCol w:w="1278"/>
        <w:gridCol w:w="1842"/>
        <w:gridCol w:w="1701"/>
      </w:tblGrid>
      <w:tr w:rsidR="00B44B71" w:rsidRPr="00B44B71" w14:paraId="4670414F" w14:textId="77777777" w:rsidTr="00F918EC">
        <w:trPr>
          <w:trHeight w:val="199"/>
        </w:trPr>
        <w:tc>
          <w:tcPr>
            <w:tcW w:w="2553"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FA75F94"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Загальновійськові об’єднання, з’єднання, частини та підрозділи</w:t>
            </w:r>
          </w:p>
        </w:tc>
        <w:tc>
          <w:tcPr>
            <w:tcW w:w="2409"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30A9852" w14:textId="77777777" w:rsidR="00B44B71" w:rsidRPr="00B44B71" w:rsidRDefault="00B44B71" w:rsidP="00023291">
            <w:pPr>
              <w:tabs>
                <w:tab w:val="left" w:pos="9638"/>
              </w:tabs>
              <w:spacing w:after="0" w:line="240" w:lineRule="auto"/>
              <w:ind w:left="-15" w:firstLine="12"/>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Найменування інженерних з’єднань, частин та підрозділів</w:t>
            </w:r>
          </w:p>
        </w:tc>
        <w:tc>
          <w:tcPr>
            <w:tcW w:w="4821" w:type="dxa"/>
            <w:gridSpan w:val="3"/>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8823677" w14:textId="77777777" w:rsidR="00B44B71" w:rsidRPr="00B44B71" w:rsidRDefault="00B44B71" w:rsidP="00023291">
            <w:pPr>
              <w:tabs>
                <w:tab w:val="left" w:pos="9638"/>
              </w:tabs>
              <w:spacing w:after="0" w:line="240" w:lineRule="auto"/>
              <w:ind w:left="-15" w:firstLine="12"/>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Кількість інженерних:</w:t>
            </w:r>
          </w:p>
        </w:tc>
      </w:tr>
      <w:tr w:rsidR="00B44B71" w:rsidRPr="00B44B71" w14:paraId="0C53C4A5" w14:textId="77777777" w:rsidTr="00F918EC">
        <w:trPr>
          <w:trHeight w:val="36"/>
        </w:trPr>
        <w:tc>
          <w:tcPr>
            <w:tcW w:w="2553" w:type="dxa"/>
            <w:vMerge/>
            <w:tcBorders>
              <w:top w:val="single" w:sz="8" w:space="0" w:color="000000"/>
              <w:left w:val="single" w:sz="8" w:space="0" w:color="000000"/>
              <w:bottom w:val="single" w:sz="8" w:space="0" w:color="000000"/>
              <w:right w:val="single" w:sz="8" w:space="0" w:color="000000"/>
            </w:tcBorders>
            <w:vAlign w:val="center"/>
            <w:hideMark/>
          </w:tcPr>
          <w:p w14:paraId="5B864884" w14:textId="77777777" w:rsidR="00B44B71" w:rsidRPr="00B44B71" w:rsidRDefault="00B44B71" w:rsidP="00023291">
            <w:pPr>
              <w:tabs>
                <w:tab w:val="left" w:pos="9638"/>
              </w:tabs>
              <w:spacing w:after="0" w:line="240" w:lineRule="auto"/>
              <w:ind w:left="-15" w:firstLine="15"/>
              <w:jc w:val="both"/>
              <w:rPr>
                <w:rFonts w:ascii="Times New Roman" w:eastAsia="Calibri" w:hAnsi="Times New Roman" w:cs="Times New Roman"/>
                <w:kern w:val="0"/>
                <w:sz w:val="24"/>
                <w:szCs w:val="24"/>
                <w:lang w:val="uk-UA"/>
                <w14:ligatures w14:val="none"/>
              </w:rPr>
            </w:pPr>
          </w:p>
        </w:tc>
        <w:tc>
          <w:tcPr>
            <w:tcW w:w="2409" w:type="dxa"/>
            <w:vMerge/>
            <w:tcBorders>
              <w:top w:val="single" w:sz="8" w:space="0" w:color="000000"/>
              <w:left w:val="single" w:sz="8" w:space="0" w:color="000000"/>
              <w:bottom w:val="single" w:sz="8" w:space="0" w:color="000000"/>
              <w:right w:val="single" w:sz="8" w:space="0" w:color="000000"/>
            </w:tcBorders>
            <w:vAlign w:val="center"/>
            <w:hideMark/>
          </w:tcPr>
          <w:p w14:paraId="4998E178" w14:textId="77777777" w:rsidR="00B44B71" w:rsidRPr="00B44B71" w:rsidRDefault="00B44B71" w:rsidP="00023291">
            <w:pPr>
              <w:tabs>
                <w:tab w:val="left" w:pos="9638"/>
              </w:tabs>
              <w:spacing w:after="0" w:line="240" w:lineRule="auto"/>
              <w:ind w:left="-15" w:firstLine="12"/>
              <w:jc w:val="both"/>
              <w:rPr>
                <w:rFonts w:ascii="Times New Roman" w:eastAsia="Calibri" w:hAnsi="Times New Roman" w:cs="Times New Roman"/>
                <w:kern w:val="0"/>
                <w:sz w:val="24"/>
                <w:szCs w:val="24"/>
                <w:lang w:val="uk-UA"/>
                <w14:ligatures w14:val="none"/>
              </w:rPr>
            </w:pPr>
          </w:p>
        </w:tc>
        <w:tc>
          <w:tcPr>
            <w:tcW w:w="1278" w:type="dxa"/>
            <w:vMerge w:val="restart"/>
            <w:tcBorders>
              <w:top w:val="single" w:sz="8" w:space="0" w:color="000000"/>
              <w:left w:val="single" w:sz="8" w:space="0" w:color="000000"/>
              <w:bottom w:val="single" w:sz="8" w:space="0" w:color="000000"/>
              <w:right w:val="single" w:sz="8" w:space="0" w:color="000000"/>
            </w:tcBorders>
            <w:tcMar>
              <w:top w:w="72" w:type="dxa"/>
              <w:left w:w="57" w:type="dxa"/>
              <w:bottom w:w="72" w:type="dxa"/>
              <w:right w:w="57" w:type="dxa"/>
            </w:tcMar>
            <w:vAlign w:val="center"/>
            <w:hideMark/>
          </w:tcPr>
          <w:p w14:paraId="090E998E" w14:textId="77777777" w:rsidR="00B44B71" w:rsidRPr="00B44B71" w:rsidRDefault="00B44B71" w:rsidP="00023291">
            <w:pPr>
              <w:tabs>
                <w:tab w:val="left" w:pos="9638"/>
              </w:tabs>
              <w:spacing w:after="0" w:line="240" w:lineRule="auto"/>
              <w:ind w:left="-15" w:firstLine="12"/>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військових частин</w:t>
            </w:r>
          </w:p>
        </w:tc>
        <w:tc>
          <w:tcPr>
            <w:tcW w:w="3543" w:type="dxa"/>
            <w:gridSpan w:val="2"/>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02591B7" w14:textId="77777777" w:rsidR="00B44B71" w:rsidRPr="00B44B71" w:rsidRDefault="00B44B71" w:rsidP="00023291">
            <w:pPr>
              <w:tabs>
                <w:tab w:val="left" w:pos="9638"/>
              </w:tabs>
              <w:spacing w:after="0" w:line="240" w:lineRule="auto"/>
              <w:ind w:left="-15" w:firstLine="12"/>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підрозділів</w:t>
            </w:r>
          </w:p>
        </w:tc>
      </w:tr>
      <w:tr w:rsidR="00B44B71" w:rsidRPr="00B44B71" w14:paraId="4FD2CB07" w14:textId="77777777" w:rsidTr="00F918EC">
        <w:trPr>
          <w:trHeight w:val="134"/>
        </w:trPr>
        <w:tc>
          <w:tcPr>
            <w:tcW w:w="2553" w:type="dxa"/>
            <w:vMerge/>
            <w:tcBorders>
              <w:top w:val="single" w:sz="8" w:space="0" w:color="000000"/>
              <w:left w:val="single" w:sz="8" w:space="0" w:color="000000"/>
              <w:bottom w:val="single" w:sz="8" w:space="0" w:color="000000"/>
              <w:right w:val="single" w:sz="8" w:space="0" w:color="000000"/>
            </w:tcBorders>
            <w:vAlign w:val="center"/>
            <w:hideMark/>
          </w:tcPr>
          <w:p w14:paraId="04AB9309" w14:textId="77777777" w:rsidR="00B44B71" w:rsidRPr="00B44B71" w:rsidRDefault="00B44B71" w:rsidP="00023291">
            <w:pPr>
              <w:tabs>
                <w:tab w:val="left" w:pos="9638"/>
              </w:tabs>
              <w:spacing w:after="0" w:line="240" w:lineRule="auto"/>
              <w:ind w:left="-15" w:firstLine="15"/>
              <w:jc w:val="both"/>
              <w:rPr>
                <w:rFonts w:ascii="Times New Roman" w:eastAsia="Calibri" w:hAnsi="Times New Roman" w:cs="Times New Roman"/>
                <w:kern w:val="0"/>
                <w:sz w:val="24"/>
                <w:szCs w:val="24"/>
                <w:lang w:val="uk-UA"/>
                <w14:ligatures w14:val="none"/>
              </w:rPr>
            </w:pPr>
          </w:p>
        </w:tc>
        <w:tc>
          <w:tcPr>
            <w:tcW w:w="2409" w:type="dxa"/>
            <w:vMerge/>
            <w:tcBorders>
              <w:top w:val="single" w:sz="8" w:space="0" w:color="000000"/>
              <w:left w:val="single" w:sz="8" w:space="0" w:color="000000"/>
              <w:bottom w:val="single" w:sz="8" w:space="0" w:color="000000"/>
              <w:right w:val="single" w:sz="8" w:space="0" w:color="000000"/>
            </w:tcBorders>
            <w:vAlign w:val="center"/>
            <w:hideMark/>
          </w:tcPr>
          <w:p w14:paraId="45347060" w14:textId="77777777" w:rsidR="00B44B71" w:rsidRPr="00B44B71" w:rsidRDefault="00B44B71" w:rsidP="00023291">
            <w:pPr>
              <w:tabs>
                <w:tab w:val="left" w:pos="9638"/>
              </w:tabs>
              <w:spacing w:after="0" w:line="240" w:lineRule="auto"/>
              <w:ind w:left="-15" w:firstLine="12"/>
              <w:jc w:val="both"/>
              <w:rPr>
                <w:rFonts w:ascii="Times New Roman" w:eastAsia="Calibri" w:hAnsi="Times New Roman" w:cs="Times New Roman"/>
                <w:kern w:val="0"/>
                <w:sz w:val="24"/>
                <w:szCs w:val="24"/>
                <w:lang w:val="uk-UA"/>
                <w14:ligatures w14:val="none"/>
              </w:rPr>
            </w:pPr>
          </w:p>
        </w:tc>
        <w:tc>
          <w:tcPr>
            <w:tcW w:w="1278" w:type="dxa"/>
            <w:vMerge/>
            <w:tcBorders>
              <w:top w:val="single" w:sz="8" w:space="0" w:color="000000"/>
              <w:left w:val="single" w:sz="8" w:space="0" w:color="000000"/>
              <w:bottom w:val="single" w:sz="8" w:space="0" w:color="000000"/>
              <w:right w:val="single" w:sz="8" w:space="0" w:color="000000"/>
            </w:tcBorders>
            <w:vAlign w:val="center"/>
            <w:hideMark/>
          </w:tcPr>
          <w:p w14:paraId="07C7DDE2" w14:textId="77777777" w:rsidR="00B44B71" w:rsidRPr="00B44B71" w:rsidRDefault="00B44B71" w:rsidP="00023291">
            <w:pPr>
              <w:tabs>
                <w:tab w:val="left" w:pos="9638"/>
              </w:tabs>
              <w:spacing w:after="0" w:line="240" w:lineRule="auto"/>
              <w:ind w:left="-15" w:firstLine="12"/>
              <w:jc w:val="center"/>
              <w:rPr>
                <w:rFonts w:ascii="Times New Roman" w:eastAsia="Calibri" w:hAnsi="Times New Roman" w:cs="Times New Roman"/>
                <w:kern w:val="0"/>
                <w:sz w:val="24"/>
                <w:szCs w:val="24"/>
                <w:lang w:val="uk-UA"/>
                <w14:ligatures w14:val="none"/>
              </w:rPr>
            </w:pPr>
          </w:p>
        </w:tc>
        <w:tc>
          <w:tcPr>
            <w:tcW w:w="18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997D3C3" w14:textId="77777777" w:rsidR="00B44B71" w:rsidRPr="00B44B71" w:rsidRDefault="00B44B71" w:rsidP="00023291">
            <w:pPr>
              <w:tabs>
                <w:tab w:val="left" w:pos="9638"/>
              </w:tabs>
              <w:spacing w:after="0" w:line="240" w:lineRule="auto"/>
              <w:ind w:left="-15" w:firstLine="12"/>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батальйонів</w:t>
            </w:r>
          </w:p>
        </w:tc>
        <w:tc>
          <w:tcPr>
            <w:tcW w:w="170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0A39D34" w14:textId="77777777" w:rsidR="00B44B71" w:rsidRPr="00B44B71" w:rsidRDefault="00B44B71" w:rsidP="00023291">
            <w:pPr>
              <w:tabs>
                <w:tab w:val="left" w:pos="9638"/>
              </w:tabs>
              <w:spacing w:after="0" w:line="240" w:lineRule="auto"/>
              <w:ind w:left="-15" w:firstLine="12"/>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рот</w:t>
            </w:r>
          </w:p>
        </w:tc>
      </w:tr>
      <w:tr w:rsidR="00B44B71" w:rsidRPr="00B44B71" w14:paraId="3F987EB0" w14:textId="77777777" w:rsidTr="00F918EC">
        <w:trPr>
          <w:trHeight w:val="24"/>
        </w:trPr>
        <w:tc>
          <w:tcPr>
            <w:tcW w:w="9783" w:type="dxa"/>
            <w:gridSpan w:val="5"/>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4C39E30"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iCs/>
                <w:kern w:val="0"/>
                <w:sz w:val="24"/>
                <w:szCs w:val="24"/>
                <w:lang w:val="uk-UA"/>
                <w14:ligatures w14:val="none"/>
              </w:rPr>
              <w:t>199</w:t>
            </w:r>
            <w:r w:rsidRPr="00B44B71">
              <w:rPr>
                <w:rFonts w:ascii="Times New Roman" w:eastAsia="Calibri" w:hAnsi="Times New Roman" w:cs="Times New Roman"/>
                <w:iCs/>
                <w:kern w:val="0"/>
                <w:sz w:val="24"/>
                <w:szCs w:val="24"/>
                <w:lang w:val="ru-RU"/>
                <w14:ligatures w14:val="none"/>
              </w:rPr>
              <w:t>1</w:t>
            </w:r>
            <w:r w:rsidRPr="00B44B71">
              <w:rPr>
                <w:rFonts w:ascii="Times New Roman" w:eastAsia="Calibri" w:hAnsi="Times New Roman" w:cs="Times New Roman"/>
                <w:iCs/>
                <w:kern w:val="0"/>
                <w:sz w:val="24"/>
                <w:szCs w:val="24"/>
                <w:lang w:val="uk-UA"/>
                <w14:ligatures w14:val="none"/>
              </w:rPr>
              <w:t>-2000 роки</w:t>
            </w:r>
          </w:p>
        </w:tc>
      </w:tr>
      <w:tr w:rsidR="00B44B71" w:rsidRPr="00B44B71" w14:paraId="3B2523E7" w14:textId="77777777" w:rsidTr="00F918EC">
        <w:trPr>
          <w:trHeight w:val="157"/>
        </w:trPr>
        <w:tc>
          <w:tcPr>
            <w:tcW w:w="2553" w:type="dxa"/>
            <w:vMerge w:val="restart"/>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8410B50" w14:textId="77777777" w:rsidR="00B44B71" w:rsidRPr="00B44B71" w:rsidRDefault="00B44B71" w:rsidP="00023291">
            <w:pPr>
              <w:tabs>
                <w:tab w:val="left" w:pos="9638"/>
              </w:tabs>
              <w:spacing w:after="0" w:line="240" w:lineRule="auto"/>
              <w:ind w:left="-15" w:firstLine="15"/>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Військовий округ</w:t>
            </w:r>
          </w:p>
        </w:tc>
        <w:tc>
          <w:tcPr>
            <w:tcW w:w="24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25BF30C"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iCs/>
                <w:kern w:val="0"/>
                <w:sz w:val="24"/>
                <w:szCs w:val="24"/>
                <w:lang w:val="uk-UA"/>
                <w14:ligatures w14:val="none"/>
              </w:rPr>
              <w:t>ісбр/ помбр</w:t>
            </w:r>
          </w:p>
        </w:tc>
        <w:tc>
          <w:tcPr>
            <w:tcW w:w="127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C87FE49"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5/3</w:t>
            </w:r>
          </w:p>
        </w:tc>
        <w:tc>
          <w:tcPr>
            <w:tcW w:w="18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832F1B6"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w:t>
            </w:r>
          </w:p>
        </w:tc>
        <w:tc>
          <w:tcPr>
            <w:tcW w:w="170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56FBFFD"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16/8</w:t>
            </w:r>
          </w:p>
        </w:tc>
      </w:tr>
      <w:tr w:rsidR="00B44B71" w:rsidRPr="00B44B71" w14:paraId="5B2AFEC7" w14:textId="77777777" w:rsidTr="00F918EC">
        <w:trPr>
          <w:trHeight w:val="132"/>
        </w:trPr>
        <w:tc>
          <w:tcPr>
            <w:tcW w:w="2553" w:type="dxa"/>
            <w:vMerge/>
            <w:tcBorders>
              <w:top w:val="single" w:sz="8" w:space="0" w:color="000000"/>
              <w:left w:val="single" w:sz="8" w:space="0" w:color="000000"/>
              <w:bottom w:val="single" w:sz="8" w:space="0" w:color="000000"/>
              <w:right w:val="single" w:sz="8" w:space="0" w:color="000000"/>
            </w:tcBorders>
            <w:vAlign w:val="center"/>
            <w:hideMark/>
          </w:tcPr>
          <w:p w14:paraId="1ADF2A57" w14:textId="77777777" w:rsidR="00B44B71" w:rsidRPr="00B44B71" w:rsidRDefault="00B44B71" w:rsidP="00023291">
            <w:pPr>
              <w:tabs>
                <w:tab w:val="left" w:pos="9638"/>
              </w:tabs>
              <w:spacing w:after="0" w:line="240" w:lineRule="auto"/>
              <w:ind w:left="-15" w:firstLine="15"/>
              <w:jc w:val="both"/>
              <w:rPr>
                <w:rFonts w:ascii="Times New Roman" w:eastAsia="Calibri" w:hAnsi="Times New Roman" w:cs="Times New Roman"/>
                <w:kern w:val="0"/>
                <w:sz w:val="24"/>
                <w:szCs w:val="24"/>
                <w:lang w:val="uk-UA"/>
                <w14:ligatures w14:val="none"/>
              </w:rPr>
            </w:pPr>
          </w:p>
        </w:tc>
        <w:tc>
          <w:tcPr>
            <w:tcW w:w="24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E6801C6"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iCs/>
                <w:kern w:val="0"/>
                <w:sz w:val="24"/>
                <w:szCs w:val="24"/>
                <w:lang w:val="uk-UA"/>
                <w14:ligatures w14:val="none"/>
              </w:rPr>
              <w:t>ідмп/ітп/ імасб</w:t>
            </w:r>
          </w:p>
        </w:tc>
        <w:tc>
          <w:tcPr>
            <w:tcW w:w="127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71915A4"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4/2/3</w:t>
            </w:r>
          </w:p>
        </w:tc>
        <w:tc>
          <w:tcPr>
            <w:tcW w:w="18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8603994"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w:t>
            </w:r>
          </w:p>
        </w:tc>
        <w:tc>
          <w:tcPr>
            <w:tcW w:w="170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E8DA620"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12/7/9</w:t>
            </w:r>
          </w:p>
        </w:tc>
      </w:tr>
      <w:tr w:rsidR="00B44B71" w:rsidRPr="00B44B71" w14:paraId="62E5D630" w14:textId="77777777" w:rsidTr="00F918EC">
        <w:trPr>
          <w:trHeight w:val="24"/>
        </w:trPr>
        <w:tc>
          <w:tcPr>
            <w:tcW w:w="25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B7CFA60" w14:textId="77777777" w:rsidR="00B44B71" w:rsidRPr="00B44B71" w:rsidRDefault="00B44B71" w:rsidP="00023291">
            <w:pPr>
              <w:tabs>
                <w:tab w:val="left" w:pos="9638"/>
              </w:tabs>
              <w:spacing w:after="0" w:line="240" w:lineRule="auto"/>
              <w:ind w:left="-15" w:firstLine="15"/>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Армія</w:t>
            </w:r>
          </w:p>
        </w:tc>
        <w:tc>
          <w:tcPr>
            <w:tcW w:w="24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49E05CD"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iCs/>
                <w:kern w:val="0"/>
                <w:sz w:val="24"/>
                <w:szCs w:val="24"/>
                <w:lang w:val="uk-UA"/>
                <w14:ligatures w14:val="none"/>
              </w:rPr>
              <w:t>ісбр/ ідмп помп/ітп</w:t>
            </w:r>
          </w:p>
        </w:tc>
        <w:tc>
          <w:tcPr>
            <w:tcW w:w="127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D51438A"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5/4/3/2</w:t>
            </w:r>
          </w:p>
        </w:tc>
        <w:tc>
          <w:tcPr>
            <w:tcW w:w="18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198FC92"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w:t>
            </w:r>
          </w:p>
        </w:tc>
        <w:tc>
          <w:tcPr>
            <w:tcW w:w="170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51E350C"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16/12/8/7</w:t>
            </w:r>
          </w:p>
        </w:tc>
      </w:tr>
      <w:tr w:rsidR="00B44B71" w:rsidRPr="00B44B71" w14:paraId="2C7F130E" w14:textId="77777777" w:rsidTr="00F918EC">
        <w:trPr>
          <w:trHeight w:val="24"/>
        </w:trPr>
        <w:tc>
          <w:tcPr>
            <w:tcW w:w="25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656DE8F" w14:textId="77777777" w:rsidR="00B44B71" w:rsidRPr="00B44B71" w:rsidRDefault="00B44B71" w:rsidP="00023291">
            <w:pPr>
              <w:tabs>
                <w:tab w:val="left" w:pos="9638"/>
              </w:tabs>
              <w:spacing w:after="0" w:line="240" w:lineRule="auto"/>
              <w:ind w:left="-15" w:firstLine="15"/>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мд (тд)/ мп (тп)</w:t>
            </w:r>
          </w:p>
        </w:tc>
        <w:tc>
          <w:tcPr>
            <w:tcW w:w="24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DA4D5BC"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iCs/>
                <w:kern w:val="0"/>
                <w:sz w:val="24"/>
                <w:szCs w:val="24"/>
                <w:lang w:val="uk-UA"/>
                <w14:ligatures w14:val="none"/>
              </w:rPr>
              <w:t>оісб/іср</w:t>
            </w:r>
          </w:p>
        </w:tc>
        <w:tc>
          <w:tcPr>
            <w:tcW w:w="127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7A87991"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1/-</w:t>
            </w:r>
          </w:p>
        </w:tc>
        <w:tc>
          <w:tcPr>
            <w:tcW w:w="18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54C9BA6"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w:t>
            </w:r>
          </w:p>
        </w:tc>
        <w:tc>
          <w:tcPr>
            <w:tcW w:w="170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6FBFF54"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5/1</w:t>
            </w:r>
          </w:p>
        </w:tc>
      </w:tr>
      <w:tr w:rsidR="00B44B71" w:rsidRPr="00B44B71" w14:paraId="69E9DB83" w14:textId="77777777" w:rsidTr="00F918EC">
        <w:trPr>
          <w:trHeight w:val="62"/>
        </w:trPr>
        <w:tc>
          <w:tcPr>
            <w:tcW w:w="25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20ADC40" w14:textId="77777777" w:rsidR="00B44B71" w:rsidRPr="00B44B71" w:rsidRDefault="00B44B71" w:rsidP="00023291">
            <w:pPr>
              <w:tabs>
                <w:tab w:val="left" w:pos="9638"/>
              </w:tabs>
              <w:spacing w:after="0" w:line="240" w:lineRule="auto"/>
              <w:ind w:left="-15" w:firstLine="15"/>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Всього</w:t>
            </w:r>
          </w:p>
        </w:tc>
        <w:tc>
          <w:tcPr>
            <w:tcW w:w="24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5B046C3"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11</w:t>
            </w:r>
          </w:p>
        </w:tc>
        <w:tc>
          <w:tcPr>
            <w:tcW w:w="127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6977391"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32</w:t>
            </w:r>
          </w:p>
        </w:tc>
        <w:tc>
          <w:tcPr>
            <w:tcW w:w="18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B395B84"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w:t>
            </w:r>
          </w:p>
        </w:tc>
        <w:tc>
          <w:tcPr>
            <w:tcW w:w="170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278A8A1"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101</w:t>
            </w:r>
          </w:p>
        </w:tc>
      </w:tr>
      <w:tr w:rsidR="00B44B71" w:rsidRPr="00B44B71" w14:paraId="007A3878" w14:textId="77777777" w:rsidTr="00F918EC">
        <w:trPr>
          <w:trHeight w:val="40"/>
        </w:trPr>
        <w:tc>
          <w:tcPr>
            <w:tcW w:w="9783" w:type="dxa"/>
            <w:gridSpan w:val="5"/>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B97252E"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iCs/>
                <w:kern w:val="0"/>
                <w:sz w:val="24"/>
                <w:szCs w:val="24"/>
                <w:lang w:val="uk-UA"/>
                <w14:ligatures w14:val="none"/>
              </w:rPr>
              <w:t>2000-2003 роки</w:t>
            </w:r>
          </w:p>
        </w:tc>
      </w:tr>
      <w:tr w:rsidR="00B44B71" w:rsidRPr="00B44B71" w14:paraId="4132CE9F" w14:textId="77777777" w:rsidTr="00F918EC">
        <w:trPr>
          <w:trHeight w:val="175"/>
        </w:trPr>
        <w:tc>
          <w:tcPr>
            <w:tcW w:w="25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BD51681" w14:textId="77777777" w:rsidR="00B44B71" w:rsidRPr="00B44B71" w:rsidRDefault="00B44B71" w:rsidP="00023291">
            <w:pPr>
              <w:tabs>
                <w:tab w:val="left" w:pos="9638"/>
              </w:tabs>
              <w:spacing w:after="0" w:line="240" w:lineRule="auto"/>
              <w:ind w:left="-15" w:firstLine="15"/>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ОК</w:t>
            </w:r>
          </w:p>
        </w:tc>
        <w:tc>
          <w:tcPr>
            <w:tcW w:w="24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8CD3492"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iCs/>
                <w:kern w:val="0"/>
                <w:sz w:val="24"/>
                <w:szCs w:val="24"/>
                <w:lang w:val="uk-UA"/>
                <w14:ligatures w14:val="none"/>
              </w:rPr>
              <w:t>ібр/ісбр/помбр</w:t>
            </w:r>
          </w:p>
        </w:tc>
        <w:tc>
          <w:tcPr>
            <w:tcW w:w="127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366A506" w14:textId="77777777" w:rsidR="00B44B71" w:rsidRPr="00B44B71" w:rsidRDefault="00B44B71" w:rsidP="00023291">
            <w:pPr>
              <w:tabs>
                <w:tab w:val="left" w:pos="9638"/>
              </w:tabs>
              <w:spacing w:after="0" w:line="240" w:lineRule="auto"/>
              <w:ind w:left="-15" w:firstLine="9"/>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7/5/1</w:t>
            </w:r>
          </w:p>
        </w:tc>
        <w:tc>
          <w:tcPr>
            <w:tcW w:w="18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3D5A4CE"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5</w:t>
            </w:r>
          </w:p>
        </w:tc>
        <w:tc>
          <w:tcPr>
            <w:tcW w:w="170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6205392" w14:textId="77777777" w:rsidR="00B44B71" w:rsidRPr="00B44B71" w:rsidRDefault="00B44B71" w:rsidP="00023291">
            <w:pPr>
              <w:tabs>
                <w:tab w:val="left" w:pos="9638"/>
              </w:tabs>
              <w:spacing w:after="0" w:line="240" w:lineRule="auto"/>
              <w:ind w:left="-15" w:firstLine="7"/>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20/16/14</w:t>
            </w:r>
          </w:p>
        </w:tc>
      </w:tr>
      <w:tr w:rsidR="00B44B71" w:rsidRPr="00B44B71" w14:paraId="7761FF98" w14:textId="77777777" w:rsidTr="00F918EC">
        <w:trPr>
          <w:trHeight w:val="24"/>
        </w:trPr>
        <w:tc>
          <w:tcPr>
            <w:tcW w:w="25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52D87A5" w14:textId="77777777" w:rsidR="00B44B71" w:rsidRPr="00B44B71" w:rsidRDefault="00B44B71" w:rsidP="00023291">
            <w:pPr>
              <w:tabs>
                <w:tab w:val="left" w:pos="9638"/>
              </w:tabs>
              <w:spacing w:after="0" w:line="240" w:lineRule="auto"/>
              <w:ind w:left="-15" w:firstLine="15"/>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АК</w:t>
            </w:r>
          </w:p>
        </w:tc>
        <w:tc>
          <w:tcPr>
            <w:tcW w:w="24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EB9B5A2"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iCs/>
                <w:kern w:val="0"/>
                <w:sz w:val="24"/>
                <w:szCs w:val="24"/>
                <w:lang w:val="uk-UA"/>
                <w14:ligatures w14:val="none"/>
              </w:rPr>
              <w:t>ібр/ ісбр</w:t>
            </w:r>
          </w:p>
        </w:tc>
        <w:tc>
          <w:tcPr>
            <w:tcW w:w="127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579E8E2" w14:textId="77777777" w:rsidR="00B44B71" w:rsidRPr="00B44B71" w:rsidRDefault="00B44B71" w:rsidP="00023291">
            <w:pPr>
              <w:tabs>
                <w:tab w:val="left" w:pos="9638"/>
              </w:tabs>
              <w:spacing w:after="0" w:line="240" w:lineRule="auto"/>
              <w:ind w:left="-15" w:firstLine="9"/>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5/5</w:t>
            </w:r>
          </w:p>
        </w:tc>
        <w:tc>
          <w:tcPr>
            <w:tcW w:w="18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0E8088E"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w:t>
            </w:r>
          </w:p>
        </w:tc>
        <w:tc>
          <w:tcPr>
            <w:tcW w:w="170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09D235A" w14:textId="77777777" w:rsidR="00B44B71" w:rsidRPr="00B44B71" w:rsidRDefault="00B44B71" w:rsidP="00023291">
            <w:pPr>
              <w:tabs>
                <w:tab w:val="left" w:pos="9638"/>
              </w:tabs>
              <w:spacing w:after="0" w:line="240" w:lineRule="auto"/>
              <w:ind w:left="-15" w:firstLine="7"/>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18/16</w:t>
            </w:r>
          </w:p>
        </w:tc>
      </w:tr>
      <w:tr w:rsidR="00B44B71" w:rsidRPr="00B44B71" w14:paraId="4681EDC4" w14:textId="77777777" w:rsidTr="00F918EC">
        <w:trPr>
          <w:trHeight w:val="24"/>
        </w:trPr>
        <w:tc>
          <w:tcPr>
            <w:tcW w:w="25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5976A80" w14:textId="77777777" w:rsidR="00B44B71" w:rsidRPr="00B44B71" w:rsidRDefault="00B44B71" w:rsidP="00023291">
            <w:pPr>
              <w:tabs>
                <w:tab w:val="left" w:pos="9638"/>
              </w:tabs>
              <w:spacing w:after="0" w:line="240" w:lineRule="auto"/>
              <w:ind w:left="-15" w:firstLine="15"/>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омбр/мб</w:t>
            </w:r>
          </w:p>
        </w:tc>
        <w:tc>
          <w:tcPr>
            <w:tcW w:w="24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CDD62C8"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iCs/>
                <w:kern w:val="0"/>
                <w:sz w:val="24"/>
                <w:szCs w:val="24"/>
                <w:lang w:val="uk-UA"/>
                <w14:ligatures w14:val="none"/>
              </w:rPr>
              <w:t>гіз/ісв</w:t>
            </w:r>
          </w:p>
        </w:tc>
        <w:tc>
          <w:tcPr>
            <w:tcW w:w="127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423418F" w14:textId="77777777" w:rsidR="00B44B71" w:rsidRPr="00B44B71" w:rsidRDefault="00B44B71" w:rsidP="00023291">
            <w:pPr>
              <w:tabs>
                <w:tab w:val="left" w:pos="9638"/>
              </w:tabs>
              <w:spacing w:after="0" w:line="240" w:lineRule="auto"/>
              <w:ind w:left="-15" w:firstLine="9"/>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w:t>
            </w:r>
          </w:p>
        </w:tc>
        <w:tc>
          <w:tcPr>
            <w:tcW w:w="18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796FFEB"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1</w:t>
            </w:r>
          </w:p>
        </w:tc>
        <w:tc>
          <w:tcPr>
            <w:tcW w:w="170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6E47C50" w14:textId="77777777" w:rsidR="00B44B71" w:rsidRPr="00B44B71" w:rsidRDefault="00B44B71" w:rsidP="00023291">
            <w:pPr>
              <w:tabs>
                <w:tab w:val="left" w:pos="9638"/>
              </w:tabs>
              <w:spacing w:after="0" w:line="240" w:lineRule="auto"/>
              <w:ind w:left="-15" w:firstLine="7"/>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2 / 0,5</w:t>
            </w:r>
          </w:p>
        </w:tc>
      </w:tr>
      <w:tr w:rsidR="00B44B71" w:rsidRPr="00B44B71" w14:paraId="2BB70079" w14:textId="77777777" w:rsidTr="00F918EC">
        <w:trPr>
          <w:trHeight w:val="24"/>
        </w:trPr>
        <w:tc>
          <w:tcPr>
            <w:tcW w:w="25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18B56D7" w14:textId="77777777" w:rsidR="00B44B71" w:rsidRPr="00B44B71" w:rsidRDefault="00B44B71" w:rsidP="00023291">
            <w:pPr>
              <w:tabs>
                <w:tab w:val="left" w:pos="9638"/>
              </w:tabs>
              <w:spacing w:after="0" w:line="240" w:lineRule="auto"/>
              <w:ind w:left="-15" w:firstLine="15"/>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Всього</w:t>
            </w:r>
          </w:p>
        </w:tc>
        <w:tc>
          <w:tcPr>
            <w:tcW w:w="24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98F3964"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7</w:t>
            </w:r>
          </w:p>
        </w:tc>
        <w:tc>
          <w:tcPr>
            <w:tcW w:w="127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6998F83" w14:textId="77777777" w:rsidR="00B44B71" w:rsidRPr="00B44B71" w:rsidRDefault="00B44B71" w:rsidP="00023291">
            <w:pPr>
              <w:tabs>
                <w:tab w:val="left" w:pos="9638"/>
              </w:tabs>
              <w:spacing w:after="0" w:line="240" w:lineRule="auto"/>
              <w:ind w:left="-15" w:firstLine="9"/>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23</w:t>
            </w:r>
          </w:p>
        </w:tc>
        <w:tc>
          <w:tcPr>
            <w:tcW w:w="18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C238642"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6</w:t>
            </w:r>
          </w:p>
        </w:tc>
        <w:tc>
          <w:tcPr>
            <w:tcW w:w="170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9E25A81" w14:textId="77777777" w:rsidR="00B44B71" w:rsidRPr="00B44B71" w:rsidRDefault="00B44B71" w:rsidP="00023291">
            <w:pPr>
              <w:tabs>
                <w:tab w:val="left" w:pos="9638"/>
              </w:tabs>
              <w:spacing w:after="0" w:line="240" w:lineRule="auto"/>
              <w:ind w:left="-15" w:firstLine="7"/>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86,5</w:t>
            </w:r>
          </w:p>
        </w:tc>
      </w:tr>
      <w:tr w:rsidR="00B44B71" w:rsidRPr="00B44B71" w14:paraId="7B3B3FD7" w14:textId="77777777" w:rsidTr="00F918EC">
        <w:trPr>
          <w:trHeight w:val="24"/>
        </w:trPr>
        <w:tc>
          <w:tcPr>
            <w:tcW w:w="9783" w:type="dxa"/>
            <w:gridSpan w:val="5"/>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699F43B"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iCs/>
                <w:kern w:val="0"/>
                <w:sz w:val="24"/>
                <w:szCs w:val="24"/>
                <w:lang w:val="uk-UA"/>
                <w14:ligatures w14:val="none"/>
              </w:rPr>
              <w:t>2003-2013 роки</w:t>
            </w:r>
          </w:p>
        </w:tc>
      </w:tr>
      <w:tr w:rsidR="00B44B71" w:rsidRPr="00B44B71" w14:paraId="7E196FC6" w14:textId="77777777" w:rsidTr="00F918EC">
        <w:trPr>
          <w:trHeight w:val="24"/>
        </w:trPr>
        <w:tc>
          <w:tcPr>
            <w:tcW w:w="25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B0D1517" w14:textId="77777777" w:rsidR="00B44B71" w:rsidRPr="00B44B71" w:rsidRDefault="00B44B71" w:rsidP="00023291">
            <w:pPr>
              <w:tabs>
                <w:tab w:val="left" w:pos="9638"/>
              </w:tabs>
              <w:spacing w:after="0" w:line="240" w:lineRule="auto"/>
              <w:ind w:left="-15" w:firstLine="15"/>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ОК </w:t>
            </w:r>
          </w:p>
        </w:tc>
        <w:tc>
          <w:tcPr>
            <w:tcW w:w="24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2FEEE21B"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iCs/>
                <w:kern w:val="0"/>
                <w:sz w:val="24"/>
                <w:szCs w:val="24"/>
                <w:lang w:val="uk-UA"/>
                <w14:ligatures w14:val="none"/>
              </w:rPr>
              <w:t>ісб</w:t>
            </w:r>
          </w:p>
        </w:tc>
        <w:tc>
          <w:tcPr>
            <w:tcW w:w="127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7A64FBF9" w14:textId="77777777" w:rsidR="00B44B71" w:rsidRPr="00B44B71" w:rsidRDefault="00B44B71" w:rsidP="00023291">
            <w:pPr>
              <w:tabs>
                <w:tab w:val="left" w:pos="9638"/>
              </w:tabs>
              <w:spacing w:after="0" w:line="240" w:lineRule="auto"/>
              <w:ind w:left="-15" w:firstLine="9"/>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1</w:t>
            </w:r>
          </w:p>
        </w:tc>
        <w:tc>
          <w:tcPr>
            <w:tcW w:w="18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F237B51" w14:textId="77777777" w:rsidR="00B44B71" w:rsidRPr="00B44B71" w:rsidRDefault="00B44B71" w:rsidP="00023291">
            <w:pPr>
              <w:tabs>
                <w:tab w:val="left" w:pos="9638"/>
              </w:tabs>
              <w:spacing w:after="0" w:line="240" w:lineRule="auto"/>
              <w:ind w:left="-15" w:firstLine="9"/>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w:t>
            </w:r>
          </w:p>
        </w:tc>
        <w:tc>
          <w:tcPr>
            <w:tcW w:w="170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F3E8FA4" w14:textId="77777777" w:rsidR="00B44B71" w:rsidRPr="00B44B71" w:rsidRDefault="00B44B71" w:rsidP="00023291">
            <w:pPr>
              <w:tabs>
                <w:tab w:val="left" w:pos="9638"/>
              </w:tabs>
              <w:spacing w:after="0" w:line="240" w:lineRule="auto"/>
              <w:ind w:left="-15" w:firstLine="9"/>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3</w:t>
            </w:r>
          </w:p>
        </w:tc>
      </w:tr>
      <w:tr w:rsidR="00B44B71" w:rsidRPr="00B44B71" w14:paraId="0C7A19BB" w14:textId="77777777" w:rsidTr="00F918EC">
        <w:trPr>
          <w:trHeight w:val="24"/>
        </w:trPr>
        <w:tc>
          <w:tcPr>
            <w:tcW w:w="25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0E20008" w14:textId="77777777" w:rsidR="00B44B71" w:rsidRPr="00B44B71" w:rsidRDefault="00B44B71" w:rsidP="00023291">
            <w:pPr>
              <w:tabs>
                <w:tab w:val="left" w:pos="9638"/>
              </w:tabs>
              <w:spacing w:after="0" w:line="240" w:lineRule="auto"/>
              <w:ind w:left="-15" w:firstLine="15"/>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АК</w:t>
            </w:r>
          </w:p>
        </w:tc>
        <w:tc>
          <w:tcPr>
            <w:tcW w:w="24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9280B8B"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iCs/>
                <w:kern w:val="0"/>
                <w:sz w:val="24"/>
                <w:szCs w:val="24"/>
                <w:lang w:val="uk-UA"/>
                <w14:ligatures w14:val="none"/>
              </w:rPr>
              <w:t>іп</w:t>
            </w:r>
          </w:p>
        </w:tc>
        <w:tc>
          <w:tcPr>
            <w:tcW w:w="127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04FCF21" w14:textId="77777777" w:rsidR="00B44B71" w:rsidRPr="00B44B71" w:rsidRDefault="00B44B71" w:rsidP="00023291">
            <w:pPr>
              <w:tabs>
                <w:tab w:val="left" w:pos="9638"/>
              </w:tabs>
              <w:spacing w:after="0" w:line="240" w:lineRule="auto"/>
              <w:ind w:left="-15" w:firstLine="9"/>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1</w:t>
            </w:r>
          </w:p>
        </w:tc>
        <w:tc>
          <w:tcPr>
            <w:tcW w:w="18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0C9F396" w14:textId="77777777" w:rsidR="00B44B71" w:rsidRPr="00B44B71" w:rsidRDefault="00B44B71" w:rsidP="00023291">
            <w:pPr>
              <w:tabs>
                <w:tab w:val="left" w:pos="9638"/>
              </w:tabs>
              <w:spacing w:after="0" w:line="240" w:lineRule="auto"/>
              <w:ind w:left="-15" w:firstLine="9"/>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5</w:t>
            </w:r>
          </w:p>
        </w:tc>
        <w:tc>
          <w:tcPr>
            <w:tcW w:w="170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E92B015" w14:textId="77777777" w:rsidR="00B44B71" w:rsidRPr="00B44B71" w:rsidRDefault="00B44B71" w:rsidP="00023291">
            <w:pPr>
              <w:tabs>
                <w:tab w:val="left" w:pos="9638"/>
              </w:tabs>
              <w:spacing w:after="0" w:line="240" w:lineRule="auto"/>
              <w:ind w:left="-15" w:firstLine="9"/>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19</w:t>
            </w:r>
          </w:p>
        </w:tc>
      </w:tr>
      <w:tr w:rsidR="00B44B71" w:rsidRPr="00B44B71" w14:paraId="71C284FB" w14:textId="77777777" w:rsidTr="00F918EC">
        <w:trPr>
          <w:trHeight w:val="83"/>
        </w:trPr>
        <w:tc>
          <w:tcPr>
            <w:tcW w:w="25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339D767" w14:textId="77777777" w:rsidR="00B44B71" w:rsidRPr="00B44B71" w:rsidRDefault="00B44B71" w:rsidP="00023291">
            <w:pPr>
              <w:tabs>
                <w:tab w:val="left" w:pos="9638"/>
              </w:tabs>
              <w:spacing w:after="0" w:line="240" w:lineRule="auto"/>
              <w:ind w:left="-15" w:firstLine="15"/>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омбр/ мб</w:t>
            </w:r>
          </w:p>
        </w:tc>
        <w:tc>
          <w:tcPr>
            <w:tcW w:w="24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D09544D"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iCs/>
                <w:kern w:val="0"/>
                <w:sz w:val="24"/>
                <w:szCs w:val="24"/>
                <w:lang w:val="uk-UA"/>
                <w14:ligatures w14:val="none"/>
              </w:rPr>
              <w:t>гіз/ ісв</w:t>
            </w:r>
          </w:p>
        </w:tc>
        <w:tc>
          <w:tcPr>
            <w:tcW w:w="127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09F3C533" w14:textId="77777777" w:rsidR="00B44B71" w:rsidRPr="00B44B71" w:rsidRDefault="00B44B71" w:rsidP="00023291">
            <w:pPr>
              <w:tabs>
                <w:tab w:val="left" w:pos="9638"/>
              </w:tabs>
              <w:spacing w:after="0" w:line="240" w:lineRule="auto"/>
              <w:ind w:left="-15" w:firstLine="9"/>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w:t>
            </w:r>
          </w:p>
        </w:tc>
        <w:tc>
          <w:tcPr>
            <w:tcW w:w="18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7E0E3FB" w14:textId="77777777" w:rsidR="00B44B71" w:rsidRPr="00B44B71" w:rsidRDefault="00B44B71" w:rsidP="00023291">
            <w:pPr>
              <w:tabs>
                <w:tab w:val="left" w:pos="9638"/>
              </w:tabs>
              <w:spacing w:after="0" w:line="240" w:lineRule="auto"/>
              <w:ind w:left="-15" w:firstLine="9"/>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1</w:t>
            </w:r>
          </w:p>
        </w:tc>
        <w:tc>
          <w:tcPr>
            <w:tcW w:w="170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399705B3" w14:textId="77777777" w:rsidR="00B44B71" w:rsidRPr="00B44B71" w:rsidRDefault="00B44B71" w:rsidP="00023291">
            <w:pPr>
              <w:tabs>
                <w:tab w:val="left" w:pos="9638"/>
              </w:tabs>
              <w:spacing w:after="0" w:line="240" w:lineRule="auto"/>
              <w:ind w:left="-15" w:firstLine="9"/>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2/0,5</w:t>
            </w:r>
          </w:p>
        </w:tc>
      </w:tr>
      <w:tr w:rsidR="00B44B71" w:rsidRPr="00B44B71" w14:paraId="4DBFD8F8" w14:textId="77777777" w:rsidTr="00F918EC">
        <w:trPr>
          <w:trHeight w:val="24"/>
        </w:trPr>
        <w:tc>
          <w:tcPr>
            <w:tcW w:w="2553"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E749309" w14:textId="77777777" w:rsidR="00B44B71" w:rsidRPr="00B44B71" w:rsidRDefault="00B44B71" w:rsidP="00023291">
            <w:pPr>
              <w:tabs>
                <w:tab w:val="left" w:pos="9638"/>
              </w:tabs>
              <w:spacing w:after="0" w:line="240" w:lineRule="auto"/>
              <w:ind w:left="-15" w:firstLine="15"/>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Всього</w:t>
            </w:r>
          </w:p>
        </w:tc>
        <w:tc>
          <w:tcPr>
            <w:tcW w:w="2409"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93991DD" w14:textId="77777777" w:rsidR="00B44B71" w:rsidRPr="00B44B71" w:rsidRDefault="00B44B71" w:rsidP="00023291">
            <w:pPr>
              <w:tabs>
                <w:tab w:val="left" w:pos="9638"/>
              </w:tabs>
              <w:spacing w:after="0" w:line="240" w:lineRule="auto"/>
              <w:ind w:left="-15" w:firstLine="15"/>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4</w:t>
            </w:r>
          </w:p>
        </w:tc>
        <w:tc>
          <w:tcPr>
            <w:tcW w:w="1278"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609DC411" w14:textId="77777777" w:rsidR="00B44B71" w:rsidRPr="00B44B71" w:rsidRDefault="00B44B71" w:rsidP="00023291">
            <w:pPr>
              <w:tabs>
                <w:tab w:val="left" w:pos="9638"/>
              </w:tabs>
              <w:spacing w:after="0" w:line="240" w:lineRule="auto"/>
              <w:ind w:left="-15" w:firstLine="9"/>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2</w:t>
            </w:r>
          </w:p>
        </w:tc>
        <w:tc>
          <w:tcPr>
            <w:tcW w:w="1842"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1F77B8E3" w14:textId="77777777" w:rsidR="00B44B71" w:rsidRPr="00B44B71" w:rsidRDefault="00B44B71" w:rsidP="00023291">
            <w:pPr>
              <w:tabs>
                <w:tab w:val="left" w:pos="9638"/>
              </w:tabs>
              <w:spacing w:after="0" w:line="240" w:lineRule="auto"/>
              <w:ind w:left="-15" w:firstLine="9"/>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6</w:t>
            </w:r>
          </w:p>
        </w:tc>
        <w:tc>
          <w:tcPr>
            <w:tcW w:w="1701" w:type="dxa"/>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4EFCA7D8" w14:textId="77777777" w:rsidR="00B44B71" w:rsidRPr="00B44B71" w:rsidRDefault="00B44B71" w:rsidP="00023291">
            <w:pPr>
              <w:tabs>
                <w:tab w:val="left" w:pos="9638"/>
              </w:tabs>
              <w:spacing w:after="0" w:line="240" w:lineRule="auto"/>
              <w:ind w:left="-15" w:firstLine="9"/>
              <w:jc w:val="center"/>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23/0,5</w:t>
            </w:r>
          </w:p>
        </w:tc>
      </w:tr>
      <w:tr w:rsidR="00B44B71" w:rsidRPr="00B44B71" w14:paraId="0B7C282A" w14:textId="77777777" w:rsidTr="00F918EC">
        <w:trPr>
          <w:trHeight w:val="329"/>
        </w:trPr>
        <w:tc>
          <w:tcPr>
            <w:tcW w:w="9783" w:type="dxa"/>
            <w:gridSpan w:val="5"/>
            <w:tcBorders>
              <w:top w:val="single" w:sz="8" w:space="0" w:color="000000"/>
              <w:left w:val="single" w:sz="8" w:space="0" w:color="000000"/>
              <w:bottom w:val="single" w:sz="8" w:space="0" w:color="000000"/>
              <w:right w:val="single" w:sz="8" w:space="0" w:color="000000"/>
            </w:tcBorders>
            <w:tcMar>
              <w:top w:w="72" w:type="dxa"/>
              <w:left w:w="144" w:type="dxa"/>
              <w:bottom w:w="72" w:type="dxa"/>
              <w:right w:w="144" w:type="dxa"/>
            </w:tcMar>
            <w:vAlign w:val="center"/>
            <w:hideMark/>
          </w:tcPr>
          <w:p w14:paraId="53F37138" w14:textId="77777777" w:rsidR="00B44B71" w:rsidRPr="00B44B71" w:rsidRDefault="00B44B71" w:rsidP="00023291">
            <w:pPr>
              <w:tabs>
                <w:tab w:val="left" w:pos="9638"/>
              </w:tabs>
              <w:spacing w:after="0" w:line="240" w:lineRule="auto"/>
              <w:ind w:left="-15" w:firstLine="15"/>
              <w:jc w:val="both"/>
              <w:rPr>
                <w:rFonts w:ascii="Times New Roman" w:eastAsia="Calibri" w:hAnsi="Times New Roman" w:cs="Times New Roman"/>
                <w:b/>
                <w:bCs/>
                <w:kern w:val="0"/>
                <w:sz w:val="24"/>
                <w:szCs w:val="24"/>
                <w:lang w:val="uk-UA"/>
                <w14:ligatures w14:val="none"/>
              </w:rPr>
            </w:pPr>
            <w:r w:rsidRPr="00B44B71">
              <w:rPr>
                <w:rFonts w:ascii="Times New Roman" w:eastAsia="Calibri" w:hAnsi="Times New Roman" w:cs="Times New Roman"/>
                <w:b/>
                <w:bCs/>
                <w:kern w:val="0"/>
                <w:sz w:val="24"/>
                <w:szCs w:val="24"/>
                <w:lang w:val="uk-UA"/>
                <w14:ligatures w14:val="none"/>
              </w:rPr>
              <w:t xml:space="preserve">Загальне зменшення чисельності інженерних військ ЗС України (з 1991 року) у ланці: </w:t>
            </w:r>
          </w:p>
          <w:p w14:paraId="3D4B43FD" w14:textId="77777777" w:rsidR="00B44B71" w:rsidRPr="00B44B71" w:rsidRDefault="00B44B71" w:rsidP="00023291">
            <w:pPr>
              <w:tabs>
                <w:tab w:val="left" w:pos="9638"/>
              </w:tabs>
              <w:spacing w:after="0" w:line="240" w:lineRule="auto"/>
              <w:ind w:left="-15" w:firstLine="15"/>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b/>
                <w:bCs/>
                <w:kern w:val="0"/>
                <w:sz w:val="24"/>
                <w:szCs w:val="24"/>
                <w:u w:val="single"/>
                <w:lang w:val="uk-UA"/>
                <w14:ligatures w14:val="none"/>
              </w:rPr>
              <w:t>ОК</w:t>
            </w:r>
            <w:r w:rsidRPr="00B44B71">
              <w:rPr>
                <w:rFonts w:ascii="Times New Roman" w:eastAsia="Calibri" w:hAnsi="Times New Roman" w:cs="Times New Roman"/>
                <w:b/>
                <w:bCs/>
                <w:kern w:val="0"/>
                <w:sz w:val="24"/>
                <w:szCs w:val="24"/>
                <w:lang w:val="uk-UA"/>
                <w14:ligatures w14:val="none"/>
              </w:rPr>
              <w:t xml:space="preserve"> – 49 (-94%); </w:t>
            </w:r>
            <w:r w:rsidRPr="00B44B71">
              <w:rPr>
                <w:rFonts w:ascii="Times New Roman" w:eastAsia="Calibri" w:hAnsi="Times New Roman" w:cs="Times New Roman"/>
                <w:b/>
                <w:bCs/>
                <w:kern w:val="0"/>
                <w:sz w:val="24"/>
                <w:szCs w:val="24"/>
                <w:u w:val="single"/>
                <w:lang w:val="uk-UA"/>
                <w14:ligatures w14:val="none"/>
              </w:rPr>
              <w:t>АК</w:t>
            </w:r>
            <w:r w:rsidRPr="00B44B71">
              <w:rPr>
                <w:rFonts w:ascii="Times New Roman" w:eastAsia="Calibri" w:hAnsi="Times New Roman" w:cs="Times New Roman"/>
                <w:b/>
                <w:bCs/>
                <w:kern w:val="0"/>
                <w:sz w:val="24"/>
                <w:szCs w:val="24"/>
                <w:lang w:val="uk-UA"/>
                <w14:ligatures w14:val="none"/>
              </w:rPr>
              <w:t xml:space="preserve"> – 24 (-56%); </w:t>
            </w:r>
            <w:r w:rsidRPr="00B44B71">
              <w:rPr>
                <w:rFonts w:ascii="Times New Roman" w:eastAsia="Calibri" w:hAnsi="Times New Roman" w:cs="Times New Roman"/>
                <w:b/>
                <w:bCs/>
                <w:kern w:val="0"/>
                <w:sz w:val="24"/>
                <w:szCs w:val="24"/>
                <w:u w:val="single"/>
                <w:lang w:val="uk-UA"/>
                <w14:ligatures w14:val="none"/>
              </w:rPr>
              <w:t>омбр/мб</w:t>
            </w:r>
            <w:r w:rsidRPr="00B44B71">
              <w:rPr>
                <w:rFonts w:ascii="Times New Roman" w:eastAsia="Calibri" w:hAnsi="Times New Roman" w:cs="Times New Roman"/>
                <w:b/>
                <w:bCs/>
                <w:kern w:val="0"/>
                <w:sz w:val="24"/>
                <w:szCs w:val="24"/>
                <w:lang w:val="uk-UA"/>
                <w14:ligatures w14:val="none"/>
              </w:rPr>
              <w:t xml:space="preserve"> – 3,5 (-58%).  </w:t>
            </w:r>
          </w:p>
        </w:tc>
      </w:tr>
    </w:tbl>
    <w:p w14:paraId="351D9246"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p>
    <w:p w14:paraId="4A81580D"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Аналіз даних таблиці показав, що у період з початку 2003 року до кінця 2013 року інженерні війська були скорочені більш ніж на 77% у порівнянні з 1991 роком. При цьому, скорочення інженерних військ ЗС України в оперативній та оперативно-тактичній ланках призвело до втрати ними </w:t>
      </w:r>
      <w:r w:rsidRPr="00B44B71">
        <w:rPr>
          <w:rFonts w:ascii="Times New Roman" w:eastAsia="Calibri" w:hAnsi="Times New Roman" w:cs="Times New Roman"/>
          <w:kern w:val="0"/>
          <w:sz w:val="28"/>
          <w:szCs w:val="28"/>
          <w:lang w:val="uk-UA"/>
          <w14:ligatures w14:val="none"/>
        </w:rPr>
        <w:lastRenderedPageBreak/>
        <w:t>практичних спроможностей виконання завдань інженерного забезпечення угрупувань військ (сил). Чисельність інженерних військ ЗС України на початок 2014 р. знизилась до 3 тис. посад – 1,7 % від загальної чисельності ЗС України (165,5 тис.) [1-4], що значно обмежило їх спроможності щодо виконання завдань інженерного забезпечення військ (сил).</w:t>
      </w:r>
    </w:p>
    <w:p w14:paraId="5F1BD5A5"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Під час вивчення даного питання встановлено, що поступові зміни в системі управління інженерними військами ЗС України призвели до зниження рівня керівництва, що унеможливило своєчасне їх відновлення та забезпечення у разі потреби. У період переходу від “дивізійно-полкової” до “бригадно-батальйонної” системи було розформовано окремі інженерно-саперні батальйони дивізій, які було переформовано у групи інженерного забезпечення бригад, що дозволило зберегти деякі спроможності з інженерного забезпечення бригад. Передбачалось, що створення штатних інженерних підрозділів в тактичній (батальйон) та оперативно-тактичній (бригада) ланках дозволить збільшити самостійність та зберегти ці підрозділи у військовій ланці для формування елементів бойового порядку, а саме, рухомих загонів загородження, загонів забезпечення руху, загонів розмінування та розгородження. Водночас інженерні бригади, у тому числі понтонно-мостові були скорочені до полків та більшість з них було розформовано.</w:t>
      </w:r>
    </w:p>
    <w:p w14:paraId="49DFFC7F"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spacing w:val="-2"/>
          <w:kern w:val="0"/>
          <w:sz w:val="28"/>
          <w:szCs w:val="28"/>
          <w:lang w:val="uk-UA"/>
          <w14:ligatures w14:val="none"/>
        </w:rPr>
      </w:pPr>
      <w:r w:rsidRPr="00B44B71">
        <w:rPr>
          <w:rFonts w:ascii="Times New Roman" w:eastAsia="Calibri" w:hAnsi="Times New Roman" w:cs="Times New Roman"/>
          <w:spacing w:val="-2"/>
          <w:kern w:val="0"/>
          <w:sz w:val="28"/>
          <w:szCs w:val="28"/>
          <w:lang w:val="uk-UA"/>
          <w14:ligatures w14:val="none"/>
        </w:rPr>
        <w:t>Підготовка військових фахівців для потреб інженерних військ ЗС України [5] здійснювалася з 1993 р. до 2012 р. у м. Кам’янець-Подільський, де проводилась підготовка військових кваліфікованих фахівців а саме: Військово-інженерний інститут Подільської аграрно-технічної академії (ВІІ ПДАТА) готував осіб офіцерського складу тактичного рівня освіти (ТР); Центр підготовки інженерних військ (ЦПІВ) – кваліфікованих фахівців сержантського та солдатського складу; Центр розмінування – фахівців з розмінування. До 2000 р. у ВІІ ПДАТА здійснювалась підготовка офіцерів оперативно-тактичного рівня освіти (ОТР), яку з 2001 р. було переведено до Національної академії оборони України (м. Київ) (НАОУ), де з 1993 р. здійснювалась підготовка офіцерів з оперативно-стратегічним рівнем освіти (ОСР). У подальшому у 2012 р. підготовку офіцерів ТР було переведено до Академії сухопутних військ імені гетьмана Петра Сагайдачного (м. Львів). У 1993–2018 рр. було підготовлено      17 офіцерів ОСР, 275 офіцерів ОТР та понад 5 тис. офіцерів ТР, у тому числі 3,5 тис. офіцерів запасу [6].</w:t>
      </w:r>
    </w:p>
    <w:p w14:paraId="30E68102"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spacing w:val="-4"/>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За даними [7] перелік та обсяги основних завдань інженерного забезпечення до 2013 р. не зазнав значних змін порівняно з початком 1990-х рр., водночас кількість та якість укомплектування інженерних військ ЗС України здійснювалась за остаточним принципом. </w:t>
      </w:r>
      <w:r w:rsidRPr="00B44B71">
        <w:rPr>
          <w:rFonts w:ascii="Times New Roman" w:eastAsia="Calibri" w:hAnsi="Times New Roman" w:cs="Times New Roman"/>
          <w:spacing w:val="-4"/>
          <w:kern w:val="0"/>
          <w:sz w:val="28"/>
          <w:szCs w:val="28"/>
          <w:lang w:val="uk-UA"/>
          <w14:ligatures w14:val="none"/>
        </w:rPr>
        <w:t>Починаючи з 2014 р. відповідно до вимог часу вони були об’єднані та трансформовані в чотири основні завдання, зокрема: інженерна підтримка мобільності своїх військ (сил); інженерні заходи щодо обмеження мобільності сил та засобів противника та підвищення живучості та безпеки застосування військ (сил) і об’єктів; загальна інженерна підтримка військ (сил) [7].</w:t>
      </w:r>
    </w:p>
    <w:p w14:paraId="15F000A5"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spacing w:val="-2"/>
          <w:kern w:val="0"/>
          <w:sz w:val="28"/>
          <w:szCs w:val="28"/>
          <w:lang w:val="uk-UA"/>
          <w14:ligatures w14:val="none"/>
        </w:rPr>
      </w:pPr>
      <w:r w:rsidRPr="00B44B71">
        <w:rPr>
          <w:rFonts w:ascii="Times New Roman" w:eastAsia="Calibri" w:hAnsi="Times New Roman" w:cs="Times New Roman"/>
          <w:color w:val="000000"/>
          <w:spacing w:val="-2"/>
          <w:kern w:val="0"/>
          <w:sz w:val="28"/>
          <w:szCs w:val="28"/>
          <w:lang w:val="uk-UA"/>
          <w14:ligatures w14:val="none"/>
        </w:rPr>
        <w:lastRenderedPageBreak/>
        <w:t xml:space="preserve">З початком участі </w:t>
      </w:r>
      <w:r w:rsidRPr="00B44B71">
        <w:rPr>
          <w:rFonts w:ascii="Times New Roman" w:eastAsia="Calibri" w:hAnsi="Times New Roman" w:cs="Times New Roman"/>
          <w:spacing w:val="-2"/>
          <w:kern w:val="0"/>
          <w:sz w:val="28"/>
          <w:szCs w:val="28"/>
          <w:lang w:val="uk-UA"/>
          <w14:ligatures w14:val="none"/>
        </w:rPr>
        <w:t xml:space="preserve">України у </w:t>
      </w:r>
      <w:r w:rsidRPr="00B44B71">
        <w:rPr>
          <w:rFonts w:ascii="Times New Roman" w:eastAsia="Calibri" w:hAnsi="Times New Roman" w:cs="Times New Roman"/>
          <w:color w:val="000000"/>
          <w:spacing w:val="-2"/>
          <w:kern w:val="0"/>
          <w:sz w:val="28"/>
          <w:szCs w:val="28"/>
          <w:lang w:val="uk-UA"/>
          <w14:ligatures w14:val="none"/>
        </w:rPr>
        <w:t xml:space="preserve">міжнародній миротворчій діяльності [6] </w:t>
      </w:r>
      <w:r w:rsidRPr="00B44B71">
        <w:rPr>
          <w:rFonts w:ascii="Times New Roman" w:eastAsia="Calibri" w:hAnsi="Times New Roman" w:cs="Times New Roman"/>
          <w:spacing w:val="-2"/>
          <w:kern w:val="0"/>
          <w:sz w:val="28"/>
          <w:szCs w:val="28"/>
          <w:lang w:val="uk-UA"/>
          <w14:ligatures w14:val="none"/>
        </w:rPr>
        <w:t xml:space="preserve">інженерні підрозділи брали участь у міжнародних операціях з підтримання миру та безпеки в Югославії. У 1996 р. до Анголи було направлено перший самостійний інженерний підрозділ – 901-шу окрему понтонно-мостову роту у кількості 200 військовослужбовців. У 2000–2006 рр. на запрошення ООН в Південному Лівані інженерні завдання виконував 3-й окремий інженерний батальйон чисельністю від 197 до 650 осіб. У період 1992-2018 рр. чисельність інженерних підрозділів, які брали участь міжнародних операціях з підтримання миру та безпеки, змінювалась та становила від 20 до 650 осіб одночасно, що становило від 2 % до 52 % від загальної чисельності українських військових у міжнародних операціях з підтримання миру та безпеки. Встановлено </w:t>
      </w:r>
      <w:r w:rsidRPr="00B44B71">
        <w:rPr>
          <w:rFonts w:ascii="Times New Roman" w:eastAsia="Calibri" w:hAnsi="Times New Roman" w:cs="Times New Roman"/>
          <w:color w:val="000000"/>
          <w:spacing w:val="-2"/>
          <w:kern w:val="0"/>
          <w:sz w:val="28"/>
          <w:szCs w:val="28"/>
          <w:lang w:val="uk-UA"/>
          <w14:ligatures w14:val="none"/>
        </w:rPr>
        <w:t>[6]</w:t>
      </w:r>
      <w:r w:rsidRPr="00B44B71">
        <w:rPr>
          <w:rFonts w:ascii="Times New Roman" w:eastAsia="Calibri" w:hAnsi="Times New Roman" w:cs="Times New Roman"/>
          <w:spacing w:val="-2"/>
          <w:kern w:val="0"/>
          <w:sz w:val="28"/>
          <w:szCs w:val="28"/>
          <w:lang w:val="uk-UA"/>
          <w14:ligatures w14:val="none"/>
        </w:rPr>
        <w:t>, що найбільший показник був у 2000 році, коли кожний другий миротворець був представник інженерних військ (52 %). Всього понад 2000 військовослужбовців інженерних військ ЗС України отримали бойовий досвід, який було використано під час бойових дій в АТО.</w:t>
      </w:r>
    </w:p>
    <w:p w14:paraId="33558864"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Характерним було те, що українські військові інженери в цих місіях виконували в першу чергу роботи з розмінування місцевості та знешкодження вибухонебезпечних предметів (ВНП). Усього українськими саперами під час участі в міжнародних операціях з підтримання миру та безпеки було знищено понад 1,8 млн. ВНП [6], що дозволило підтримати їх бойову готовність та значно знизити рівень мінної небезпеки у районах виконання завдань.</w:t>
      </w:r>
    </w:p>
    <w:p w14:paraId="735E44FC"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Особливостями другого періоду (2014–2018 рр.), що співпав з бойовими діями в АТО [7], було відновлення інженерних військ ЗС України, які водночас виконували найскладніші завдання інженерного забезпечення в бойових умовах в районі проведення АТО. В цей період було відновлено полк оперативного забезпечення ОК “Захід”, додатково сформовано дві бригади, полк оперативного забезпечення ОК “Південь” та навчальний центр центрального підпорядкування. На кінець 2018 р. інженерні війська налічували: одну бригаду, п’ять полків, арсенал інженерних військ, чотири центри, дві центральні бази, двадцять одну групу інженерного забезпечення бригад Сухопутних військ, Десантно-штурмових військ та морської піхоти, а їх чисельність становила           6 тис. посад – 2,4 % від загальної чисельності ЗС України (250 тис.).</w:t>
      </w:r>
    </w:p>
    <w:p w14:paraId="02895D87"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З перших днів агресії на сході України залучались інженерні підрозділи ЗС України. Пріоритетними завданнями інженерних військ ЗС України в районі проведення АТО були: фортифікаційне обладнання рубежів оборони, встановлення інженерних загороджень, розмінування місцевості.</w:t>
      </w:r>
    </w:p>
    <w:p w14:paraId="6AD5BFC2"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Встановлено [7], що частка втрат особового складу від саморобних вибухових пристроїв (СВП) до загальних втрат поступово збільшувалася і в 2016 р. досягла 25 % від загиблих та 16 % від поранених у районі проведення АТО, всього у 2014–2018 рр. кожний одинадцятий загинув на мінах, тому питанням розмінування ВНП приділялась особлива увага. Так, в АТО (ООС) у 2014–2018 рр. було задіяно понад 50 груп розмінування інженерних військ ЗС Україні, інженерних підрозділів Державної спеціальної служби транспорту (ДССТ) та піротехнічних груп Державної служби надзвичайних ситуацій </w:t>
      </w:r>
      <w:r w:rsidRPr="00B44B71">
        <w:rPr>
          <w:rFonts w:ascii="Times New Roman" w:eastAsia="Calibri" w:hAnsi="Times New Roman" w:cs="Times New Roman"/>
          <w:kern w:val="0"/>
          <w:sz w:val="28"/>
          <w:szCs w:val="28"/>
          <w:lang w:val="uk-UA"/>
          <w14:ligatures w14:val="none"/>
        </w:rPr>
        <w:lastRenderedPageBreak/>
        <w:t>(ДСНС), які розмінували 29,6 тис. га територій, 1356 км доріг та 1588 км залізничних колій при цьому було виявлено та знешкоджено понад 409 тис. ВНП. Тільки підрозділами інженерних військ ЗС України було очищено 3,66 тис. га територій, при цьому було знешкоджено 242 тис. ВНП в АТО, що становило понад половину від їх загальної кількості. При цьому загалом у 1992–2018 рр. інженерними підрозділами було очищено 133,7 тис. га території України та знешкоджено 773,2 тис. ВНП [7].</w:t>
      </w:r>
    </w:p>
    <w:p w14:paraId="252A6CC4"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Під час АТО (ООС) співвідношення інженерних підрозділів до інших видів (родів) військ ЗС України у складі діючих угруповань військ (сил) поступово зростало. Якщо у 2014 р. – один сапер забезпечував від 16 до 44 військовослужбовців, то у 2018 р. – на одного сапера було від 12 до 20 військовослужбовців інших видів (родів) військ.</w:t>
      </w:r>
    </w:p>
    <w:p w14:paraId="679B6C59"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Таким чином, у різні періоди формування, трансформації та організаційних заходів у ЗС України “розвиток” інженерних військ мав різну спрямованість. На першому етапі (мирний час) зміни структури інженерних військ мали від’ємний вектор і лише з початком АТО ЗС України зіштовхнулись із великою низкою проблем інженерного характеру, що стало відправною точкою нарощення спроможностей з інженерного забезпечення (інженерної підтримки).</w:t>
      </w:r>
    </w:p>
    <w:p w14:paraId="509887AB"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Війська радіаційного, хімічного та біологічного захисту (РХБ захисту)  ЗС України – рід спеціальних військ ЗС України, який виконує завдання підтримки військ (сил) в операції (бойових діях) до, під час та після реалізації ризиків (небезпек) виникнення хімічних, біологічних, радіаційних, ядерних (ХБРЯ) інцидентів, а саме внаслідок застосування противником зброї масового знищення (ураження) чи після зруйнування об’єктів атомної енергетики та хімічної промисловості внаслідок вогневого впливу або дій диверсійно-розвідувальних сил противника [8].</w:t>
      </w:r>
    </w:p>
    <w:p w14:paraId="06999633"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Головним завданням військ РХБ захисту є підтримка військ (сил) шляхом їх захисту або запобігання (мінімізації) впливу на них факторів ХБРЯ небезпек.</w:t>
      </w:r>
    </w:p>
    <w:p w14:paraId="4D23C54B"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На підрозділи військ РХБ захисту покладаються наступні завдання: збір, аналіз та видача даних про ХБРЯ обстановку, ведення ХБР розвідки, дозиметричного та хімічного контролю, деконтамінації, посилення захисту об’єктів (дій) шляхом застосування аерозолів, а також вогневого ураження противника різними типами термобаричної зброї [8].</w:t>
      </w:r>
    </w:p>
    <w:p w14:paraId="7054B2DF"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15 вересня 1992 року було офіційно сформоване Управління хімічних військ, яке підпорядковувалося начальнику Головного (потім Генерального) штабу ЗС України. 14 лютого 1994 року хімічні війська наказом МО України були перейменовані у війська РХБ захисту [8,9]. </w:t>
      </w:r>
    </w:p>
    <w:p w14:paraId="7C5F130A"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У грудні 2002 р. у Західному ОК у місті Самборі сформували 19-й об РХБ захисту. 18.03.2003 Президентом України був підписаний Указ № 227 “Про направлення 19-го окремого батальйону РХБ захисту ЗС України до Кувейту для надання допомоги в захисті цивільного населення цієї держави від наслідків можливого застосування зброї масового ураження і ліквідації можливих наслідків застосування зброї масового ураження на території Держави Кувейт”. </w:t>
      </w:r>
      <w:r w:rsidRPr="00B44B71">
        <w:rPr>
          <w:rFonts w:ascii="Times New Roman" w:eastAsia="Calibri" w:hAnsi="Times New Roman" w:cs="Times New Roman"/>
          <w:kern w:val="0"/>
          <w:sz w:val="28"/>
          <w:szCs w:val="28"/>
          <w:lang w:val="uk-UA"/>
          <w14:ligatures w14:val="none"/>
        </w:rPr>
        <w:lastRenderedPageBreak/>
        <w:t>В березні 2003 р. прийнято рішення про направлення батальйону до Кувейту [8]. 22.03.2003 почалася передислокація з України до Кувейту 19-го об РХБ захисту [9].</w:t>
      </w:r>
    </w:p>
    <w:p w14:paraId="666A548D"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В 2009-2013 рр. підрозділи військ РХБ захисту ЗС України брали участь у ліквідації шести військових складів, де зберігалися високоотруйні компоненти рідкого ракетного палива. Усього в Україні на території шести об’єктів перебувало 16339 тон меланжу, який залишився з радянських часів на час початку проєкту ОБСЄ [9].</w:t>
      </w:r>
    </w:p>
    <w:p w14:paraId="183A910C"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За приблизними розрахунками, що базуються на історичних довідках [9], в період 1992-2003 рр. війська РХБ захисту ЗС України були представлені 5-ма бригадами, 2-ма полками, 21-м батальйоном, центральною базою, складом та кафедрою.</w:t>
      </w:r>
    </w:p>
    <w:p w14:paraId="19DB3B73"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Навчальні підрозділи [9], що здійснювали підготовку фахівців РХБ захисту:</w:t>
      </w:r>
      <w:r w:rsidRPr="00B44B71">
        <w:rPr>
          <w:rFonts w:ascii="Times New Roman" w:eastAsia="Calibri" w:hAnsi="Times New Roman" w:cs="Times New Roman"/>
          <w:i/>
          <w:kern w:val="0"/>
          <w:sz w:val="28"/>
          <w:szCs w:val="28"/>
          <w:lang w:val="uk-UA"/>
          <w14:ligatures w14:val="none"/>
        </w:rPr>
        <w:t xml:space="preserve"> </w:t>
      </w:r>
      <w:r w:rsidRPr="00B44B71">
        <w:rPr>
          <w:rFonts w:ascii="Times New Roman" w:eastAsia="Calibri" w:hAnsi="Times New Roman" w:cs="Times New Roman"/>
          <w:kern w:val="0"/>
          <w:sz w:val="28"/>
          <w:szCs w:val="28"/>
          <w:lang w:val="uk-UA"/>
          <w14:ligatures w14:val="none"/>
        </w:rPr>
        <w:t>окремий навчальний батальйон РХБ захисту 169 НЦ (с. Десна, Чернігівської обл.); кафедра РХБ захисту Харківського військового університету (м. Харків), з 2003 року – 180-й навчальний центр підготовки фахівців РХБ захисту НТУ “ХПІ” (м. Харків).</w:t>
      </w:r>
    </w:p>
    <w:p w14:paraId="0A846633"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Підготовка офіцерських кадрів військ РХБ захисту почалась першим набором у 1994 році кафедрою РХБ захисту Харківського військового університету. 3 2004 року Факультет РХБ захисту та екологічної безпеки був переведений до Військового інституту танкових військ імені Верховної Ради України НТУ “ХПІ” [9].</w:t>
      </w:r>
    </w:p>
    <w:p w14:paraId="14516794"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Аналіз попередніх досліджень та публікацій не дав конкретної відповіді щодо динаміки зміни частки військ РХБ захисту у різні періоди існування ЗС України починаючі з 1991 року. При цьому, також як і інженерні війська, війська РХБ захисту у мирний період зазнали нищівного скорочення із подальшим їх відновленням починаючи з активної фази АТО. Структура військ РХБ захисту змінювалась відповідно до нових викликів та ХБРЯ загроз, які виникали у ході ведення бойових дій у ході ведення АТО, ООС, під час відсічі збройної агресії російської федерації проти України</w:t>
      </w:r>
    </w:p>
    <w:p w14:paraId="11FF6353"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color w:val="000000"/>
          <w:kern w:val="0"/>
          <w:sz w:val="28"/>
          <w:szCs w:val="28"/>
          <w:lang w:val="uk-UA"/>
          <w14:ligatures w14:val="none"/>
        </w:rPr>
      </w:pPr>
      <w:r w:rsidRPr="00B44B71">
        <w:rPr>
          <w:rFonts w:ascii="Times New Roman" w:eastAsia="Calibri" w:hAnsi="Times New Roman" w:cs="Times New Roman"/>
          <w:color w:val="000000"/>
          <w:kern w:val="0"/>
          <w:sz w:val="28"/>
          <w:szCs w:val="28"/>
          <w:lang w:val="uk-UA"/>
          <w14:ligatures w14:val="none"/>
        </w:rPr>
        <w:t xml:space="preserve">Топографічна служба ЗС України починаючи з 1991 року пройшла шлях від успадкування радянської паперової картографії до повної цифровізації впровадження GIS-технологій та стандартів НАТО (GEOGIS) [10]. Основні зміни включали перехід на новітні системи координат, створення цифрових карт, використання БпЛА для аерофотозйомки та забезпечення військ геопросторовою інформацією у реальному масштабі часу. </w:t>
      </w:r>
    </w:p>
    <w:p w14:paraId="0D92105E"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color w:val="000000"/>
          <w:kern w:val="0"/>
          <w:sz w:val="28"/>
          <w:szCs w:val="28"/>
          <w:lang w:val="uk-UA"/>
          <w14:ligatures w14:val="none"/>
        </w:rPr>
      </w:pPr>
      <w:r w:rsidRPr="00B44B71">
        <w:rPr>
          <w:rFonts w:ascii="Times New Roman" w:eastAsia="Calibri" w:hAnsi="Times New Roman" w:cs="Times New Roman"/>
          <w:color w:val="000000"/>
          <w:kern w:val="0"/>
          <w:sz w:val="28"/>
          <w:szCs w:val="28"/>
          <w:lang w:val="uk-UA"/>
          <w14:ligatures w14:val="none"/>
        </w:rPr>
        <w:t>Основні етапи розвитку топографічної служби ЗС України відповідно до [10] (1991–2026):</w:t>
      </w:r>
    </w:p>
    <w:p w14:paraId="378A95E1"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color w:val="000000"/>
          <w:kern w:val="0"/>
          <w:sz w:val="28"/>
          <w:szCs w:val="28"/>
          <w:lang w:val="uk-UA"/>
          <w14:ligatures w14:val="none"/>
        </w:rPr>
      </w:pPr>
      <w:r w:rsidRPr="00B44B71">
        <w:rPr>
          <w:rFonts w:ascii="Times New Roman" w:eastAsia="Calibri" w:hAnsi="Times New Roman" w:cs="Times New Roman"/>
          <w:color w:val="000000"/>
          <w:kern w:val="0"/>
          <w:sz w:val="28"/>
          <w:szCs w:val="28"/>
          <w:lang w:val="uk-UA"/>
          <w14:ligatures w14:val="none"/>
        </w:rPr>
        <w:t>з 1990 року: формування служби інвентаризація картографічного майна, переданого від СРСР. Перехід на власну державну геодезичну мережу;</w:t>
      </w:r>
    </w:p>
    <w:p w14:paraId="5AA4A743"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color w:val="000000"/>
          <w:kern w:val="0"/>
          <w:sz w:val="28"/>
          <w:szCs w:val="28"/>
          <w:lang w:val="uk-UA"/>
          <w14:ligatures w14:val="none"/>
        </w:rPr>
      </w:pPr>
      <w:r w:rsidRPr="00B44B71">
        <w:rPr>
          <w:rFonts w:ascii="Times New Roman" w:eastAsia="Calibri" w:hAnsi="Times New Roman" w:cs="Times New Roman"/>
          <w:color w:val="000000"/>
          <w:kern w:val="0"/>
          <w:sz w:val="28"/>
          <w:szCs w:val="28"/>
          <w:lang w:val="uk-UA"/>
          <w14:ligatures w14:val="none"/>
        </w:rPr>
        <w:t>2000-ні роки: початок цифровізації створення цифрових топографічних карт та планів впровадження автоматизованих систем управління;</w:t>
      </w:r>
    </w:p>
    <w:p w14:paraId="79B19CF6"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color w:val="000000"/>
          <w:kern w:val="0"/>
          <w:sz w:val="28"/>
          <w:szCs w:val="28"/>
          <w:lang w:val="uk-UA"/>
          <w14:ligatures w14:val="none"/>
        </w:rPr>
      </w:pPr>
      <w:r w:rsidRPr="00B44B71">
        <w:rPr>
          <w:rFonts w:ascii="Times New Roman" w:eastAsia="Calibri" w:hAnsi="Times New Roman" w:cs="Times New Roman"/>
          <w:color w:val="000000"/>
          <w:kern w:val="0"/>
          <w:sz w:val="28"/>
          <w:szCs w:val="28"/>
          <w:lang w:val="uk-UA"/>
          <w14:ligatures w14:val="none"/>
        </w:rPr>
        <w:t>2014–2026: активний розвиток через війну (АТО/ООС/</w:t>
      </w:r>
      <w:r w:rsidRPr="00B44B71">
        <w:rPr>
          <w:rFonts w:ascii="Times New Roman" w:eastAsia="Calibri" w:hAnsi="Times New Roman" w:cs="Times New Roman"/>
          <w:color w:val="000000"/>
          <w:kern w:val="0"/>
          <w:sz w:val="28"/>
          <w:szCs w:val="28"/>
          <w:lang w:val="ru-RU"/>
          <w14:ligatures w14:val="none"/>
        </w:rPr>
        <w:t xml:space="preserve"> </w:t>
      </w:r>
      <w:r w:rsidRPr="00B44B71">
        <w:rPr>
          <w:rFonts w:ascii="Times New Roman" w:eastAsia="Calibri" w:hAnsi="Times New Roman" w:cs="Times New Roman"/>
          <w:color w:val="000000"/>
          <w:kern w:val="0"/>
          <w:sz w:val="28"/>
          <w:szCs w:val="28"/>
          <w:lang w:val="uk-UA"/>
          <w14:ligatures w14:val="none"/>
        </w:rPr>
        <w:t xml:space="preserve">повномасштабна). Перехід до сучасних стандартів НАТО, забезпечення військ цифровими </w:t>
      </w:r>
      <w:r w:rsidRPr="00B44B71">
        <w:rPr>
          <w:rFonts w:ascii="Times New Roman" w:eastAsia="Calibri" w:hAnsi="Times New Roman" w:cs="Times New Roman"/>
          <w:color w:val="000000"/>
          <w:kern w:val="0"/>
          <w:sz w:val="28"/>
          <w:szCs w:val="28"/>
          <w:lang w:val="uk-UA"/>
          <w14:ligatures w14:val="none"/>
        </w:rPr>
        <w:lastRenderedPageBreak/>
        <w:t xml:space="preserve">картами через планшети та системи бойового управління (наприклад, система “Кропива”) використання аерофотозйомки з БПЛА для оновлення карт. </w:t>
      </w:r>
    </w:p>
    <w:p w14:paraId="2DDF9197"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29 травня 1992 року зроблено офіційну доповідь начальнику Головного штабу Збройних Сил України про підпорядкування частин топографічної служби Київського військового округу Начальнику </w:t>
      </w:r>
      <w:r w:rsidRPr="00B44B71">
        <w:rPr>
          <w:rFonts w:ascii="Times New Roman" w:eastAsia="Calibri" w:hAnsi="Times New Roman" w:cs="Times New Roman"/>
          <w:kern w:val="0"/>
          <w:sz w:val="28"/>
          <w:szCs w:val="28"/>
          <w:lang w:val="ru-RU"/>
          <w14:ligatures w14:val="none"/>
        </w:rPr>
        <w:t>т</w:t>
      </w:r>
      <w:r w:rsidRPr="00B44B71">
        <w:rPr>
          <w:rFonts w:ascii="Times New Roman" w:eastAsia="Calibri" w:hAnsi="Times New Roman" w:cs="Times New Roman"/>
          <w:kern w:val="0"/>
          <w:sz w:val="28"/>
          <w:szCs w:val="28"/>
          <w:lang w:val="uk-UA"/>
          <w14:ligatures w14:val="none"/>
        </w:rPr>
        <w:t>опографічного управління. Саме від цієї дати веде свій відлік історія топографічної служби ЗС України.</w:t>
      </w:r>
    </w:p>
    <w:p w14:paraId="74E10A05"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Після створення топографічного управління була розгорнута робота щодо формування відсутніх у складі топографічної служби ЗС України військових частин.</w:t>
      </w:r>
    </w:p>
    <w:p w14:paraId="784A5C8C"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У 1993 році були створені </w:t>
      </w:r>
      <w:r w:rsidRPr="00B44B71">
        <w:rPr>
          <w:rFonts w:ascii="Times New Roman" w:eastAsia="Calibri" w:hAnsi="Times New Roman" w:cs="Times New Roman"/>
          <w:color w:val="000000"/>
          <w:kern w:val="0"/>
          <w:sz w:val="28"/>
          <w:szCs w:val="28"/>
          <w:lang w:val="uk-UA"/>
          <w14:ligatures w14:val="none"/>
        </w:rPr>
        <w:t>[10]</w:t>
      </w:r>
      <w:r w:rsidRPr="00B44B71">
        <w:rPr>
          <w:rFonts w:ascii="Times New Roman" w:eastAsia="Calibri" w:hAnsi="Times New Roman" w:cs="Times New Roman"/>
          <w:kern w:val="0"/>
          <w:sz w:val="28"/>
          <w:szCs w:val="28"/>
          <w:lang w:val="uk-UA"/>
          <w14:ligatures w14:val="none"/>
        </w:rPr>
        <w:t xml:space="preserve">: редакційно-видавничий відділ (редакційний центр), геодезична частина, склад матеріально-технічного забезпечення. На базі Національного університету ім. Тараса Шевченка, Львівської політехніки та Київського інституту Військово-повітряних Сил розпочато підготовку фахівців топографічної служби ЗС України </w:t>
      </w:r>
      <w:r w:rsidRPr="00B44B71">
        <w:rPr>
          <w:rFonts w:ascii="Times New Roman" w:eastAsia="Calibri" w:hAnsi="Times New Roman" w:cs="Times New Roman"/>
          <w:color w:val="000000"/>
          <w:kern w:val="0"/>
          <w:sz w:val="28"/>
          <w:szCs w:val="28"/>
          <w:lang w:val="uk-UA"/>
          <w14:ligatures w14:val="none"/>
        </w:rPr>
        <w:t>[10]</w:t>
      </w:r>
      <w:r w:rsidRPr="00B44B71">
        <w:rPr>
          <w:rFonts w:ascii="Times New Roman" w:eastAsia="Calibri" w:hAnsi="Times New Roman" w:cs="Times New Roman"/>
          <w:kern w:val="0"/>
          <w:sz w:val="28"/>
          <w:szCs w:val="28"/>
          <w:lang w:val="uk-UA"/>
          <w14:ligatures w14:val="none"/>
        </w:rPr>
        <w:t>.</w:t>
      </w:r>
    </w:p>
    <w:p w14:paraId="57CD5514"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На початку своєї історії, враховуючи проблеми бюджетного фінансування, топографічна служба ЗС України концентрувала зусилля на самофінансуванні спеціальних робіт та їхньому матеріально-технічному забезпеченні. Переважно за рахунок коштів, зароблених службою, було проведено технічне переозброєння та модернізацію технологічних ліній цифрового і фотограмметричного виробництва. Вдалося зняти з озброєння значну частину морально та фізично застарілої техніки і перейти на високоефективні та енергозберігаючі технології топогеодезичного виробництва з використанням комп’ютерних технологій.</w:t>
      </w:r>
    </w:p>
    <w:p w14:paraId="7B45C198"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Особливу увагу топографічною службою приділено розробці документів законодавчої та нормативно-правової бази з питань топогеодезичного забезпечення. З 2000 року топографічна служба безпосередньо підійшла до створення на основі цифрових карт електронних карт та тривимірних моделей місцевості, які дають можливість підняти на новий рівень ефективність прийняття рішень та застосування засобів ураження </w:t>
      </w:r>
      <w:r w:rsidRPr="00B44B71">
        <w:rPr>
          <w:rFonts w:ascii="Times New Roman" w:eastAsia="Calibri" w:hAnsi="Times New Roman" w:cs="Times New Roman"/>
          <w:color w:val="000000"/>
          <w:kern w:val="0"/>
          <w:sz w:val="28"/>
          <w:szCs w:val="28"/>
          <w:lang w:val="uk-UA"/>
          <w14:ligatures w14:val="none"/>
        </w:rPr>
        <w:t>[10]</w:t>
      </w:r>
      <w:r w:rsidRPr="00B44B71">
        <w:rPr>
          <w:rFonts w:ascii="Times New Roman" w:eastAsia="Calibri" w:hAnsi="Times New Roman" w:cs="Times New Roman"/>
          <w:kern w:val="0"/>
          <w:sz w:val="28"/>
          <w:szCs w:val="28"/>
          <w:lang w:val="uk-UA"/>
          <w14:ligatures w14:val="none"/>
        </w:rPr>
        <w:t>.</w:t>
      </w:r>
    </w:p>
    <w:p w14:paraId="3E20E28C"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У технічному оснащенні основний наголос зроблено на використанні супутникових навігаційних приладів для геодезичних вимірів, супроводженні вітчизняних розробок супутникових навігаційних засобів GPS, застосуванні сучасних фотограмметричних комплексів та цифрових даних дистанційного зондування земної поверхні, сканерних технологій обробки фотографічних та картографічних зображень, технологій одержання паперових карт, минаючи традиційні способи підготовки карт до видання.</w:t>
      </w:r>
    </w:p>
    <w:p w14:paraId="0E9FF84B"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За період активної роботи із забезпечення переговорних процесів з делімітації та демаркації (редемаркації) державного кордону були проведені та завершені роботи з договірно-правового оформлення </w:t>
      </w:r>
      <w:r w:rsidRPr="00B44B71">
        <w:rPr>
          <w:rFonts w:ascii="Times New Roman" w:eastAsia="Calibri" w:hAnsi="Times New Roman" w:cs="Times New Roman"/>
          <w:color w:val="000000"/>
          <w:kern w:val="0"/>
          <w:sz w:val="28"/>
          <w:szCs w:val="28"/>
          <w:lang w:val="uk-UA"/>
          <w14:ligatures w14:val="none"/>
        </w:rPr>
        <w:t>[10]</w:t>
      </w:r>
      <w:r w:rsidRPr="00B44B71">
        <w:rPr>
          <w:rFonts w:ascii="Times New Roman" w:eastAsia="Calibri" w:hAnsi="Times New Roman" w:cs="Times New Roman"/>
          <w:kern w:val="0"/>
          <w:sz w:val="28"/>
          <w:szCs w:val="28"/>
          <w:lang w:val="uk-UA"/>
          <w14:ligatures w14:val="none"/>
        </w:rPr>
        <w:t xml:space="preserve">: у 1994 році завершені роботи першої спільної перевірки проходження лінії державного кордону зі Словацькою Республікою, проведеної у 1989-1994 роках; у 2002 році завершені роботи першої спільної перевірки проходження лінії державного кордону з Республікою Польща, проведеної у 1994-2001 роках; у 2003 році завершені роботи першої спільної перевірки проходження лінії державного </w:t>
      </w:r>
      <w:r w:rsidRPr="00B44B71">
        <w:rPr>
          <w:rFonts w:ascii="Times New Roman" w:eastAsia="Calibri" w:hAnsi="Times New Roman" w:cs="Times New Roman"/>
          <w:kern w:val="0"/>
          <w:sz w:val="28"/>
          <w:szCs w:val="28"/>
          <w:lang w:val="uk-UA"/>
          <w14:ligatures w14:val="none"/>
        </w:rPr>
        <w:lastRenderedPageBreak/>
        <w:t>кордону з Угорською Республікою, проведеної у 1997-2003 роках; у період 2004-2006 років проведено роботи другої спільної перевірки проходження лінії державного кордону зі Словацькою Республікою; у період 2004-2009 років проведено роботи першої спільної перевірки проходження лінії державного кордону з Румунією.</w:t>
      </w:r>
    </w:p>
    <w:p w14:paraId="2A050A26"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Топографічною службою проведені підготовчі роботи для переходу на системи координат WGS-84 та УСК-2000. З 2008 року топографічна служба приступила до розробки аеронавігаційних карт у стандартах НАТО </w:t>
      </w:r>
      <w:r w:rsidRPr="00B44B71">
        <w:rPr>
          <w:rFonts w:ascii="Times New Roman" w:eastAsia="Calibri" w:hAnsi="Times New Roman" w:cs="Times New Roman"/>
          <w:color w:val="000000"/>
          <w:kern w:val="0"/>
          <w:sz w:val="28"/>
          <w:szCs w:val="28"/>
          <w:lang w:val="uk-UA"/>
          <w14:ligatures w14:val="none"/>
        </w:rPr>
        <w:t>[10]</w:t>
      </w:r>
      <w:r w:rsidRPr="00B44B71">
        <w:rPr>
          <w:rFonts w:ascii="Times New Roman" w:eastAsia="Calibri" w:hAnsi="Times New Roman" w:cs="Times New Roman"/>
          <w:kern w:val="0"/>
          <w:sz w:val="28"/>
          <w:szCs w:val="28"/>
          <w:lang w:val="uk-UA"/>
          <w14:ligatures w14:val="none"/>
        </w:rPr>
        <w:t>. За            30 років топографічною службою виконано великий обсяг принципово важливих завдань із топогеодезичного забезпечення.</w:t>
      </w:r>
    </w:p>
    <w:p w14:paraId="1E63106D"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Одним із головних заходів, які проводить топографічна служба при виконанні своїх завдань, є підготовка офіцерських кадрів для комплектування військових частин топографічної служби.</w:t>
      </w:r>
    </w:p>
    <w:p w14:paraId="5979D70D"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Після проголошення незалежності України та створення ЗС України, військові навчальні заклади, які готували офіцерів-фахівців топографічної служби тактичного та оперативно-тактичного рівнів підготовки залишились за кордоном, у російській федерації.</w:t>
      </w:r>
    </w:p>
    <w:p w14:paraId="323BE311"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Концепція реформування військової освіти передбачала створення системи забезпечення ЗС України військовими спеціалістами при мінімальних фінансових затратах. Створювати спеціалізований військовий навчальний заклад для підготовки офіцерів топографічної служби було недоцільно.</w:t>
      </w:r>
    </w:p>
    <w:p w14:paraId="3E82D8BF"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За відомостями </w:t>
      </w:r>
      <w:r w:rsidRPr="00B44B71">
        <w:rPr>
          <w:rFonts w:ascii="Times New Roman" w:eastAsia="Calibri" w:hAnsi="Times New Roman" w:cs="Times New Roman"/>
          <w:color w:val="000000"/>
          <w:kern w:val="0"/>
          <w:sz w:val="28"/>
          <w:szCs w:val="28"/>
          <w:lang w:val="uk-UA"/>
          <w14:ligatures w14:val="none"/>
        </w:rPr>
        <w:t>[10] у</w:t>
      </w:r>
      <w:r w:rsidRPr="00B44B71">
        <w:rPr>
          <w:rFonts w:ascii="Times New Roman" w:eastAsia="Calibri" w:hAnsi="Times New Roman" w:cs="Times New Roman"/>
          <w:kern w:val="0"/>
          <w:sz w:val="28"/>
          <w:szCs w:val="28"/>
          <w:lang w:val="uk-UA"/>
          <w14:ligatures w14:val="none"/>
        </w:rPr>
        <w:t xml:space="preserve"> 1992 році в Київському інституті Військово-повітряних Сил на базі факультету “Енергетичні розвідувальні та керуючі комплекси” була створена кафедра “Аерофотогеодезії та геоінформаційних технологій”, на яку покладалось завдання щодо підготовки офіцерів топографічної служби за фахом “Фотограмметрія”. У тому ж році був проведений перший набір курсантів, але через нестачу коштів створити сучасну навчальну базу на кафедрі так і не вдалося. У 1996 році від замовлення на підготовку офіцерів-фахівців топографічної служби в цьому навчальному закладі довелося відмовитись </w:t>
      </w:r>
      <w:r w:rsidRPr="00B44B71">
        <w:rPr>
          <w:rFonts w:ascii="Times New Roman" w:eastAsia="Calibri" w:hAnsi="Times New Roman" w:cs="Times New Roman"/>
          <w:color w:val="000000"/>
          <w:kern w:val="0"/>
          <w:sz w:val="28"/>
          <w:szCs w:val="28"/>
          <w:lang w:val="uk-UA"/>
          <w14:ligatures w14:val="none"/>
        </w:rPr>
        <w:t>[10]</w:t>
      </w:r>
      <w:r w:rsidRPr="00B44B71">
        <w:rPr>
          <w:rFonts w:ascii="Times New Roman" w:eastAsia="Calibri" w:hAnsi="Times New Roman" w:cs="Times New Roman"/>
          <w:kern w:val="0"/>
          <w:sz w:val="28"/>
          <w:szCs w:val="28"/>
          <w:lang w:val="uk-UA"/>
          <w14:ligatures w14:val="none"/>
        </w:rPr>
        <w:t>.</w:t>
      </w:r>
    </w:p>
    <w:p w14:paraId="3CC1DB7F"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У 1992 році рішенням Міністра оборони України були створені відділення військової підготовки у Національному університеті ім. Тараса Шевченка та Державному університеті “Львівська політехніка” </w:t>
      </w:r>
      <w:r w:rsidRPr="00B44B71">
        <w:rPr>
          <w:rFonts w:ascii="Times New Roman" w:eastAsia="Calibri" w:hAnsi="Times New Roman" w:cs="Times New Roman"/>
          <w:color w:val="000000"/>
          <w:kern w:val="0"/>
          <w:sz w:val="28"/>
          <w:szCs w:val="28"/>
          <w:lang w:val="uk-UA"/>
          <w14:ligatures w14:val="none"/>
        </w:rPr>
        <w:t>[10]</w:t>
      </w:r>
      <w:r w:rsidRPr="00B44B71">
        <w:rPr>
          <w:rFonts w:ascii="Times New Roman" w:eastAsia="Calibri" w:hAnsi="Times New Roman" w:cs="Times New Roman"/>
          <w:kern w:val="0"/>
          <w:sz w:val="28"/>
          <w:szCs w:val="28"/>
          <w:lang w:val="uk-UA"/>
          <w14:ligatures w14:val="none"/>
        </w:rPr>
        <w:t>.</w:t>
      </w:r>
    </w:p>
    <w:p w14:paraId="740E753E"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У 1993 році у вищезазначених університетах були розміщені держзамовлення на підготовку фахівців </w:t>
      </w:r>
      <w:r w:rsidRPr="00B44B71">
        <w:rPr>
          <w:rFonts w:ascii="Times New Roman" w:eastAsia="Calibri" w:hAnsi="Times New Roman" w:cs="Times New Roman"/>
          <w:color w:val="000000"/>
          <w:kern w:val="0"/>
          <w:sz w:val="28"/>
          <w:szCs w:val="28"/>
          <w:lang w:val="uk-UA"/>
          <w14:ligatures w14:val="none"/>
        </w:rPr>
        <w:t>[10]</w:t>
      </w:r>
      <w:r w:rsidRPr="00B44B71">
        <w:rPr>
          <w:rFonts w:ascii="Times New Roman" w:eastAsia="Calibri" w:hAnsi="Times New Roman" w:cs="Times New Roman"/>
          <w:kern w:val="0"/>
          <w:sz w:val="28"/>
          <w:szCs w:val="28"/>
          <w:lang w:val="uk-UA"/>
          <w14:ligatures w14:val="none"/>
        </w:rPr>
        <w:t>: у Національному університеті            ім. Тараса Шевченка – за спеціальністю “Картографія”; у Державному університеті “Львівська політехніка” – за спеціальностями “Астрономогеодезія” і “Фотограмметрія”. У 1998 році відбулись перші випуски офіцерів топографічної служби в цих військових навчальних закладах. Випускники були направлені для подальшого проходження служби в частини топографічної служби ЗС України, де поповнили ряди військових топографів і скоротили некомплект фахівців, який виник за останні роки.</w:t>
      </w:r>
    </w:p>
    <w:p w14:paraId="69B4D11E"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lastRenderedPageBreak/>
        <w:t>На даний час підготовкою кадрів для топографічної служби ЗС України займаються Військовий інститут Київського національного університету імені Тараса Шевченка (ВІКНУ) та 143 ОНТЦ СП ЗС України.</w:t>
      </w:r>
    </w:p>
    <w:p w14:paraId="58C76701"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Перший набір курсантів за цим фахом у ВІКНУ було здійснено відділенням військової підготовки разом із географічним факультетом у 1993 році </w:t>
      </w:r>
      <w:r w:rsidRPr="00B44B71">
        <w:rPr>
          <w:rFonts w:ascii="Times New Roman" w:eastAsia="Calibri" w:hAnsi="Times New Roman" w:cs="Times New Roman"/>
          <w:color w:val="000000"/>
          <w:kern w:val="0"/>
          <w:sz w:val="28"/>
          <w:szCs w:val="28"/>
          <w:lang w:val="uk-UA"/>
          <w14:ligatures w14:val="none"/>
        </w:rPr>
        <w:t>[10]</w:t>
      </w:r>
      <w:r w:rsidRPr="00B44B71">
        <w:rPr>
          <w:rFonts w:ascii="Times New Roman" w:eastAsia="Calibri" w:hAnsi="Times New Roman" w:cs="Times New Roman"/>
          <w:kern w:val="0"/>
          <w:sz w:val="28"/>
          <w:szCs w:val="28"/>
          <w:lang w:val="uk-UA"/>
          <w14:ligatures w14:val="none"/>
        </w:rPr>
        <w:t>. За місяць до цього в складі першого факультету відділення військової підготовки була створена кафедра картографії (з 2002 року – кафедра топогеодезичного та навігаційного забезпечення військ, з 2013 року – кафедра топогеодезичного забезпечення, з 2017 року – кафедра геоінформаційних систем і технологій).</w:t>
      </w:r>
    </w:p>
    <w:p w14:paraId="74C77BE9"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Нині кафедра геоінформаційних систем і технологій ВІКНУ здійснює підготовку військових фахівців тактичного рівня за спеціальністю “Геодезія та землеустрій”, спеціалізацією “Геоінформаційні системи і технології” </w:t>
      </w:r>
      <w:r w:rsidRPr="00B44B71">
        <w:rPr>
          <w:rFonts w:ascii="Times New Roman" w:eastAsia="Calibri" w:hAnsi="Times New Roman" w:cs="Times New Roman"/>
          <w:color w:val="000000"/>
          <w:kern w:val="0"/>
          <w:sz w:val="28"/>
          <w:szCs w:val="28"/>
          <w:lang w:val="uk-UA"/>
          <w14:ligatures w14:val="none"/>
        </w:rPr>
        <w:t>[10]</w:t>
      </w:r>
      <w:r w:rsidRPr="00B44B71">
        <w:rPr>
          <w:rFonts w:ascii="Times New Roman" w:eastAsia="Calibri" w:hAnsi="Times New Roman" w:cs="Times New Roman"/>
          <w:kern w:val="0"/>
          <w:sz w:val="28"/>
          <w:szCs w:val="28"/>
          <w:lang w:val="uk-UA"/>
          <w14:ligatures w14:val="none"/>
        </w:rPr>
        <w:t>. Навчальна та наукова бази навчального закладу повною мірою дають можливість готувати кваліфікованих фахівців топографічної служби за рівнями підготовки “Бакалавр” та “Магістр”, а вся система підготовки військових фахівців максимально інтегрована в систему цивільної освіти.</w:t>
      </w:r>
    </w:p>
    <w:p w14:paraId="23E97EBA"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143 ОНТЦ ЗС України був сформований в ході об’єднання Центру розмінування та Навчального центру КСП ЗС України у 2020 році. Проводить підготовку молодших спеціалістів, рядового та сержантського складу для топографічної служби. Підготовка проводиться за спеціальностями “Картографія”, “Топографія”, “Геодезія”, “Геоінформаціні технології і системи”, “Топографічна техніка та майно” з подальшим отриманням фаху “Картограф”, “Топограф”, “Геодезист”, “Оператор” та “Майстер” </w:t>
      </w:r>
      <w:r w:rsidRPr="00B44B71">
        <w:rPr>
          <w:rFonts w:ascii="Times New Roman" w:eastAsia="Calibri" w:hAnsi="Times New Roman" w:cs="Times New Roman"/>
          <w:color w:val="000000"/>
          <w:kern w:val="0"/>
          <w:sz w:val="28"/>
          <w:szCs w:val="28"/>
          <w:lang w:val="uk-UA"/>
          <w14:ligatures w14:val="none"/>
        </w:rPr>
        <w:t>[10]</w:t>
      </w:r>
      <w:r w:rsidRPr="00B44B71">
        <w:rPr>
          <w:rFonts w:ascii="Times New Roman" w:eastAsia="Calibri" w:hAnsi="Times New Roman" w:cs="Times New Roman"/>
          <w:kern w:val="0"/>
          <w:sz w:val="28"/>
          <w:szCs w:val="28"/>
          <w:lang w:val="uk-UA"/>
          <w14:ligatures w14:val="none"/>
        </w:rPr>
        <w:t>.</w:t>
      </w:r>
    </w:p>
    <w:p w14:paraId="4FAF5A65"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З 1995 року було організовано підготовку офіцерів-фахівців оперативно-тактичного рівня для топографічної служби ЗС України при Академії </w:t>
      </w:r>
      <w:r w:rsidRPr="00B44B71">
        <w:rPr>
          <w:rFonts w:ascii="Times New Roman" w:eastAsia="Calibri" w:hAnsi="Times New Roman" w:cs="Times New Roman"/>
          <w:kern w:val="0"/>
          <w:sz w:val="28"/>
          <w:szCs w:val="28"/>
          <w:lang w:val="uk-UA"/>
          <w14:ligatures w14:val="none"/>
        </w:rPr>
        <w:br/>
        <w:t xml:space="preserve">ЗС України </w:t>
      </w:r>
      <w:r w:rsidRPr="00B44B71">
        <w:rPr>
          <w:rFonts w:ascii="Times New Roman" w:eastAsia="Calibri" w:hAnsi="Times New Roman" w:cs="Times New Roman"/>
          <w:color w:val="000000"/>
          <w:kern w:val="0"/>
          <w:sz w:val="28"/>
          <w:szCs w:val="28"/>
          <w:lang w:val="uk-UA"/>
          <w14:ligatures w14:val="none"/>
        </w:rPr>
        <w:t>[10]</w:t>
      </w:r>
      <w:r w:rsidRPr="00B44B71">
        <w:rPr>
          <w:rFonts w:ascii="Times New Roman" w:eastAsia="Calibri" w:hAnsi="Times New Roman" w:cs="Times New Roman"/>
          <w:kern w:val="0"/>
          <w:sz w:val="28"/>
          <w:szCs w:val="28"/>
          <w:lang w:val="uk-UA"/>
          <w14:ligatures w14:val="none"/>
        </w:rPr>
        <w:t>. 1999 року Академії надано статус Національного вищого навчального закладу. У 2008 році Національну академії оборони України реорганізовано у Національний університет оборони України. Зараз Університет проводить підготовку фахівців за спеціалізацією “організація топогеодезичного та навігаційного забезпечення військ” за рівнем вищої освіти “магістр”.</w:t>
      </w:r>
    </w:p>
    <w:p w14:paraId="152BB0B5"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З початком відсічі збройної агресії російської федерації проти України перед топографічною службою постали нові виклики. Частина озброєння, яка була передана Силам оборони партнерами та союзниками України, використовує навігаційне обладнання у системі координат WGS-84. Тому постало проблемне питання у розробці технології переходу від систем координат СК-42 та УСК-2000 до системи координат WGS-84.</w:t>
      </w:r>
    </w:p>
    <w:p w14:paraId="4826C554"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Спеціалістами топографічної служби у найкоротші терміни були розроблені новітні зразки топографічних карт у системі координат WGS-84 із прямокутною сіткою UTM та системою цілевказання MGRS, настанови по їх створенню та системи перерахунку координат. З 01.06.2024 року ЗС України повністю перейшли на використання вище зазначених топографічних карт </w:t>
      </w:r>
      <w:r w:rsidRPr="00B44B71">
        <w:rPr>
          <w:rFonts w:ascii="Times New Roman" w:eastAsia="Calibri" w:hAnsi="Times New Roman" w:cs="Times New Roman"/>
          <w:color w:val="000000"/>
          <w:kern w:val="0"/>
          <w:sz w:val="28"/>
          <w:szCs w:val="28"/>
          <w:lang w:val="uk-UA"/>
          <w14:ligatures w14:val="none"/>
        </w:rPr>
        <w:t>[10]</w:t>
      </w:r>
      <w:r w:rsidRPr="00B44B71">
        <w:rPr>
          <w:rFonts w:ascii="Times New Roman" w:eastAsia="Calibri" w:hAnsi="Times New Roman" w:cs="Times New Roman"/>
          <w:kern w:val="0"/>
          <w:sz w:val="28"/>
          <w:szCs w:val="28"/>
          <w:lang w:val="uk-UA"/>
          <w14:ligatures w14:val="none"/>
        </w:rPr>
        <w:t xml:space="preserve">. </w:t>
      </w:r>
      <w:r w:rsidRPr="00B44B71">
        <w:rPr>
          <w:rFonts w:ascii="Times New Roman" w:eastAsia="Calibri" w:hAnsi="Times New Roman" w:cs="Times New Roman"/>
          <w:kern w:val="0"/>
          <w:sz w:val="28"/>
          <w:szCs w:val="28"/>
          <w:lang w:val="uk-UA"/>
          <w14:ligatures w14:val="none"/>
        </w:rPr>
        <w:lastRenderedPageBreak/>
        <w:t>Починаючи з 01.01.2026 усі топографо-геодезичні і картографічні роботи виконуються у Європейській вертикальній референційній системі (EVRS).</w:t>
      </w:r>
    </w:p>
    <w:p w14:paraId="126CFC7D"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Також, як і для військ РХБ захисту, аналіз попередніх досліджень не дозволив дійти до однозначної оцінки щодо динаміки зміни частки військових частин топографічної служби у складі ЗС України в різні періоди існування. Однак, простежується стійка тенденція щодо їх необґрунтованого скорочення у період до 2013 року та відмічається нарощення спроможностей, починаючи з активної фази АТО та в подальшому під час відсічи збройної агресії російської федерації проти України. </w:t>
      </w:r>
    </w:p>
    <w:p w14:paraId="7A1EFA22"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Станом на 1991 рік у Міністерстві оборони та у Генеральному штабі СРСР органів управління з питань гідрометеорологічного забезпечення не було [11]. Метеорологічні (гідрометеорологічні) служби Сухопутних військ, Військово-повітряних Сил, військ ППО та Військово-морських Сил існували кожний окремо. Гідрометеорологічне забезпечення у Радянській армії колишнього СРСР здійснювалось штатними: авіаційними метеорологічними підрозділами (Головний авіаційно-метеорологічний центр, метеорологічні бюро Військово-повітряних Сил, військ ППО, Військово-морських Сил, повітряних армій, авіаційних корпусів, авіаційних дивізій та льотних авіаційних училищ; метеорологічними службами авіаційних полків, окремих авіаційних ескадрилей, авіаційних полігонів, комендатур тощо); гідрометеорологічними підрозділами Сухопутних військ (метеорологічні взводи, батареї РВіА); Військово-Морських Сил (метеорологічне бюро ВМС, метеорологічні бюро флотів, флотилій) [11].  </w:t>
      </w:r>
    </w:p>
    <w:p w14:paraId="116EE96F"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Для виконання завдань гідрометеорологічного забезпечення Міністерства оборони, Генерального штаба та видів ЗС України 1 липня 1992 року було сформовано Головний гідрометеорологічний центр (ГМЦ) ЗС Украйни (115 осіб), який було підпорядковано заступнику начальника Генерального штабу ЗС України відповідно до розподілу повноважень.</w:t>
      </w:r>
    </w:p>
    <w:p w14:paraId="66FDFD32"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01 червня 1993 року була створена Гідрометеорологічна служба (ГМС) ЗС України у складі Головного оперативного управління Генерального штабу ЗС України. До складу ГМС перейшло все технічне оснащення та особовий склад гідрометеорологічних підрозділів СРСР, які базувались на території України.</w:t>
      </w:r>
    </w:p>
    <w:p w14:paraId="38E75802"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Згідно Директиви Міністра оборони Украйни від 11.03.1994 Головний ГМЦ ЗС України переведено на новий штат з чисельністю 154 особи [11].</w:t>
      </w:r>
    </w:p>
    <w:p w14:paraId="1E280D56"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Станом на 2002 рік Головний ГМЦ ЗС України переведено на штат з чисельністю 83 особи [11], що майже вдвічі знизило його спроможності.</w:t>
      </w:r>
    </w:p>
    <w:p w14:paraId="01945019"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З метою упорядкування управління у 2003 році ГМС ЗС України введено до складу Головного командного центру ЗС України. З 30.03.2003 Головний ГМЦ ЗС України перейменовано в Головний ГМЦ Генерального штабу ЗС України. В подальшому у 2008 році Головний ГМЦ Генерального штабу ЗС України знов підпорядковано Головному командному центру ЗС України. </w:t>
      </w:r>
    </w:p>
    <w:p w14:paraId="31D176DF"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Указом Президента України № 208/2003 від 11 березня 2003 року “Про День працівників гідрометеорологічної служби” 19 листопада визначено Днем працівників ГМС [11].</w:t>
      </w:r>
    </w:p>
    <w:p w14:paraId="4BCA0DCC"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lastRenderedPageBreak/>
        <w:t>У 2012 році ГМС ЗС України введено до складу Головного управління оперативного забезпечення ЗС України [11], перейменований ГМЦ ЗС України, підпорядкований начальнику Головного управління оперативного забезпечення ЗС України та з 30.06.2012 року переведений на новий штат з чисельністю 30 осіб [11], що привело до зниження спроможностей у п’ять разів у порівнянні із 1994 роком.</w:t>
      </w:r>
    </w:p>
    <w:p w14:paraId="218026B6"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На середину 2012 року ГМЦ ЗС України переведений на штат з чисельністю 15 осіб [11], що вже в десять разів зменшило його спроможності.</w:t>
      </w:r>
    </w:p>
    <w:p w14:paraId="4C59DCF2"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З 2020 року ГМС ЗС України входить до складу КСП ЗС України, а з 05.02.2020 ГМЦ ЗС України підпорядкований командувачу СП ЗС України. Чисельність особового складу ГМЦ ЗС України визначена 30 осіб [11].</w:t>
      </w:r>
    </w:p>
    <w:p w14:paraId="2E7E1F09"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З 01 листопада 2022 року ГМЦ ЗС України перейшов на штат воєнного часу. На даний час у ЗС України нараховується понад 70 гідрометеорологічних (метеорологічних) підрозділів [11], де проходять службу понад 550 військовослужбовців та працівників ЗС України.</w:t>
      </w:r>
    </w:p>
    <w:p w14:paraId="37795E0F"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Сучасна ГМС ЗС України представляє собою систему структурних підрозділів органів військового управління, штатні гідрометеорологічні (метеорологічні) підрозділи видів ЗС України, які призначені для здійснення спостережень за гідрометеорологічними умовами, аналізу й узагальнення отриманих даних, забезпечення фактичною і прогностичною гідрометеорологічною інформацією органів військового управління, військових частин (підрозділів) ЗС України.</w:t>
      </w:r>
    </w:p>
    <w:p w14:paraId="461A2B5B"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Основним призначення ГМС ЗС України є гідрометеорологічна підтримка, що представляє собою комплекс взаємопов’язаних організаційних і практичних заходів, які здійснюються для оцінки та урахування гідрометеорологічних умов під час прийняття рішень, планування, підготовки і проведення операцій (бойових дій), використання гідрометеорологічних даних для ефективного застосування зброї і бойової техніки та попередження про небезпечні і стихійні гідрометеорологічні явища.</w:t>
      </w:r>
    </w:p>
    <w:p w14:paraId="74FE2DF4"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Загальне керівництво гідрометеорологічною підтримкою ЗС України здійснює Головнокомандувач ЗС України через командувача Сил підтримки ЗС України. Безпосереднє керівництво гідрометеорологічною підтримкою здійснюють командувачі видів ЗС України, Об’єднаних сил, окремих родів військ (сил), повітряних командувань, командири авіаційних, морських, артилерійських, безпілотних військових частин (підрозділів). </w:t>
      </w:r>
    </w:p>
    <w:p w14:paraId="5635D90F"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ГМС ЗС України виконує завдання у тісній взаємодії з Державною гідрометеорологічною службою України, яка є центральним органом виконавчої влади в сфері гідрометеорології, та її підпорядкованими закладами і установами. </w:t>
      </w:r>
    </w:p>
    <w:p w14:paraId="6AD4F22F"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Підготовка військових фахівців для гідрометеорологічних підрозділів ЗС України здійснюється в загальній системі військової освіти, яка забезпечує підготовку, перепідготовку та підвищення кваліфікації особового складу відповідно до потреб гідрометеорологічної підтримки органів управління і військових частин ЗС України.</w:t>
      </w:r>
    </w:p>
    <w:p w14:paraId="065BD7D5" w14:textId="77777777" w:rsidR="00B44B71" w:rsidRPr="00B44B71" w:rsidRDefault="00B44B71" w:rsidP="00023291">
      <w:pPr>
        <w:tabs>
          <w:tab w:val="left" w:pos="9638"/>
        </w:tabs>
        <w:spacing w:after="0" w:line="240" w:lineRule="auto"/>
        <w:ind w:left="-15"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lastRenderedPageBreak/>
        <w:t xml:space="preserve">Підготовка офіцерів тактичного рівня для комплектування гідрометеорологічних підрозділів ЗС України здійснюється на кафедрі військової підготовки Одеського національного університету імені </w:t>
      </w:r>
      <w:r w:rsidRPr="00B44B71">
        <w:rPr>
          <w:rFonts w:ascii="Times New Roman" w:eastAsia="Calibri" w:hAnsi="Times New Roman" w:cs="Times New Roman"/>
          <w:kern w:val="0"/>
          <w:sz w:val="28"/>
          <w:szCs w:val="28"/>
          <w:lang w:val="uk-UA"/>
          <w14:ligatures w14:val="none"/>
        </w:rPr>
        <w:br/>
        <w:t xml:space="preserve">І.І. Мечникова за спеціальністю “Наука про землю”, спеціалізація “Організація метеорологічного та геофізичного забезпечення ЗС України”, освітньо-кваліфікаційний рівень “бакалавр” та “магістр” [11]. За період існування кафедри підготовлено більш 300 випускників кафедри, які проходять службу у всіх видах ЗС України. </w:t>
      </w:r>
    </w:p>
    <w:p w14:paraId="0C73C971"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Таким чином, проведений аналіз історичного досвіду формування, трансформації та застосування родів спеціальних військ та служб СП ЗС України вказує на наявність спільних рис їх розвитку на різних етапах існування ЗС України. Уточнення закономірностей розвитку СП ЗС України ґрунтується на відносно сталих принципах об’єднаної підтримки та враховує особливості ведення сучасних воєнних конфліктів у різних доменах із застосуванням новітніх засобів виявлення та ураження, захисту та протиповітряного прикриття військ (сил) тощо.</w:t>
      </w:r>
    </w:p>
    <w:p w14:paraId="5103BD54"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За досвідом АТО (ООС), відсічі збройної агресії російської федерації проти України основними принципами об’єднаної підтримки залишаються:</w:t>
      </w:r>
    </w:p>
    <w:p w14:paraId="17833215"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висока бойова готовність військових частин та підрозділів СП ЗС України до виконання завдань згідно свого штатного призначення;</w:t>
      </w:r>
    </w:p>
    <w:p w14:paraId="1F251F0E"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зосередження основних зусиль на головному напрямку;</w:t>
      </w:r>
    </w:p>
    <w:p w14:paraId="6E25243D"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застосування військових частин (підрозділів) СП ЗС України в операції (бойових діях) у відповідності з їх призначенням та з урахуванням максимального використання озброєння, військової та спеціальної техніки (ОВСТ) за номенклатурою СП ЗС України;</w:t>
      </w:r>
    </w:p>
    <w:p w14:paraId="21EC354B"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залучення до виконання завдань і заходів об’єднаної підтримки загальновійськових підрозділів, підрозділів забезпечення, що не беруть безпосередню участь у бойових діях;</w:t>
      </w:r>
    </w:p>
    <w:p w14:paraId="7DC53EE8"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підсилення (оперативне підпорядкування) діючих угруповань військ (сил), які діють на головному напрямку (напрямку зосередження основних зусиль);</w:t>
      </w:r>
    </w:p>
    <w:p w14:paraId="130B411F"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виконання основних завдань і заходів об’єднаної підтримки військ (сил) у короткі терміни наявними силами і засобами в інтересах об’єднань, з’єднань та військових частин родів військ (сил), залишаючись у підпорядкуванні безпосереднього начальника;</w:t>
      </w:r>
    </w:p>
    <w:p w14:paraId="31CDF909"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передбачення та здійснення маневру силами і засобами СП ЗС України при підготовці та в ході ведення бойових дій;</w:t>
      </w:r>
    </w:p>
    <w:p w14:paraId="45D79FA4"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постійна наявність та своєчасне відновлення резерву СП ЗС України;</w:t>
      </w:r>
    </w:p>
    <w:p w14:paraId="7C143A74"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тісна взаємодія військових частин (підрозділів) СП ЗС України із з’єднаннями (частинами, підрозділами) родів військ (сил) та спеціальних військ, а також між собою під час виконання завдань за призначенням.</w:t>
      </w:r>
    </w:p>
    <w:p w14:paraId="2F137937"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Враховуючи системний підхід до об’єднаної підтримки військ (сил), вимоги до спроможностей СП ЗС України будуть визначатися виходячи із потреби забезпечення успішного виконання стоячих перед ними завдань та </w:t>
      </w:r>
      <w:r w:rsidRPr="00B44B71">
        <w:rPr>
          <w:rFonts w:ascii="Times New Roman" w:eastAsia="Calibri" w:hAnsi="Times New Roman" w:cs="Times New Roman"/>
          <w:kern w:val="0"/>
          <w:sz w:val="28"/>
          <w:szCs w:val="28"/>
          <w:lang w:val="uk-UA"/>
          <w14:ligatures w14:val="none"/>
        </w:rPr>
        <w:lastRenderedPageBreak/>
        <w:t>досягнення успіху операції (бойових дій) взагалі. Так, виходячи із характеру, послідовності та способів ведення збройної боротьби, визначається мета об’єднаної підтримки військ (сил), яка у свою чергу досягається виконанням низки відповідних завдань об’єднаної підтримки ЗС України. Характер, обсяги та послідовність виконання цих завдань поряд зі спроможностями наявних сил та засобів підтримки напряму впливають на способи їх бойового застосування.</w:t>
      </w:r>
    </w:p>
    <w:p w14:paraId="191DFD3D"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Виходячи зі всього зазначеного, основними закономірностями розвитку СП ЗС України є:</w:t>
      </w:r>
    </w:p>
    <w:p w14:paraId="2E88C0DD"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залежність їх складу від структури інших родів військ (сил), відповідність різноманітним видам бойових дій та завданням, що виконуються;</w:t>
      </w:r>
    </w:p>
    <w:p w14:paraId="4F5B9E80"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дотримання найбільш раціонального співвідношення організаційних структур різного призначення та залежність від складу сил та засобів, що виділяються для їх формування; </w:t>
      </w:r>
    </w:p>
    <w:p w14:paraId="08DC6188"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удосконалення військової освіти та підготовки у залежності від кількісного й якісного росту ОВСТ за номенклатурою СП ЗС України.</w:t>
      </w:r>
    </w:p>
    <w:p w14:paraId="09964765"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При чому, оцінку існуючого стану СП ЗС України у загальному підході можна зробити на прикладі порівняння показника частки інженерних військ </w:t>
      </w:r>
      <w:r w:rsidRPr="00B44B71">
        <w:rPr>
          <w:rFonts w:ascii="Times New Roman" w:eastAsia="Calibri" w:hAnsi="Times New Roman" w:cs="Times New Roman"/>
          <w:kern w:val="0"/>
          <w:sz w:val="28"/>
          <w:szCs w:val="28"/>
          <w:lang w:val="uk-UA"/>
          <w14:ligatures w14:val="none"/>
        </w:rPr>
        <w:br/>
        <w:t>ЗС України та провідних країн світу, відомості про які наведено на рисунку.</w:t>
      </w:r>
    </w:p>
    <w:p w14:paraId="653DAEE1"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p>
    <w:p w14:paraId="0A6AC8A1" w14:textId="77777777" w:rsidR="00B44B71" w:rsidRPr="00B44B71" w:rsidRDefault="00B44B71" w:rsidP="00023291">
      <w:pPr>
        <w:tabs>
          <w:tab w:val="left" w:pos="9638"/>
        </w:tabs>
        <w:spacing w:after="0" w:line="240" w:lineRule="auto"/>
        <w:jc w:val="center"/>
        <w:rPr>
          <w:rFonts w:ascii="Times New Roman" w:eastAsia="Calibri" w:hAnsi="Times New Roman" w:cs="Times New Roman"/>
          <w:kern w:val="0"/>
          <w:sz w:val="28"/>
          <w:szCs w:val="28"/>
          <w:lang w:val="uk-UA"/>
          <w14:ligatures w14:val="none"/>
        </w:rPr>
      </w:pPr>
      <w:r w:rsidRPr="00B44B71">
        <w:rPr>
          <w:rFonts w:ascii="Calibri" w:eastAsia="Calibri" w:hAnsi="Calibri" w:cs="Times New Roman"/>
          <w:noProof/>
          <w:kern w:val="0"/>
          <w:lang w:val="uk-UA" w:eastAsia="uk-UA"/>
          <w14:ligatures w14:val="none"/>
        </w:rPr>
        <w:drawing>
          <wp:inline distT="0" distB="0" distL="0" distR="0" wp14:anchorId="17523E95" wp14:editId="49379745">
            <wp:extent cx="4572000" cy="2743200"/>
            <wp:effectExtent l="0" t="0" r="0" b="0"/>
            <wp:docPr id="2" name="Діаграма 9045808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D9F88A1" w14:textId="77777777" w:rsidR="00B44B71" w:rsidRPr="00B44B71" w:rsidRDefault="00B44B71" w:rsidP="00023291">
      <w:pPr>
        <w:tabs>
          <w:tab w:val="left" w:pos="9638"/>
        </w:tabs>
        <w:spacing w:after="0" w:line="240" w:lineRule="auto"/>
        <w:jc w:val="center"/>
        <w:rPr>
          <w:rFonts w:ascii="Times New Roman" w:eastAsia="Calibri" w:hAnsi="Times New Roman" w:cs="Times New Roman"/>
          <w:kern w:val="0"/>
          <w:sz w:val="28"/>
          <w:szCs w:val="28"/>
          <w:lang w:val="uk-UA"/>
          <w14:ligatures w14:val="none"/>
        </w:rPr>
      </w:pPr>
    </w:p>
    <w:p w14:paraId="2C494E8C" w14:textId="77777777" w:rsidR="00B44B71" w:rsidRPr="00B44B71" w:rsidRDefault="00B44B71" w:rsidP="00023291">
      <w:pPr>
        <w:tabs>
          <w:tab w:val="left" w:pos="9638"/>
        </w:tabs>
        <w:spacing w:after="0" w:line="240" w:lineRule="auto"/>
        <w:jc w:val="center"/>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Рис. 1. Орієнтовні відомості щодо частки інженерних військ у складі збройних сил держав (станом на 2013 рік)</w:t>
      </w:r>
    </w:p>
    <w:p w14:paraId="13572455" w14:textId="77777777" w:rsidR="00B44B71" w:rsidRPr="00B44B71" w:rsidRDefault="00B44B71" w:rsidP="00023291">
      <w:pPr>
        <w:tabs>
          <w:tab w:val="left" w:pos="9638"/>
        </w:tabs>
        <w:spacing w:after="0" w:line="240" w:lineRule="auto"/>
        <w:jc w:val="center"/>
        <w:rPr>
          <w:rFonts w:ascii="Times New Roman" w:eastAsia="Calibri" w:hAnsi="Times New Roman" w:cs="Times New Roman"/>
          <w:kern w:val="0"/>
          <w:sz w:val="28"/>
          <w:szCs w:val="28"/>
          <w:lang w:val="uk-UA"/>
          <w14:ligatures w14:val="none"/>
        </w:rPr>
      </w:pPr>
    </w:p>
    <w:p w14:paraId="111991B2"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Частка інженерних військ у складі ЗС України станом на кінець 2013 року складала 1,7%, чисельне значення якого майже у два рази нижче ніж у 1992 році. Порівняльний аналіз (рисунок) показав, що в провідних країнах світу частка інженерних військ у складі збройних сил в середньому була в 2…5 раз більша ніж у ЗС України. Цей факт свідчить про загальносвітову тенденцію збільшення уваги до підтримки військ (сил) у провідних країнах світу. Навіть у такої розвинутої у воєнному відношенні країни як США на 10 піхотинців в середньому приходиться 1 сапер.</w:t>
      </w:r>
    </w:p>
    <w:p w14:paraId="1CF711B7"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lastRenderedPageBreak/>
        <w:t xml:space="preserve">Розрахунки показали, що мінімально потрібний рівень цього показника має бути не нижче ніж 3%. Вказаний показник станом на кінець 2022 року за штатною чисельністю було збільшено майже вдвічі. Однак, за рахунок проведення організаційних заходів та з врахуванням втрат особового складу на даний час наявна чисельність СП ЗС України знов зменшилася. При цьому комплектування військових частин (підрозділів) особовим складом, ОВСТ за номенклатурою СП ЗС України надалі залишається поза пріоритетом та здійснюється за остаточним принципом. </w:t>
      </w:r>
    </w:p>
    <w:p w14:paraId="4D6F47DC"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Отже, за результатами оцінки існуючого стану розвитку СП ЗС України із застосуванням комплексного підходу DOTMLPFI визначено п’ять стратегічних пріоритетів розвитку:</w:t>
      </w:r>
    </w:p>
    <w:p w14:paraId="4124AD78"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удосконалення системи управління об’єднаною підтримкою військ (сил);</w:t>
      </w:r>
    </w:p>
    <w:p w14:paraId="371FB9AC"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розвиток організаційних структур військових частин (підрозділів) підтримки;</w:t>
      </w:r>
    </w:p>
    <w:p w14:paraId="5722D699"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розвиток доктринальної бази для потреб СП ЗС України;</w:t>
      </w:r>
    </w:p>
    <w:p w14:paraId="6E8F80A0"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удосконалення військової освіти та підготовки, набуття лідерських якостей та ресурсного забезпечення із врахуванням потреби інтенсифікації наукових досліджень в інтересах СП ЗС України;</w:t>
      </w:r>
    </w:p>
    <w:p w14:paraId="12465A30" w14:textId="77777777" w:rsidR="00B44B71" w:rsidRPr="00B44B71" w:rsidRDefault="00B44B71" w:rsidP="00023291">
      <w:pPr>
        <w:tabs>
          <w:tab w:val="left" w:pos="9638"/>
        </w:tabs>
        <w:spacing w:after="0" w:line="240" w:lineRule="auto"/>
        <w:ind w:firstLine="724"/>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забезпечення новітніми зразками та оновлення ОВСТ за номенклатурою СП ЗС України, модернізація застарілих зразків та прийняття на озброєння нових.</w:t>
      </w:r>
    </w:p>
    <w:bookmarkEnd w:id="1"/>
    <w:p w14:paraId="2FFE91D2"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b/>
          <w:kern w:val="0"/>
          <w:sz w:val="28"/>
          <w:szCs w:val="28"/>
          <w:lang w:val="uk-UA"/>
          <w14:ligatures w14:val="none"/>
        </w:rPr>
        <w:t xml:space="preserve">Висновки та перспективи подальших досліджень. </w:t>
      </w:r>
      <w:r w:rsidRPr="00B44B71">
        <w:rPr>
          <w:rFonts w:ascii="Times New Roman" w:eastAsia="Calibri" w:hAnsi="Times New Roman" w:cs="Times New Roman"/>
          <w:kern w:val="0"/>
          <w:sz w:val="28"/>
          <w:szCs w:val="28"/>
          <w:lang w:val="uk-UA"/>
          <w14:ligatures w14:val="none"/>
        </w:rPr>
        <w:t>За результатами дослідження історичного досвіду формування, трансформації та застосування СП ЗС України у мирний час та бойових умовах дозволили уточнити закономірності та обґрунтувати тенденції розвитку СП ЗС України, удосконалення військової освіти та підготовки в їх інтересах. Практична реалізація обґрунтованих перспективних напрямків дозволить зробити СП ЗС України оптимальними за чисельністю, оснащеними сучасними ОВСТ, всебічно підготовленими та забезпеченими. При цьому, військові частини (підрозділи) підтримки на середньострокову та довгострокову перспективу будуть спроможні виконувати покладені на них завдання, а також досягти євроатлантичних стандартів та критеріїв, що дозволить брати повноцінну участь у спільних операціях зі збройними силами НАТО. Напрямком подальших досліджень є воєнно-економічне обґрунтування потрібного ресурсного забезпечення заходів для реалізації перспективних напрямків розвитку СП ЗС України із врахуванням можливих ризиків та загроз.</w:t>
      </w:r>
    </w:p>
    <w:p w14:paraId="542CE979"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p>
    <w:p w14:paraId="26A5B062" w14:textId="2C3D72F1" w:rsidR="00B44B71" w:rsidRPr="008E3172" w:rsidRDefault="00B44B71" w:rsidP="008E3172">
      <w:pPr>
        <w:tabs>
          <w:tab w:val="left" w:pos="9638"/>
        </w:tabs>
        <w:spacing w:after="0" w:line="240" w:lineRule="auto"/>
        <w:jc w:val="center"/>
        <w:rPr>
          <w:rFonts w:ascii="Times New Roman" w:eastAsia="Calibri" w:hAnsi="Times New Roman" w:cs="Times New Roman"/>
          <w:color w:val="000000"/>
          <w:kern w:val="0"/>
          <w:sz w:val="24"/>
          <w:szCs w:val="24"/>
          <w:lang w:val="uk-UA"/>
          <w14:ligatures w14:val="none"/>
        </w:rPr>
      </w:pPr>
      <w:r w:rsidRPr="008E3172">
        <w:rPr>
          <w:rFonts w:ascii="Times New Roman" w:eastAsia="Calibri" w:hAnsi="Times New Roman" w:cs="Times New Roman"/>
          <w:b/>
          <w:color w:val="000000"/>
          <w:kern w:val="0"/>
          <w:sz w:val="24"/>
          <w:szCs w:val="24"/>
          <w:lang w:val="uk-UA"/>
          <w14:ligatures w14:val="none"/>
        </w:rPr>
        <w:t>ЛІТЕРАТУРА</w:t>
      </w:r>
    </w:p>
    <w:p w14:paraId="3D6C74A5" w14:textId="70B47234" w:rsidR="00B44B71" w:rsidRPr="008E3172" w:rsidRDefault="00B44B71" w:rsidP="00F516E7">
      <w:pPr>
        <w:tabs>
          <w:tab w:val="left" w:pos="993"/>
          <w:tab w:val="left" w:pos="9638"/>
        </w:tabs>
        <w:spacing w:after="0" w:line="240" w:lineRule="auto"/>
        <w:ind w:firstLine="709"/>
        <w:jc w:val="both"/>
        <w:rPr>
          <w:rFonts w:ascii="Times New Roman" w:eastAsia="Calibri" w:hAnsi="Times New Roman" w:cs="Times New Roman"/>
          <w:color w:val="000000"/>
          <w:spacing w:val="-4"/>
          <w:kern w:val="0"/>
          <w:sz w:val="24"/>
          <w:szCs w:val="24"/>
          <w:lang w:val="uk-UA"/>
          <w14:ligatures w14:val="none"/>
        </w:rPr>
      </w:pPr>
      <w:r w:rsidRPr="008E3172">
        <w:rPr>
          <w:rFonts w:ascii="Times New Roman" w:eastAsia="Calibri" w:hAnsi="Times New Roman" w:cs="Times New Roman"/>
          <w:color w:val="000000"/>
          <w:spacing w:val="-4"/>
          <w:kern w:val="0"/>
          <w:sz w:val="24"/>
          <w:szCs w:val="24"/>
          <w:lang w:val="uk-UA"/>
          <w14:ligatures w14:val="none"/>
        </w:rPr>
        <w:t xml:space="preserve">1. Красота І.В. Інженерні війська ЗС України: розбудова та застосування (1992 – 2018 р.р.): дисер. канд. істор. наук. К.: НУОУ, 2020. 309 с. </w:t>
      </w:r>
      <w:r w:rsidRPr="008E3172">
        <w:rPr>
          <w:rFonts w:ascii="Times New Roman" w:eastAsia="Calibri" w:hAnsi="Times New Roman" w:cs="Times New Roman"/>
          <w:color w:val="000000"/>
          <w:spacing w:val="-4"/>
          <w:kern w:val="0"/>
          <w:sz w:val="24"/>
          <w:szCs w:val="24"/>
          <w14:ligatures w14:val="none"/>
        </w:rPr>
        <w:t>URL</w:t>
      </w:r>
      <w:r w:rsidRPr="008E3172">
        <w:rPr>
          <w:rFonts w:ascii="Times New Roman" w:eastAsia="Calibri" w:hAnsi="Times New Roman" w:cs="Times New Roman"/>
          <w:color w:val="000000"/>
          <w:spacing w:val="-4"/>
          <w:kern w:val="0"/>
          <w:sz w:val="24"/>
          <w:szCs w:val="24"/>
          <w:lang w:val="uk-UA"/>
          <w14:ligatures w14:val="none"/>
        </w:rPr>
        <w:t xml:space="preserve">: </w:t>
      </w:r>
      <w:hyperlink r:id="rId16" w:history="1">
        <w:r w:rsidR="00422A49" w:rsidRPr="00750EB1">
          <w:rPr>
            <w:rStyle w:val="Hyperlink"/>
            <w:rFonts w:ascii="Times New Roman" w:eastAsia="Calibri" w:hAnsi="Times New Roman"/>
            <w:spacing w:val="-4"/>
            <w:kern w:val="0"/>
            <w:sz w:val="24"/>
            <w:szCs w:val="24"/>
            <w:lang w:val="uk-UA"/>
            <w14:ligatures w14:val="none"/>
          </w:rPr>
          <w:t>https://nuou.org.ua/assets/ dissertations/diser/dis_krasota_16_10_2020.pdf</w:t>
        </w:r>
      </w:hyperlink>
      <w:r w:rsidRPr="008E3172">
        <w:rPr>
          <w:rFonts w:ascii="Times New Roman" w:eastAsia="Calibri" w:hAnsi="Times New Roman" w:cs="Times New Roman"/>
          <w:color w:val="000000"/>
          <w:spacing w:val="-4"/>
          <w:kern w:val="0"/>
          <w:sz w:val="24"/>
          <w:szCs w:val="24"/>
          <w:lang w:val="uk-UA"/>
          <w14:ligatures w14:val="none"/>
        </w:rPr>
        <w:t>.</w:t>
      </w:r>
    </w:p>
    <w:p w14:paraId="04C3BE01" w14:textId="77777777" w:rsidR="00B44B71" w:rsidRPr="008E3172" w:rsidRDefault="00B44B71" w:rsidP="00F516E7">
      <w:pPr>
        <w:tabs>
          <w:tab w:val="left" w:pos="993"/>
          <w:tab w:val="left" w:pos="9638"/>
        </w:tabs>
        <w:spacing w:after="0" w:line="240" w:lineRule="auto"/>
        <w:ind w:firstLine="709"/>
        <w:jc w:val="both"/>
        <w:rPr>
          <w:rFonts w:ascii="Times New Roman" w:eastAsia="Calibri" w:hAnsi="Times New Roman" w:cs="Times New Roman"/>
          <w:color w:val="000000"/>
          <w:kern w:val="0"/>
          <w:sz w:val="24"/>
          <w:szCs w:val="24"/>
          <w:lang w:val="uk-UA"/>
          <w14:ligatures w14:val="none"/>
        </w:rPr>
      </w:pPr>
      <w:r w:rsidRPr="008E3172">
        <w:rPr>
          <w:rFonts w:ascii="Times New Roman" w:eastAsia="Calibri" w:hAnsi="Times New Roman" w:cs="Times New Roman"/>
          <w:color w:val="000000"/>
          <w:kern w:val="0"/>
          <w:sz w:val="24"/>
          <w:szCs w:val="24"/>
          <w:lang w:val="uk-UA"/>
          <w14:ligatures w14:val="none"/>
        </w:rPr>
        <w:t xml:space="preserve">2. Красота І. В. Трансформація змін у структурі інженерних військ ЗС України в 1991–2004 роках / І. В. Красота // </w:t>
      </w:r>
      <w:r w:rsidRPr="008E3172">
        <w:rPr>
          <w:rFonts w:ascii="Times New Roman" w:eastAsia="Calibri" w:hAnsi="Times New Roman" w:cs="Times New Roman"/>
          <w:i/>
          <w:iCs/>
          <w:color w:val="000000"/>
          <w:kern w:val="0"/>
          <w:sz w:val="24"/>
          <w:szCs w:val="24"/>
          <w:lang w:val="uk-UA"/>
          <w14:ligatures w14:val="none"/>
        </w:rPr>
        <w:t>Воєнно-історичний вісник: зб. наук. праць</w:t>
      </w:r>
      <w:r w:rsidRPr="008E3172">
        <w:rPr>
          <w:rFonts w:ascii="Times New Roman" w:eastAsia="Calibri" w:hAnsi="Times New Roman" w:cs="Times New Roman"/>
          <w:color w:val="000000"/>
          <w:kern w:val="0"/>
          <w:sz w:val="24"/>
          <w:szCs w:val="24"/>
          <w:lang w:val="uk-UA"/>
          <w14:ligatures w14:val="none"/>
        </w:rPr>
        <w:t>. Київ, 2014. Вип. 4 (10). С. 59-65.</w:t>
      </w:r>
    </w:p>
    <w:p w14:paraId="645CDA98" w14:textId="77777777" w:rsidR="00B44B71" w:rsidRPr="008E3172" w:rsidRDefault="00B44B71" w:rsidP="00F516E7">
      <w:pPr>
        <w:tabs>
          <w:tab w:val="left" w:pos="993"/>
          <w:tab w:val="left" w:pos="9638"/>
        </w:tabs>
        <w:spacing w:after="0" w:line="240" w:lineRule="auto"/>
        <w:ind w:firstLine="709"/>
        <w:jc w:val="both"/>
        <w:rPr>
          <w:rFonts w:ascii="Times New Roman" w:eastAsia="Calibri" w:hAnsi="Times New Roman" w:cs="Times New Roman"/>
          <w:color w:val="000000"/>
          <w:kern w:val="0"/>
          <w:sz w:val="24"/>
          <w:szCs w:val="24"/>
          <w:lang w:val="uk-UA"/>
          <w14:ligatures w14:val="none"/>
        </w:rPr>
      </w:pPr>
      <w:r w:rsidRPr="008E3172">
        <w:rPr>
          <w:rFonts w:ascii="Times New Roman" w:eastAsia="Calibri" w:hAnsi="Times New Roman" w:cs="Times New Roman"/>
          <w:color w:val="000000"/>
          <w:kern w:val="0"/>
          <w:sz w:val="24"/>
          <w:szCs w:val="24"/>
          <w:lang w:val="uk-UA"/>
          <w14:ligatures w14:val="none"/>
        </w:rPr>
        <w:t xml:space="preserve">3. Красота І. В. Основні етапи періоду створення інженерних військ ЗС України та особливості їх комплектування офіцерським складом (1992–1999 рр.) / І. В. Красота // </w:t>
      </w:r>
      <w:r w:rsidRPr="008E3172">
        <w:rPr>
          <w:rFonts w:ascii="Times New Roman" w:eastAsia="Calibri" w:hAnsi="Times New Roman" w:cs="Times New Roman"/>
          <w:i/>
          <w:iCs/>
          <w:color w:val="000000"/>
          <w:kern w:val="0"/>
          <w:sz w:val="24"/>
          <w:szCs w:val="24"/>
          <w:lang w:val="uk-UA"/>
          <w14:ligatures w14:val="none"/>
        </w:rPr>
        <w:t xml:space="preserve">Вісник </w:t>
      </w:r>
      <w:r w:rsidRPr="008E3172">
        <w:rPr>
          <w:rFonts w:ascii="Times New Roman" w:eastAsia="Calibri" w:hAnsi="Times New Roman" w:cs="Times New Roman"/>
          <w:i/>
          <w:iCs/>
          <w:color w:val="000000"/>
          <w:kern w:val="0"/>
          <w:sz w:val="24"/>
          <w:szCs w:val="24"/>
          <w:lang w:val="uk-UA"/>
          <w14:ligatures w14:val="none"/>
        </w:rPr>
        <w:lastRenderedPageBreak/>
        <w:t>Кам’янець-Подільського національного університету імені Івана Огієнка. Історичні науки: зб. наук. праць</w:t>
      </w:r>
      <w:r w:rsidRPr="008E3172">
        <w:rPr>
          <w:rFonts w:ascii="Times New Roman" w:eastAsia="Calibri" w:hAnsi="Times New Roman" w:cs="Times New Roman"/>
          <w:color w:val="000000"/>
          <w:kern w:val="0"/>
          <w:sz w:val="24"/>
          <w:szCs w:val="24"/>
          <w:lang w:val="uk-UA"/>
          <w14:ligatures w14:val="none"/>
        </w:rPr>
        <w:t>. Кам’янець-Подільський, 2016. Вип. 9. С. 290-296.</w:t>
      </w:r>
    </w:p>
    <w:p w14:paraId="593AD5D4" w14:textId="77777777" w:rsidR="00B44B71" w:rsidRPr="008E3172" w:rsidRDefault="00B44B71" w:rsidP="00F516E7">
      <w:pPr>
        <w:tabs>
          <w:tab w:val="left" w:pos="993"/>
          <w:tab w:val="left" w:pos="9638"/>
        </w:tabs>
        <w:spacing w:after="0" w:line="240" w:lineRule="auto"/>
        <w:ind w:firstLine="709"/>
        <w:jc w:val="both"/>
        <w:rPr>
          <w:rFonts w:ascii="Times New Roman" w:eastAsia="Calibri" w:hAnsi="Times New Roman" w:cs="Times New Roman"/>
          <w:color w:val="000000"/>
          <w:kern w:val="0"/>
          <w:sz w:val="24"/>
          <w:szCs w:val="24"/>
          <w:lang w:val="uk-UA"/>
          <w14:ligatures w14:val="none"/>
        </w:rPr>
      </w:pPr>
      <w:r w:rsidRPr="008E3172">
        <w:rPr>
          <w:rFonts w:ascii="Times New Roman" w:eastAsia="Calibri" w:hAnsi="Times New Roman" w:cs="Times New Roman"/>
          <w:color w:val="000000"/>
          <w:kern w:val="0"/>
          <w:sz w:val="24"/>
          <w:szCs w:val="24"/>
          <w:lang w:val="uk-UA"/>
          <w14:ligatures w14:val="none"/>
        </w:rPr>
        <w:t xml:space="preserve">4. Красота І. В. Другий етап реформування інженерних військ ЗС України (2000–2013 рр.) / І. В. Красота // </w:t>
      </w:r>
      <w:r w:rsidRPr="008E3172">
        <w:rPr>
          <w:rFonts w:ascii="Times New Roman" w:eastAsia="Calibri" w:hAnsi="Times New Roman" w:cs="Times New Roman"/>
          <w:i/>
          <w:iCs/>
          <w:color w:val="000000"/>
          <w:kern w:val="0"/>
          <w:sz w:val="24"/>
          <w:szCs w:val="24"/>
          <w:lang w:val="uk-UA"/>
          <w14:ligatures w14:val="none"/>
        </w:rPr>
        <w:t>Військово-науковий вісник: зб. наук. праць.</w:t>
      </w:r>
      <w:r w:rsidRPr="008E3172">
        <w:rPr>
          <w:rFonts w:ascii="Times New Roman" w:eastAsia="Calibri" w:hAnsi="Times New Roman" w:cs="Times New Roman"/>
          <w:color w:val="000000"/>
          <w:kern w:val="0"/>
          <w:sz w:val="24"/>
          <w:szCs w:val="24"/>
          <w:lang w:val="uk-UA"/>
          <w14:ligatures w14:val="none"/>
        </w:rPr>
        <w:t xml:space="preserve"> Львів, 2018. Вип. 29. С. 25-33.</w:t>
      </w:r>
    </w:p>
    <w:p w14:paraId="412A1356" w14:textId="558E371D" w:rsidR="00B44B71" w:rsidRPr="008E3172" w:rsidRDefault="00B44B71" w:rsidP="00422A49">
      <w:pPr>
        <w:tabs>
          <w:tab w:val="left" w:pos="993"/>
          <w:tab w:val="left" w:pos="9638"/>
        </w:tabs>
        <w:spacing w:after="0" w:line="240" w:lineRule="auto"/>
        <w:ind w:firstLine="709"/>
        <w:rPr>
          <w:rFonts w:ascii="Times New Roman" w:eastAsia="Calibri" w:hAnsi="Times New Roman" w:cs="Times New Roman"/>
          <w:color w:val="000000"/>
          <w:kern w:val="0"/>
          <w:sz w:val="24"/>
          <w:szCs w:val="24"/>
          <w:lang w:val="uk-UA"/>
          <w14:ligatures w14:val="none"/>
        </w:rPr>
      </w:pPr>
      <w:r w:rsidRPr="008E3172">
        <w:rPr>
          <w:rFonts w:ascii="Times New Roman" w:eastAsia="Calibri" w:hAnsi="Times New Roman" w:cs="Times New Roman"/>
          <w:color w:val="000000"/>
          <w:kern w:val="0"/>
          <w:sz w:val="24"/>
          <w:szCs w:val="24"/>
          <w:lang w:val="uk-UA"/>
          <w14:ligatures w14:val="none"/>
        </w:rPr>
        <w:t xml:space="preserve">5. Красота І. В. Підготовка військових фахівців інженерних військ у Кам’янці-Подільському у 1967–2017 рр / І. В. Красота // </w:t>
      </w:r>
      <w:r w:rsidRPr="008E3172">
        <w:rPr>
          <w:rFonts w:ascii="Times New Roman" w:eastAsia="Calibri" w:hAnsi="Times New Roman" w:cs="Times New Roman"/>
          <w:i/>
          <w:iCs/>
          <w:color w:val="000000"/>
          <w:kern w:val="0"/>
          <w:sz w:val="24"/>
          <w:szCs w:val="24"/>
          <w:lang w:val="uk-UA"/>
          <w14:ligatures w14:val="none"/>
        </w:rPr>
        <w:t>Освіта, наука і культура на Поділлі: зб. наук. праць</w:t>
      </w:r>
      <w:r w:rsidRPr="008E3172">
        <w:rPr>
          <w:rFonts w:ascii="Times New Roman" w:eastAsia="Calibri" w:hAnsi="Times New Roman" w:cs="Times New Roman"/>
          <w:color w:val="000000"/>
          <w:kern w:val="0"/>
          <w:sz w:val="24"/>
          <w:szCs w:val="24"/>
          <w:lang w:val="uk-UA"/>
          <w14:ligatures w14:val="none"/>
        </w:rPr>
        <w:t>. Кам’янець-Подільський, 2017. Т. 24. С. 172-178.</w:t>
      </w:r>
    </w:p>
    <w:p w14:paraId="0634A49C" w14:textId="4853B894" w:rsidR="00B44B71" w:rsidRPr="008E3172" w:rsidRDefault="00B44B71" w:rsidP="00F516E7">
      <w:pPr>
        <w:tabs>
          <w:tab w:val="left" w:pos="993"/>
          <w:tab w:val="left" w:pos="9638"/>
        </w:tabs>
        <w:spacing w:after="0" w:line="240" w:lineRule="auto"/>
        <w:ind w:firstLine="709"/>
        <w:rPr>
          <w:rFonts w:ascii="Times New Roman" w:eastAsia="Calibri" w:hAnsi="Times New Roman" w:cs="Times New Roman"/>
          <w:color w:val="000000"/>
          <w:kern w:val="0"/>
          <w:sz w:val="24"/>
          <w:szCs w:val="24"/>
          <w:lang w:val="uk-UA"/>
          <w14:ligatures w14:val="none"/>
        </w:rPr>
      </w:pPr>
      <w:r w:rsidRPr="008E3172">
        <w:rPr>
          <w:rFonts w:ascii="Times New Roman" w:eastAsia="Calibri" w:hAnsi="Times New Roman" w:cs="Times New Roman"/>
          <w:color w:val="000000"/>
          <w:kern w:val="0"/>
          <w:sz w:val="24"/>
          <w:szCs w:val="24"/>
          <w:lang w:val="uk-UA"/>
          <w14:ligatures w14:val="none"/>
        </w:rPr>
        <w:t xml:space="preserve">6. Красота І. В. Участь інженерних військ ЗС України в миротворчих операціях у 1992–2016 рр. / І. В. Красота </w:t>
      </w:r>
      <w:r w:rsidRPr="008E3172">
        <w:rPr>
          <w:rFonts w:ascii="Times New Roman" w:eastAsia="Calibri" w:hAnsi="Times New Roman" w:cs="Times New Roman"/>
          <w:i/>
          <w:iCs/>
          <w:color w:val="000000"/>
          <w:kern w:val="0"/>
          <w:sz w:val="24"/>
          <w:szCs w:val="24"/>
          <w:lang w:val="uk-UA"/>
          <w14:ligatures w14:val="none"/>
        </w:rPr>
        <w:t xml:space="preserve">// Nauka i Studia: наук.-теорет. і практ. журнал </w:t>
      </w:r>
      <w:r w:rsidRPr="008E3172">
        <w:rPr>
          <w:rFonts w:ascii="Times New Roman" w:eastAsia="Calibri" w:hAnsi="Times New Roman" w:cs="Times New Roman"/>
          <w:color w:val="000000"/>
          <w:kern w:val="0"/>
          <w:sz w:val="24"/>
          <w:szCs w:val="24"/>
          <w:lang w:val="uk-UA"/>
          <w14:ligatures w14:val="none"/>
        </w:rPr>
        <w:t>(Республіка Польща). Przemysl, 2017. № 17 (178). P. 80-86.</w:t>
      </w:r>
    </w:p>
    <w:p w14:paraId="2C9BAA66" w14:textId="77777777" w:rsidR="00B44B71" w:rsidRPr="008E3172" w:rsidRDefault="00B44B71" w:rsidP="00F516E7">
      <w:pPr>
        <w:tabs>
          <w:tab w:val="left" w:pos="993"/>
          <w:tab w:val="left" w:pos="9638"/>
        </w:tabs>
        <w:spacing w:after="0" w:line="240" w:lineRule="auto"/>
        <w:ind w:firstLine="709"/>
        <w:jc w:val="both"/>
        <w:rPr>
          <w:rFonts w:ascii="Times New Roman" w:eastAsia="Calibri" w:hAnsi="Times New Roman" w:cs="Times New Roman"/>
          <w:color w:val="000000"/>
          <w:kern w:val="0"/>
          <w:sz w:val="24"/>
          <w:szCs w:val="24"/>
          <w:lang w:val="uk-UA"/>
          <w14:ligatures w14:val="none"/>
        </w:rPr>
      </w:pPr>
      <w:r w:rsidRPr="008E3172">
        <w:rPr>
          <w:rFonts w:ascii="Times New Roman" w:eastAsia="Calibri" w:hAnsi="Times New Roman" w:cs="Times New Roman"/>
          <w:color w:val="000000"/>
          <w:kern w:val="0"/>
          <w:sz w:val="24"/>
          <w:szCs w:val="24"/>
          <w:lang w:val="uk-UA"/>
          <w14:ligatures w14:val="none"/>
        </w:rPr>
        <w:t xml:space="preserve">7. Красота І. В. Застосування інженерних військ ЗС України під час антитерористичної операції (2014–2017 рр.) / І. В. Красота // </w:t>
      </w:r>
      <w:r w:rsidRPr="008E3172">
        <w:rPr>
          <w:rFonts w:ascii="Times New Roman" w:eastAsia="Calibri" w:hAnsi="Times New Roman" w:cs="Times New Roman"/>
          <w:i/>
          <w:iCs/>
          <w:color w:val="000000"/>
          <w:kern w:val="0"/>
          <w:sz w:val="24"/>
          <w:szCs w:val="24"/>
          <w:lang w:val="uk-UA"/>
          <w14:ligatures w14:val="none"/>
        </w:rPr>
        <w:t>Воєнно-історичний вісник: зб. наук. праць</w:t>
      </w:r>
      <w:r w:rsidRPr="008E3172">
        <w:rPr>
          <w:rFonts w:ascii="Times New Roman" w:eastAsia="Calibri" w:hAnsi="Times New Roman" w:cs="Times New Roman"/>
          <w:color w:val="000000"/>
          <w:kern w:val="0"/>
          <w:sz w:val="24"/>
          <w:szCs w:val="24"/>
          <w:lang w:val="uk-UA"/>
          <w14:ligatures w14:val="none"/>
        </w:rPr>
        <w:t>. Київ, 2018. Вип. 1 (27). С. 117-123.</w:t>
      </w:r>
    </w:p>
    <w:p w14:paraId="6AE4C798" w14:textId="77777777" w:rsidR="00B44B71" w:rsidRPr="008E3172" w:rsidRDefault="00B44B71" w:rsidP="00F516E7">
      <w:pPr>
        <w:tabs>
          <w:tab w:val="left" w:pos="9638"/>
        </w:tabs>
        <w:spacing w:after="0" w:line="240" w:lineRule="auto"/>
        <w:ind w:firstLine="709"/>
        <w:jc w:val="both"/>
        <w:rPr>
          <w:rFonts w:ascii="Times New Roman" w:eastAsia="Calibri" w:hAnsi="Times New Roman" w:cs="Times New Roman"/>
          <w:color w:val="000000"/>
          <w:spacing w:val="-4"/>
          <w:kern w:val="0"/>
          <w:sz w:val="24"/>
          <w:szCs w:val="24"/>
          <w:lang w:val="uk-UA"/>
          <w14:ligatures w14:val="none"/>
        </w:rPr>
      </w:pPr>
      <w:r w:rsidRPr="008E3172">
        <w:rPr>
          <w:rFonts w:ascii="Times New Roman" w:eastAsia="Calibri" w:hAnsi="Times New Roman" w:cs="Times New Roman"/>
          <w:color w:val="000000"/>
          <w:spacing w:val="-4"/>
          <w:kern w:val="0"/>
          <w:sz w:val="24"/>
          <w:szCs w:val="24"/>
          <w:lang w:val="uk-UA"/>
          <w14:ligatures w14:val="none"/>
        </w:rPr>
        <w:t xml:space="preserve">8. Війська радіаційного, хімічного, біологічного захисту: Вікіпедія. </w:t>
      </w:r>
      <w:r w:rsidRPr="008E3172">
        <w:rPr>
          <w:rFonts w:ascii="Times New Roman" w:eastAsia="Calibri" w:hAnsi="Times New Roman" w:cs="Times New Roman"/>
          <w:color w:val="000000"/>
          <w:spacing w:val="-4"/>
          <w:kern w:val="0"/>
          <w:sz w:val="24"/>
          <w:szCs w:val="24"/>
          <w14:ligatures w14:val="none"/>
        </w:rPr>
        <w:t>URL</w:t>
      </w:r>
      <w:r w:rsidRPr="008E3172">
        <w:rPr>
          <w:rFonts w:ascii="Times New Roman" w:eastAsia="Calibri" w:hAnsi="Times New Roman" w:cs="Times New Roman"/>
          <w:color w:val="000000"/>
          <w:spacing w:val="-4"/>
          <w:kern w:val="0"/>
          <w:sz w:val="24"/>
          <w:szCs w:val="24"/>
          <w:lang w:val="uk-UA"/>
          <w14:ligatures w14:val="none"/>
        </w:rPr>
        <w:t xml:space="preserve">: </w:t>
      </w:r>
      <w:hyperlink r:id="rId17" w:history="1">
        <w:r w:rsidRPr="008E3172">
          <w:rPr>
            <w:rFonts w:ascii="Times New Roman" w:eastAsia="Calibri" w:hAnsi="Times New Roman" w:cs="Times New Roman"/>
            <w:color w:val="0563C1"/>
            <w:spacing w:val="-4"/>
            <w:kern w:val="0"/>
            <w:sz w:val="24"/>
            <w:szCs w:val="24"/>
            <w:u w:val="single"/>
            <w:lang w:val="uk-UA"/>
            <w14:ligatures w14:val="none"/>
          </w:rPr>
          <w:t>https://uk.wikipedia.org/wiki/Війська_радіаційного,_хімічного_та_біологічного_захисту_України</w:t>
        </w:r>
      </w:hyperlink>
      <w:r w:rsidRPr="008E3172">
        <w:rPr>
          <w:rFonts w:ascii="Times New Roman" w:eastAsia="Calibri" w:hAnsi="Times New Roman" w:cs="Times New Roman"/>
          <w:color w:val="000000"/>
          <w:spacing w:val="-4"/>
          <w:kern w:val="0"/>
          <w:sz w:val="24"/>
          <w:szCs w:val="24"/>
          <w:lang w:val="uk-UA"/>
          <w14:ligatures w14:val="none"/>
        </w:rPr>
        <w:t>.</w:t>
      </w:r>
    </w:p>
    <w:p w14:paraId="65CA096D" w14:textId="77777777" w:rsidR="00B44B71" w:rsidRPr="008E3172" w:rsidRDefault="00B44B71" w:rsidP="00F516E7">
      <w:pPr>
        <w:tabs>
          <w:tab w:val="left" w:pos="9638"/>
        </w:tabs>
        <w:spacing w:after="0" w:line="240" w:lineRule="auto"/>
        <w:ind w:firstLine="709"/>
        <w:jc w:val="both"/>
        <w:rPr>
          <w:rFonts w:ascii="Times New Roman" w:eastAsia="Calibri" w:hAnsi="Times New Roman" w:cs="Times New Roman"/>
          <w:color w:val="000000"/>
          <w:spacing w:val="-4"/>
          <w:kern w:val="0"/>
          <w:sz w:val="24"/>
          <w:szCs w:val="24"/>
          <w:lang w:val="uk-UA"/>
          <w14:ligatures w14:val="none"/>
        </w:rPr>
      </w:pPr>
      <w:r w:rsidRPr="008E3172">
        <w:rPr>
          <w:rFonts w:ascii="Times New Roman" w:eastAsia="Calibri" w:hAnsi="Times New Roman" w:cs="Times New Roman"/>
          <w:color w:val="000000"/>
          <w:spacing w:val="-4"/>
          <w:kern w:val="0"/>
          <w:sz w:val="24"/>
          <w:szCs w:val="24"/>
          <w:lang w:val="uk-UA"/>
          <w14:ligatures w14:val="none"/>
        </w:rPr>
        <w:t xml:space="preserve">9. </w:t>
      </w:r>
      <w:r w:rsidRPr="008E3172">
        <w:rPr>
          <w:rFonts w:ascii="Times New Roman" w:eastAsia="Calibri" w:hAnsi="Times New Roman" w:cs="Times New Roman"/>
          <w:color w:val="000000"/>
          <w:kern w:val="0"/>
          <w:sz w:val="24"/>
          <w:szCs w:val="24"/>
          <w:lang w:val="uk-UA"/>
          <w14:ligatures w14:val="none"/>
        </w:rPr>
        <w:t>Блекот О.М., Джеджулей О.В., Нікітін А.А., Романюк В.П., Артем’єв С.Р. Війська радіаційного, хімічного, біологічного захисту Збройних Сил України (скорочений нарис): монографія. К: НУОУ ім. Івана Черняховського, 2018. 240 с.</w:t>
      </w:r>
    </w:p>
    <w:p w14:paraId="12D89A81" w14:textId="77777777" w:rsidR="00B44B71" w:rsidRPr="008E3172" w:rsidRDefault="00B44B71" w:rsidP="00F516E7">
      <w:pPr>
        <w:tabs>
          <w:tab w:val="left" w:pos="9638"/>
        </w:tabs>
        <w:spacing w:after="0" w:line="240" w:lineRule="auto"/>
        <w:ind w:firstLine="709"/>
        <w:jc w:val="both"/>
        <w:rPr>
          <w:rFonts w:ascii="Times New Roman" w:eastAsia="Calibri" w:hAnsi="Times New Roman" w:cs="Times New Roman"/>
          <w:color w:val="000000"/>
          <w:kern w:val="0"/>
          <w:sz w:val="24"/>
          <w:szCs w:val="24"/>
          <w:lang w:val="uk-UA"/>
          <w14:ligatures w14:val="none"/>
        </w:rPr>
      </w:pPr>
      <w:r w:rsidRPr="008E3172">
        <w:rPr>
          <w:rFonts w:ascii="Times New Roman" w:eastAsia="Calibri" w:hAnsi="Times New Roman" w:cs="Times New Roman"/>
          <w:color w:val="000000"/>
          <w:kern w:val="0"/>
          <w:sz w:val="24"/>
          <w:szCs w:val="24"/>
          <w:lang w:val="uk-UA"/>
          <w14:ligatures w14:val="none"/>
        </w:rPr>
        <w:t>10. Топографічна служба Збройних Сил України: інформаційно-аналітичні матеріали. К.: КСП ЗС України, 2025. 28 с.</w:t>
      </w:r>
    </w:p>
    <w:p w14:paraId="1AABFCAA" w14:textId="77777777" w:rsidR="00B44B71" w:rsidRPr="008E3172" w:rsidRDefault="00B44B71" w:rsidP="00F516E7">
      <w:pPr>
        <w:tabs>
          <w:tab w:val="left" w:pos="9638"/>
        </w:tabs>
        <w:spacing w:after="0" w:line="240" w:lineRule="auto"/>
        <w:ind w:firstLine="709"/>
        <w:jc w:val="both"/>
        <w:rPr>
          <w:rFonts w:ascii="Times New Roman" w:eastAsia="Calibri" w:hAnsi="Times New Roman" w:cs="Times New Roman"/>
          <w:color w:val="000000"/>
          <w:kern w:val="0"/>
          <w:sz w:val="24"/>
          <w:szCs w:val="24"/>
          <w:lang w:val="uk-UA"/>
          <w14:ligatures w14:val="none"/>
        </w:rPr>
      </w:pPr>
      <w:r w:rsidRPr="008E3172">
        <w:rPr>
          <w:rFonts w:ascii="Times New Roman" w:eastAsia="Calibri" w:hAnsi="Times New Roman" w:cs="Times New Roman"/>
          <w:color w:val="000000"/>
          <w:kern w:val="0"/>
          <w:sz w:val="24"/>
          <w:szCs w:val="24"/>
          <w:lang w:val="uk-UA"/>
          <w14:ligatures w14:val="none"/>
        </w:rPr>
        <w:t>11. Гідрометеорологічна служба Збройних Сил України: інформаційно-аналітичні матеріали. К.: КСП ЗС України, 2024. 26 с.</w:t>
      </w:r>
    </w:p>
    <w:p w14:paraId="5308C944" w14:textId="77777777" w:rsidR="00B44B71" w:rsidRPr="008E3172" w:rsidRDefault="00B44B71" w:rsidP="00F516E7">
      <w:pPr>
        <w:tabs>
          <w:tab w:val="left" w:pos="9638"/>
        </w:tabs>
        <w:spacing w:after="0" w:line="240" w:lineRule="auto"/>
        <w:ind w:firstLine="709"/>
        <w:jc w:val="both"/>
        <w:rPr>
          <w:rFonts w:ascii="Times New Roman" w:eastAsia="Calibri" w:hAnsi="Times New Roman" w:cs="Times New Roman"/>
          <w:color w:val="000000"/>
          <w:kern w:val="0"/>
          <w:sz w:val="24"/>
          <w:szCs w:val="24"/>
          <w:lang w:val="uk-UA"/>
          <w14:ligatures w14:val="none"/>
        </w:rPr>
      </w:pPr>
      <w:r w:rsidRPr="008E3172">
        <w:rPr>
          <w:rFonts w:ascii="Times New Roman" w:eastAsia="Calibri" w:hAnsi="Times New Roman" w:cs="Times New Roman"/>
          <w:color w:val="000000"/>
          <w:kern w:val="0"/>
          <w:sz w:val="24"/>
          <w:szCs w:val="24"/>
          <w:lang w:val="uk-UA"/>
          <w14:ligatures w14:val="none"/>
        </w:rPr>
        <w:t>12. Рахманов В., Коцюруба В. Інтеграційні засади удосконалення нормативно-правових актів щодо підготовки громадян України до військової служби / В. О. Рахманов, В.І. Коцюруба // Військова освіта. К.: НУОУ, 2024. Вип. 2 (50). С. 126-141.</w:t>
      </w:r>
    </w:p>
    <w:p w14:paraId="131E28CC" w14:textId="77777777" w:rsidR="00B44B71" w:rsidRPr="008E3172" w:rsidRDefault="00B44B71" w:rsidP="00F516E7">
      <w:pPr>
        <w:tabs>
          <w:tab w:val="left" w:pos="9638"/>
        </w:tabs>
        <w:spacing w:after="0" w:line="240" w:lineRule="auto"/>
        <w:ind w:firstLine="709"/>
        <w:jc w:val="both"/>
        <w:rPr>
          <w:rFonts w:ascii="Times New Roman" w:eastAsia="Calibri" w:hAnsi="Times New Roman" w:cs="Times New Roman"/>
          <w:color w:val="000000"/>
          <w:kern w:val="0"/>
          <w:sz w:val="24"/>
          <w:szCs w:val="24"/>
          <w:lang w:val="uk-UA"/>
          <w14:ligatures w14:val="none"/>
        </w:rPr>
      </w:pPr>
    </w:p>
    <w:p w14:paraId="070FCD97" w14:textId="77777777" w:rsidR="00B44B71" w:rsidRPr="008E3172" w:rsidRDefault="00B44B71" w:rsidP="00F516E7">
      <w:pPr>
        <w:tabs>
          <w:tab w:val="left" w:pos="9638"/>
        </w:tabs>
        <w:spacing w:after="0" w:line="240" w:lineRule="auto"/>
        <w:jc w:val="center"/>
        <w:rPr>
          <w:rFonts w:ascii="Times New Roman" w:eastAsia="Calibri" w:hAnsi="Times New Roman" w:cs="Times New Roman"/>
          <w:b/>
          <w:kern w:val="0"/>
          <w:sz w:val="24"/>
          <w:szCs w:val="24"/>
          <w:lang w:val="uk-UA"/>
          <w14:ligatures w14:val="none"/>
        </w:rPr>
      </w:pPr>
      <w:r w:rsidRPr="008E3172">
        <w:rPr>
          <w:rFonts w:ascii="Times New Roman" w:eastAsia="Calibri" w:hAnsi="Times New Roman" w:cs="Times New Roman"/>
          <w:b/>
          <w:kern w:val="0"/>
          <w:sz w:val="24"/>
          <w:szCs w:val="24"/>
          <w14:ligatures w14:val="none"/>
        </w:rPr>
        <w:t>REFERENCES</w:t>
      </w:r>
    </w:p>
    <w:p w14:paraId="044EC52B" w14:textId="4B82288D" w:rsidR="00B44B71" w:rsidRPr="008E3172" w:rsidRDefault="00B44B71" w:rsidP="00F516E7">
      <w:pPr>
        <w:tabs>
          <w:tab w:val="left" w:pos="993"/>
          <w:tab w:val="left" w:pos="9638"/>
        </w:tabs>
        <w:spacing w:after="0" w:line="240" w:lineRule="auto"/>
        <w:ind w:firstLine="709"/>
        <w:rPr>
          <w:rFonts w:ascii="Times New Roman" w:eastAsia="Calibri" w:hAnsi="Times New Roman" w:cs="Times New Roman"/>
          <w:color w:val="000000"/>
          <w:spacing w:val="-4"/>
          <w:kern w:val="0"/>
          <w:sz w:val="24"/>
          <w:szCs w:val="24"/>
          <w:lang w:val="uk-UA"/>
          <w14:ligatures w14:val="none"/>
        </w:rPr>
      </w:pPr>
      <w:r w:rsidRPr="008E3172">
        <w:rPr>
          <w:rFonts w:ascii="Times New Roman" w:eastAsia="Calibri" w:hAnsi="Times New Roman" w:cs="Times New Roman"/>
          <w:kern w:val="0"/>
          <w:sz w:val="24"/>
          <w:szCs w:val="24"/>
          <w:lang w:val="uk-UA"/>
          <w14:ligatures w14:val="none"/>
        </w:rPr>
        <w:t xml:space="preserve">1 </w:t>
      </w:r>
      <w:r w:rsidRPr="008E3172">
        <w:rPr>
          <w:rFonts w:ascii="Times New Roman" w:eastAsia="Calibri" w:hAnsi="Times New Roman" w:cs="Times New Roman"/>
          <w:kern w:val="0"/>
          <w:sz w:val="24"/>
          <w:szCs w:val="24"/>
          <w14:ligatures w14:val="none"/>
        </w:rPr>
        <w:t>Krasota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w:t>
      </w:r>
      <w:r w:rsidRPr="008E3172">
        <w:rPr>
          <w:rFonts w:ascii="Times New Roman" w:eastAsia="Calibri" w:hAnsi="Times New Roman" w:cs="Times New Roman"/>
          <w:kern w:val="0"/>
          <w:sz w:val="24"/>
          <w:szCs w:val="24"/>
          <w:lang w:val="uk-UA"/>
          <w14:ligatures w14:val="none"/>
        </w:rPr>
        <w:t>.</w:t>
      </w:r>
      <w:r w:rsidRPr="008E3172">
        <w:rPr>
          <w:rFonts w:ascii="Times New Roman" w:eastAsia="Calibri" w:hAnsi="Times New Roman" w:cs="Times New Roman"/>
          <w:kern w:val="0"/>
          <w:sz w:val="24"/>
          <w:szCs w:val="24"/>
          <w14:ligatures w14:val="none"/>
        </w:rPr>
        <w:t>V</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Inzhenerni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viiska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ZS</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Ukrainy</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rozbudova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ta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zastosuvannia</w:t>
      </w:r>
      <w:r w:rsidRPr="008E3172">
        <w:rPr>
          <w:rFonts w:ascii="Times New Roman" w:eastAsia="Calibri" w:hAnsi="Times New Roman" w:cs="Times New Roman"/>
          <w:kern w:val="0"/>
          <w:sz w:val="24"/>
          <w:szCs w:val="24"/>
          <w:lang w:val="uk-UA"/>
          <w14:ligatures w14:val="none"/>
        </w:rPr>
        <w:t xml:space="preserve"> (1992 – 2018 </w:t>
      </w:r>
      <w:r w:rsidRPr="008E3172">
        <w:rPr>
          <w:rFonts w:ascii="Times New Roman" w:eastAsia="Calibri" w:hAnsi="Times New Roman" w:cs="Times New Roman"/>
          <w:kern w:val="0"/>
          <w:sz w:val="24"/>
          <w:szCs w:val="24"/>
          <w14:ligatures w14:val="none"/>
        </w:rPr>
        <w:t>r</w:t>
      </w:r>
      <w:r w:rsidRPr="008E3172">
        <w:rPr>
          <w:rFonts w:ascii="Times New Roman" w:eastAsia="Calibri" w:hAnsi="Times New Roman" w:cs="Times New Roman"/>
          <w:kern w:val="0"/>
          <w:sz w:val="24"/>
          <w:szCs w:val="24"/>
          <w:lang w:val="uk-UA"/>
          <w14:ligatures w14:val="none"/>
        </w:rPr>
        <w:t>.</w:t>
      </w:r>
      <w:r w:rsidRPr="008E3172">
        <w:rPr>
          <w:rFonts w:ascii="Times New Roman" w:eastAsia="Calibri" w:hAnsi="Times New Roman" w:cs="Times New Roman"/>
          <w:kern w:val="0"/>
          <w:sz w:val="24"/>
          <w:szCs w:val="24"/>
          <w14:ligatures w14:val="none"/>
        </w:rPr>
        <w:t>r</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dyser</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kand</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istor</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nauk</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 xml:space="preserve">K.: NUOU, 2020. 309 s. </w:t>
      </w:r>
      <w:r w:rsidRPr="008E3172">
        <w:rPr>
          <w:rFonts w:ascii="Times New Roman" w:eastAsia="Calibri" w:hAnsi="Times New Roman" w:cs="Times New Roman"/>
          <w:color w:val="000000"/>
          <w:spacing w:val="-4"/>
          <w:kern w:val="0"/>
          <w:sz w:val="24"/>
          <w:szCs w:val="24"/>
          <w14:ligatures w14:val="none"/>
        </w:rPr>
        <w:t>URL</w:t>
      </w:r>
      <w:r w:rsidRPr="008E3172">
        <w:rPr>
          <w:rFonts w:ascii="Times New Roman" w:eastAsia="Calibri" w:hAnsi="Times New Roman" w:cs="Times New Roman"/>
          <w:color w:val="000000"/>
          <w:spacing w:val="-4"/>
          <w:kern w:val="0"/>
          <w:sz w:val="24"/>
          <w:szCs w:val="24"/>
          <w:lang w:val="uk-UA"/>
          <w14:ligatures w14:val="none"/>
        </w:rPr>
        <w:t xml:space="preserve">: </w:t>
      </w:r>
      <w:hyperlink r:id="rId18" w:history="1">
        <w:r w:rsidR="00422A49" w:rsidRPr="00750EB1">
          <w:rPr>
            <w:rStyle w:val="Hyperlink"/>
            <w:rFonts w:ascii="Times New Roman" w:eastAsia="Calibri" w:hAnsi="Times New Roman"/>
            <w:spacing w:val="-4"/>
            <w:kern w:val="0"/>
            <w:sz w:val="24"/>
            <w:szCs w:val="24"/>
            <w:lang w:val="uk-UA"/>
            <w14:ligatures w14:val="none"/>
          </w:rPr>
          <w:t>https://nuou.org.ua/assets/dissertations/ diser/dis_krasota_16_10_2020.pdf</w:t>
        </w:r>
      </w:hyperlink>
      <w:r w:rsidRPr="008E3172">
        <w:rPr>
          <w:rFonts w:ascii="Times New Roman" w:eastAsia="Calibri" w:hAnsi="Times New Roman" w:cs="Times New Roman"/>
          <w:color w:val="000000"/>
          <w:spacing w:val="-4"/>
          <w:kern w:val="0"/>
          <w:sz w:val="24"/>
          <w:szCs w:val="24"/>
          <w:lang w:val="uk-UA"/>
          <w14:ligatures w14:val="none"/>
        </w:rPr>
        <w:t>.</w:t>
      </w:r>
    </w:p>
    <w:p w14:paraId="5CEEB5A5" w14:textId="77777777" w:rsidR="00B44B71" w:rsidRPr="008E3172" w:rsidRDefault="00B44B71" w:rsidP="00F516E7">
      <w:pPr>
        <w:tabs>
          <w:tab w:val="left" w:pos="9638"/>
        </w:tabs>
        <w:spacing w:after="0" w:line="240" w:lineRule="auto"/>
        <w:ind w:firstLine="709"/>
        <w:jc w:val="both"/>
        <w:rPr>
          <w:rFonts w:ascii="Times New Roman" w:eastAsia="Calibri" w:hAnsi="Times New Roman" w:cs="Times New Roman"/>
          <w:kern w:val="0"/>
          <w:sz w:val="24"/>
          <w:szCs w:val="24"/>
          <w:lang w:val="uk-UA"/>
          <w14:ligatures w14:val="none"/>
        </w:rPr>
      </w:pPr>
      <w:r w:rsidRPr="008E3172">
        <w:rPr>
          <w:rFonts w:ascii="Times New Roman" w:eastAsia="Calibri" w:hAnsi="Times New Roman" w:cs="Times New Roman"/>
          <w:kern w:val="0"/>
          <w:sz w:val="24"/>
          <w:szCs w:val="24"/>
          <w:lang w:val="uk-UA"/>
          <w14:ligatures w14:val="none"/>
        </w:rPr>
        <w:t xml:space="preserve">2 </w:t>
      </w:r>
      <w:r w:rsidRPr="008E3172">
        <w:rPr>
          <w:rFonts w:ascii="Times New Roman" w:eastAsia="Calibri" w:hAnsi="Times New Roman" w:cs="Times New Roman"/>
          <w:kern w:val="0"/>
          <w:sz w:val="24"/>
          <w:szCs w:val="24"/>
          <w14:ligatures w14:val="none"/>
        </w:rPr>
        <w:t>Krasota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Transformatsiia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zmin</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u</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strukturi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inzhenernykh</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viisk</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ZS</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Ukrainy</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w:t>
      </w:r>
      <w:r w:rsidRPr="008E3172">
        <w:rPr>
          <w:rFonts w:ascii="Times New Roman" w:eastAsia="Calibri" w:hAnsi="Times New Roman" w:cs="Times New Roman"/>
          <w:kern w:val="0"/>
          <w:sz w:val="24"/>
          <w:szCs w:val="24"/>
          <w:lang w:val="uk-UA"/>
          <w14:ligatures w14:val="none"/>
        </w:rPr>
        <w:t xml:space="preserve"> 1991–2004 </w:t>
      </w:r>
      <w:r w:rsidRPr="008E3172">
        <w:rPr>
          <w:rFonts w:ascii="Times New Roman" w:eastAsia="Calibri" w:hAnsi="Times New Roman" w:cs="Times New Roman"/>
          <w:kern w:val="0"/>
          <w:sz w:val="24"/>
          <w:szCs w:val="24"/>
          <w14:ligatures w14:val="none"/>
        </w:rPr>
        <w:t>rokakh</w:t>
      </w:r>
      <w:r w:rsidRPr="008E3172">
        <w:rPr>
          <w:rFonts w:ascii="Times New Roman" w:eastAsia="Calibri" w:hAnsi="Times New Roman" w:cs="Times New Roman"/>
          <w:kern w:val="0"/>
          <w:sz w:val="24"/>
          <w:szCs w:val="24"/>
          <w:lang w:val="uk-UA"/>
          <w14:ligatures w14:val="none"/>
        </w:rPr>
        <w:t xml:space="preserve"> / </w:t>
      </w:r>
      <w:r w:rsidRPr="008E3172">
        <w:rPr>
          <w:rFonts w:ascii="Times New Roman" w:eastAsia="Calibri" w:hAnsi="Times New Roman" w:cs="Times New Roman"/>
          <w:kern w:val="0"/>
          <w:sz w:val="24"/>
          <w:szCs w:val="24"/>
          <w14:ligatures w14:val="none"/>
        </w:rPr>
        <w:t>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Krasota</w:t>
      </w:r>
      <w:r w:rsidRPr="008E3172">
        <w:rPr>
          <w:rFonts w:ascii="Times New Roman" w:eastAsia="Calibri" w:hAnsi="Times New Roman" w:cs="Times New Roman"/>
          <w:kern w:val="0"/>
          <w:sz w:val="24"/>
          <w:szCs w:val="24"/>
          <w:lang w:val="uk-UA"/>
          <w14:ligatures w14:val="none"/>
        </w:rPr>
        <w:t xml:space="preserve"> // </w:t>
      </w:r>
      <w:r w:rsidRPr="008E3172">
        <w:rPr>
          <w:rFonts w:ascii="Times New Roman" w:eastAsia="Calibri" w:hAnsi="Times New Roman" w:cs="Times New Roman"/>
          <w:kern w:val="0"/>
          <w:sz w:val="24"/>
          <w:szCs w:val="24"/>
          <w14:ligatures w14:val="none"/>
        </w:rPr>
        <w:t>Voienno</w:t>
      </w:r>
      <w:r w:rsidRPr="008E3172">
        <w:rPr>
          <w:rFonts w:ascii="Times New Roman" w:eastAsia="Calibri" w:hAnsi="Times New Roman" w:cs="Times New Roman"/>
          <w:kern w:val="0"/>
          <w:sz w:val="24"/>
          <w:szCs w:val="24"/>
          <w:lang w:val="uk-UA"/>
          <w14:ligatures w14:val="none"/>
        </w:rPr>
        <w:t>-</w:t>
      </w:r>
      <w:r w:rsidRPr="008E3172">
        <w:rPr>
          <w:rFonts w:ascii="Times New Roman" w:eastAsia="Calibri" w:hAnsi="Times New Roman" w:cs="Times New Roman"/>
          <w:kern w:val="0"/>
          <w:sz w:val="24"/>
          <w:szCs w:val="24"/>
          <w14:ligatures w14:val="none"/>
        </w:rPr>
        <w:t>istorychnyi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visnyk</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zb</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nauk</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prats</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Kyiv</w:t>
      </w:r>
      <w:r w:rsidRPr="008E3172">
        <w:rPr>
          <w:rFonts w:ascii="Times New Roman" w:eastAsia="Calibri" w:hAnsi="Times New Roman" w:cs="Times New Roman"/>
          <w:kern w:val="0"/>
          <w:sz w:val="24"/>
          <w:szCs w:val="24"/>
          <w:lang w:val="uk-UA"/>
          <w14:ligatures w14:val="none"/>
        </w:rPr>
        <w:t xml:space="preserve">, 2014. </w:t>
      </w:r>
      <w:r w:rsidRPr="008E3172">
        <w:rPr>
          <w:rFonts w:ascii="Times New Roman" w:eastAsia="Calibri" w:hAnsi="Times New Roman" w:cs="Times New Roman"/>
          <w:kern w:val="0"/>
          <w:sz w:val="24"/>
          <w:szCs w:val="24"/>
          <w14:ligatures w14:val="none"/>
        </w:rPr>
        <w:t>Vyp</w:t>
      </w:r>
      <w:r w:rsidRPr="008E3172">
        <w:rPr>
          <w:rFonts w:ascii="Times New Roman" w:eastAsia="Calibri" w:hAnsi="Times New Roman" w:cs="Times New Roman"/>
          <w:kern w:val="0"/>
          <w:sz w:val="24"/>
          <w:szCs w:val="24"/>
          <w:lang w:val="uk-UA"/>
          <w14:ligatures w14:val="none"/>
        </w:rPr>
        <w:t xml:space="preserve">. 4 (10). </w:t>
      </w:r>
      <w:r w:rsidRPr="008E3172">
        <w:rPr>
          <w:rFonts w:ascii="Times New Roman" w:eastAsia="Calibri" w:hAnsi="Times New Roman" w:cs="Times New Roman"/>
          <w:kern w:val="0"/>
          <w:sz w:val="24"/>
          <w:szCs w:val="24"/>
          <w14:ligatures w14:val="none"/>
        </w:rPr>
        <w:t>S</w:t>
      </w:r>
      <w:r w:rsidRPr="008E3172">
        <w:rPr>
          <w:rFonts w:ascii="Times New Roman" w:eastAsia="Calibri" w:hAnsi="Times New Roman" w:cs="Times New Roman"/>
          <w:kern w:val="0"/>
          <w:sz w:val="24"/>
          <w:szCs w:val="24"/>
          <w:lang w:val="uk-UA"/>
          <w14:ligatures w14:val="none"/>
        </w:rPr>
        <w:t>. 59-65.</w:t>
      </w:r>
    </w:p>
    <w:p w14:paraId="4CBB6F88" w14:textId="77777777" w:rsidR="00B44B71" w:rsidRPr="008E3172" w:rsidRDefault="00B44B71" w:rsidP="00F516E7">
      <w:pPr>
        <w:tabs>
          <w:tab w:val="left" w:pos="9638"/>
        </w:tabs>
        <w:spacing w:after="0" w:line="240" w:lineRule="auto"/>
        <w:ind w:firstLine="709"/>
        <w:jc w:val="both"/>
        <w:rPr>
          <w:rFonts w:ascii="Times New Roman" w:eastAsia="Calibri" w:hAnsi="Times New Roman" w:cs="Times New Roman"/>
          <w:kern w:val="0"/>
          <w:sz w:val="24"/>
          <w:szCs w:val="24"/>
          <w:lang w:val="uk-UA"/>
          <w14:ligatures w14:val="none"/>
        </w:rPr>
      </w:pPr>
      <w:r w:rsidRPr="008E3172">
        <w:rPr>
          <w:rFonts w:ascii="Times New Roman" w:eastAsia="Calibri" w:hAnsi="Times New Roman" w:cs="Times New Roman"/>
          <w:kern w:val="0"/>
          <w:sz w:val="24"/>
          <w:szCs w:val="24"/>
          <w:lang w:val="uk-UA"/>
          <w14:ligatures w14:val="none"/>
        </w:rPr>
        <w:t xml:space="preserve">3 </w:t>
      </w:r>
      <w:r w:rsidRPr="008E3172">
        <w:rPr>
          <w:rFonts w:ascii="Times New Roman" w:eastAsia="Calibri" w:hAnsi="Times New Roman" w:cs="Times New Roman"/>
          <w:kern w:val="0"/>
          <w:sz w:val="24"/>
          <w:szCs w:val="24"/>
          <w14:ligatures w14:val="none"/>
        </w:rPr>
        <w:t>Krasota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Osnovni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etapy</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periodu</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stvorennia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inzhenernykh</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viisk</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ZS</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Ukrainy</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ta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osoblyvosti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yikh</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komplektuvannia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ofitserskym</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skladom</w:t>
      </w:r>
      <w:r w:rsidRPr="008E3172">
        <w:rPr>
          <w:rFonts w:ascii="Times New Roman" w:eastAsia="Calibri" w:hAnsi="Times New Roman" w:cs="Times New Roman"/>
          <w:kern w:val="0"/>
          <w:sz w:val="24"/>
          <w:szCs w:val="24"/>
          <w:lang w:val="uk-UA"/>
          <w14:ligatures w14:val="none"/>
        </w:rPr>
        <w:t xml:space="preserve"> (1992–1999 </w:t>
      </w:r>
      <w:r w:rsidRPr="008E3172">
        <w:rPr>
          <w:rFonts w:ascii="Times New Roman" w:eastAsia="Calibri" w:hAnsi="Times New Roman" w:cs="Times New Roman"/>
          <w:kern w:val="0"/>
          <w:sz w:val="24"/>
          <w:szCs w:val="24"/>
          <w14:ligatures w14:val="none"/>
        </w:rPr>
        <w:t>rr</w:t>
      </w:r>
      <w:r w:rsidRPr="008E3172">
        <w:rPr>
          <w:rFonts w:ascii="Times New Roman" w:eastAsia="Calibri" w:hAnsi="Times New Roman" w:cs="Times New Roman"/>
          <w:kern w:val="0"/>
          <w:sz w:val="24"/>
          <w:szCs w:val="24"/>
          <w:lang w:val="uk-UA"/>
          <w14:ligatures w14:val="none"/>
        </w:rPr>
        <w:t xml:space="preserve">.) / </w:t>
      </w:r>
      <w:r w:rsidRPr="008E3172">
        <w:rPr>
          <w:rFonts w:ascii="Times New Roman" w:eastAsia="Calibri" w:hAnsi="Times New Roman" w:cs="Times New Roman"/>
          <w:kern w:val="0"/>
          <w:sz w:val="24"/>
          <w:szCs w:val="24"/>
          <w14:ligatures w14:val="none"/>
        </w:rPr>
        <w:t>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Krasota</w:t>
      </w:r>
      <w:r w:rsidRPr="008E3172">
        <w:rPr>
          <w:rFonts w:ascii="Times New Roman" w:eastAsia="Calibri" w:hAnsi="Times New Roman" w:cs="Times New Roman"/>
          <w:kern w:val="0"/>
          <w:sz w:val="24"/>
          <w:szCs w:val="24"/>
          <w:lang w:val="uk-UA"/>
          <w14:ligatures w14:val="none"/>
        </w:rPr>
        <w:t xml:space="preserve"> // </w:t>
      </w:r>
      <w:r w:rsidRPr="008E3172">
        <w:rPr>
          <w:rFonts w:ascii="Times New Roman" w:eastAsia="Calibri" w:hAnsi="Times New Roman" w:cs="Times New Roman"/>
          <w:kern w:val="0"/>
          <w:sz w:val="24"/>
          <w:szCs w:val="24"/>
          <w14:ligatures w14:val="none"/>
        </w:rPr>
        <w:t>Visnyk</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Kamianets</w:t>
      </w:r>
      <w:r w:rsidRPr="008E3172">
        <w:rPr>
          <w:rFonts w:ascii="Times New Roman" w:eastAsia="Calibri" w:hAnsi="Times New Roman" w:cs="Times New Roman"/>
          <w:kern w:val="0"/>
          <w:sz w:val="24"/>
          <w:szCs w:val="24"/>
          <w:lang w:val="uk-UA"/>
          <w14:ligatures w14:val="none"/>
        </w:rPr>
        <w:t>-</w:t>
      </w:r>
      <w:r w:rsidRPr="008E3172">
        <w:rPr>
          <w:rFonts w:ascii="Times New Roman" w:eastAsia="Calibri" w:hAnsi="Times New Roman" w:cs="Times New Roman"/>
          <w:kern w:val="0"/>
          <w:sz w:val="24"/>
          <w:szCs w:val="24"/>
          <w14:ligatures w14:val="none"/>
        </w:rPr>
        <w:t>Podilskoho</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natsionalnoho</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universytetu</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imeni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Ivana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Ohiienka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Istorychni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nauky</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zb</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nauk</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prats</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Kamianets</w:t>
      </w:r>
      <w:r w:rsidRPr="008E3172">
        <w:rPr>
          <w:rFonts w:ascii="Times New Roman" w:eastAsia="Calibri" w:hAnsi="Times New Roman" w:cs="Times New Roman"/>
          <w:kern w:val="0"/>
          <w:sz w:val="24"/>
          <w:szCs w:val="24"/>
          <w:lang w:val="uk-UA"/>
          <w14:ligatures w14:val="none"/>
        </w:rPr>
        <w:t>-</w:t>
      </w:r>
      <w:r w:rsidRPr="008E3172">
        <w:rPr>
          <w:rFonts w:ascii="Times New Roman" w:eastAsia="Calibri" w:hAnsi="Times New Roman" w:cs="Times New Roman"/>
          <w:kern w:val="0"/>
          <w:sz w:val="24"/>
          <w:szCs w:val="24"/>
          <w14:ligatures w14:val="none"/>
        </w:rPr>
        <w:t>Podilskyi</w:t>
      </w:r>
      <w:r w:rsidRPr="008E3172">
        <w:rPr>
          <w:rFonts w:ascii="Times New Roman" w:eastAsia="Calibri" w:hAnsi="Times New Roman" w:cs="Times New Roman"/>
          <w:kern w:val="0"/>
          <w:sz w:val="24"/>
          <w:szCs w:val="24"/>
          <w:lang w:val="uk-UA"/>
          <w14:ligatures w14:val="none"/>
        </w:rPr>
        <w:t xml:space="preserve">, 2016. </w:t>
      </w:r>
      <w:r w:rsidRPr="008E3172">
        <w:rPr>
          <w:rFonts w:ascii="Times New Roman" w:eastAsia="Calibri" w:hAnsi="Times New Roman" w:cs="Times New Roman"/>
          <w:kern w:val="0"/>
          <w:sz w:val="24"/>
          <w:szCs w:val="24"/>
          <w14:ligatures w14:val="none"/>
        </w:rPr>
        <w:t>Vyp</w:t>
      </w:r>
      <w:r w:rsidRPr="008E3172">
        <w:rPr>
          <w:rFonts w:ascii="Times New Roman" w:eastAsia="Calibri" w:hAnsi="Times New Roman" w:cs="Times New Roman"/>
          <w:kern w:val="0"/>
          <w:sz w:val="24"/>
          <w:szCs w:val="24"/>
          <w:lang w:val="uk-UA"/>
          <w14:ligatures w14:val="none"/>
        </w:rPr>
        <w:t xml:space="preserve">. 9. </w:t>
      </w:r>
      <w:r w:rsidRPr="008E3172">
        <w:rPr>
          <w:rFonts w:ascii="Times New Roman" w:eastAsia="Calibri" w:hAnsi="Times New Roman" w:cs="Times New Roman"/>
          <w:kern w:val="0"/>
          <w:sz w:val="24"/>
          <w:szCs w:val="24"/>
          <w14:ligatures w14:val="none"/>
        </w:rPr>
        <w:t>S</w:t>
      </w:r>
      <w:r w:rsidRPr="008E3172">
        <w:rPr>
          <w:rFonts w:ascii="Times New Roman" w:eastAsia="Calibri" w:hAnsi="Times New Roman" w:cs="Times New Roman"/>
          <w:kern w:val="0"/>
          <w:sz w:val="24"/>
          <w:szCs w:val="24"/>
          <w:lang w:val="uk-UA"/>
          <w14:ligatures w14:val="none"/>
        </w:rPr>
        <w:t>. 290-296.</w:t>
      </w:r>
    </w:p>
    <w:p w14:paraId="4DB28029" w14:textId="77777777" w:rsidR="00B44B71" w:rsidRPr="008E3172" w:rsidRDefault="00B44B71" w:rsidP="00F516E7">
      <w:pPr>
        <w:tabs>
          <w:tab w:val="left" w:pos="9638"/>
        </w:tabs>
        <w:spacing w:after="0" w:line="240" w:lineRule="auto"/>
        <w:ind w:firstLine="709"/>
        <w:jc w:val="both"/>
        <w:rPr>
          <w:rFonts w:ascii="Times New Roman" w:eastAsia="Calibri" w:hAnsi="Times New Roman" w:cs="Times New Roman"/>
          <w:kern w:val="0"/>
          <w:sz w:val="24"/>
          <w:szCs w:val="24"/>
          <w:lang w:val="uk-UA"/>
          <w14:ligatures w14:val="none"/>
        </w:rPr>
      </w:pPr>
      <w:r w:rsidRPr="008E3172">
        <w:rPr>
          <w:rFonts w:ascii="Times New Roman" w:eastAsia="Calibri" w:hAnsi="Times New Roman" w:cs="Times New Roman"/>
          <w:kern w:val="0"/>
          <w:sz w:val="24"/>
          <w:szCs w:val="24"/>
          <w:lang w:val="uk-UA"/>
          <w14:ligatures w14:val="none"/>
        </w:rPr>
        <w:t xml:space="preserve">4. </w:t>
      </w:r>
      <w:r w:rsidRPr="008E3172">
        <w:rPr>
          <w:rFonts w:ascii="Times New Roman" w:eastAsia="Calibri" w:hAnsi="Times New Roman" w:cs="Times New Roman"/>
          <w:kern w:val="0"/>
          <w:sz w:val="24"/>
          <w:szCs w:val="24"/>
          <w14:ligatures w14:val="none"/>
        </w:rPr>
        <w:t>Krasota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Druhyi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etap</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reformuvannia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inzhenernykh</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viisk</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ZS</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Ukrainy</w:t>
      </w:r>
      <w:r w:rsidRPr="008E3172">
        <w:rPr>
          <w:rFonts w:ascii="Times New Roman" w:eastAsia="Calibri" w:hAnsi="Times New Roman" w:cs="Times New Roman"/>
          <w:kern w:val="0"/>
          <w:sz w:val="24"/>
          <w:szCs w:val="24"/>
          <w:lang w:val="uk-UA"/>
          <w14:ligatures w14:val="none"/>
        </w:rPr>
        <w:t xml:space="preserve"> (2000–2013 </w:t>
      </w:r>
      <w:r w:rsidRPr="008E3172">
        <w:rPr>
          <w:rFonts w:ascii="Times New Roman" w:eastAsia="Calibri" w:hAnsi="Times New Roman" w:cs="Times New Roman"/>
          <w:kern w:val="0"/>
          <w:sz w:val="24"/>
          <w:szCs w:val="24"/>
          <w14:ligatures w14:val="none"/>
        </w:rPr>
        <w:t>rr</w:t>
      </w:r>
      <w:r w:rsidRPr="008E3172">
        <w:rPr>
          <w:rFonts w:ascii="Times New Roman" w:eastAsia="Calibri" w:hAnsi="Times New Roman" w:cs="Times New Roman"/>
          <w:kern w:val="0"/>
          <w:sz w:val="24"/>
          <w:szCs w:val="24"/>
          <w:lang w:val="uk-UA"/>
          <w14:ligatures w14:val="none"/>
        </w:rPr>
        <w:t xml:space="preserve">.) / </w:t>
      </w:r>
      <w:r w:rsidRPr="008E3172">
        <w:rPr>
          <w:rFonts w:ascii="Times New Roman" w:eastAsia="Calibri" w:hAnsi="Times New Roman" w:cs="Times New Roman"/>
          <w:kern w:val="0"/>
          <w:sz w:val="24"/>
          <w:szCs w:val="24"/>
          <w14:ligatures w14:val="none"/>
        </w:rPr>
        <w:t>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Krasota</w:t>
      </w:r>
      <w:r w:rsidRPr="008E3172">
        <w:rPr>
          <w:rFonts w:ascii="Times New Roman" w:eastAsia="Calibri" w:hAnsi="Times New Roman" w:cs="Times New Roman"/>
          <w:kern w:val="0"/>
          <w:sz w:val="24"/>
          <w:szCs w:val="24"/>
          <w:lang w:val="uk-UA"/>
          <w14:ligatures w14:val="none"/>
        </w:rPr>
        <w:t xml:space="preserve"> // </w:t>
      </w:r>
      <w:r w:rsidRPr="008E3172">
        <w:rPr>
          <w:rFonts w:ascii="Times New Roman" w:eastAsia="Calibri" w:hAnsi="Times New Roman" w:cs="Times New Roman"/>
          <w:kern w:val="0"/>
          <w:sz w:val="24"/>
          <w:szCs w:val="24"/>
          <w14:ligatures w14:val="none"/>
        </w:rPr>
        <w:t>Viiskovo</w:t>
      </w:r>
      <w:r w:rsidRPr="008E3172">
        <w:rPr>
          <w:rFonts w:ascii="Times New Roman" w:eastAsia="Calibri" w:hAnsi="Times New Roman" w:cs="Times New Roman"/>
          <w:kern w:val="0"/>
          <w:sz w:val="24"/>
          <w:szCs w:val="24"/>
          <w:lang w:val="uk-UA"/>
          <w14:ligatures w14:val="none"/>
        </w:rPr>
        <w:t>-</w:t>
      </w:r>
      <w:r w:rsidRPr="008E3172">
        <w:rPr>
          <w:rFonts w:ascii="Times New Roman" w:eastAsia="Calibri" w:hAnsi="Times New Roman" w:cs="Times New Roman"/>
          <w:kern w:val="0"/>
          <w:sz w:val="24"/>
          <w:szCs w:val="24"/>
          <w14:ligatures w14:val="none"/>
        </w:rPr>
        <w:t>naukovyi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visnyk</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zb</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nauk</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prats</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Lviv</w:t>
      </w:r>
      <w:r w:rsidRPr="008E3172">
        <w:rPr>
          <w:rFonts w:ascii="Times New Roman" w:eastAsia="Calibri" w:hAnsi="Times New Roman" w:cs="Times New Roman"/>
          <w:kern w:val="0"/>
          <w:sz w:val="24"/>
          <w:szCs w:val="24"/>
          <w:lang w:val="uk-UA"/>
          <w14:ligatures w14:val="none"/>
        </w:rPr>
        <w:t xml:space="preserve">, 2018. </w:t>
      </w:r>
      <w:r w:rsidRPr="008E3172">
        <w:rPr>
          <w:rFonts w:ascii="Times New Roman" w:eastAsia="Calibri" w:hAnsi="Times New Roman" w:cs="Times New Roman"/>
          <w:kern w:val="0"/>
          <w:sz w:val="24"/>
          <w:szCs w:val="24"/>
          <w14:ligatures w14:val="none"/>
        </w:rPr>
        <w:t>Vyp</w:t>
      </w:r>
      <w:r w:rsidRPr="008E3172">
        <w:rPr>
          <w:rFonts w:ascii="Times New Roman" w:eastAsia="Calibri" w:hAnsi="Times New Roman" w:cs="Times New Roman"/>
          <w:kern w:val="0"/>
          <w:sz w:val="24"/>
          <w:szCs w:val="24"/>
          <w:lang w:val="uk-UA"/>
          <w14:ligatures w14:val="none"/>
        </w:rPr>
        <w:t xml:space="preserve">. 29. </w:t>
      </w:r>
      <w:r w:rsidRPr="008E3172">
        <w:rPr>
          <w:rFonts w:ascii="Times New Roman" w:eastAsia="Calibri" w:hAnsi="Times New Roman" w:cs="Times New Roman"/>
          <w:kern w:val="0"/>
          <w:sz w:val="24"/>
          <w:szCs w:val="24"/>
          <w14:ligatures w14:val="none"/>
        </w:rPr>
        <w:t>S</w:t>
      </w:r>
      <w:r w:rsidRPr="008E3172">
        <w:rPr>
          <w:rFonts w:ascii="Times New Roman" w:eastAsia="Calibri" w:hAnsi="Times New Roman" w:cs="Times New Roman"/>
          <w:kern w:val="0"/>
          <w:sz w:val="24"/>
          <w:szCs w:val="24"/>
          <w:lang w:val="uk-UA"/>
          <w14:ligatures w14:val="none"/>
        </w:rPr>
        <w:t>. 25-33.</w:t>
      </w:r>
    </w:p>
    <w:p w14:paraId="53EB70DF" w14:textId="77777777" w:rsidR="00B44B71" w:rsidRPr="008E3172" w:rsidRDefault="00B44B71" w:rsidP="00F516E7">
      <w:pPr>
        <w:tabs>
          <w:tab w:val="left" w:pos="9638"/>
        </w:tabs>
        <w:spacing w:after="0" w:line="240" w:lineRule="auto"/>
        <w:ind w:firstLine="709"/>
        <w:jc w:val="both"/>
        <w:rPr>
          <w:rFonts w:ascii="Times New Roman" w:eastAsia="Calibri" w:hAnsi="Times New Roman" w:cs="Times New Roman"/>
          <w:kern w:val="0"/>
          <w:sz w:val="24"/>
          <w:szCs w:val="24"/>
          <w:lang w:val="uk-UA"/>
          <w14:ligatures w14:val="none"/>
        </w:rPr>
      </w:pPr>
      <w:r w:rsidRPr="008E3172">
        <w:rPr>
          <w:rFonts w:ascii="Times New Roman" w:eastAsia="Calibri" w:hAnsi="Times New Roman" w:cs="Times New Roman"/>
          <w:kern w:val="0"/>
          <w:sz w:val="24"/>
          <w:szCs w:val="24"/>
          <w:lang w:val="uk-UA"/>
          <w14:ligatures w14:val="none"/>
        </w:rPr>
        <w:t xml:space="preserve">5. </w:t>
      </w:r>
      <w:r w:rsidRPr="008E3172">
        <w:rPr>
          <w:rFonts w:ascii="Times New Roman" w:eastAsia="Calibri" w:hAnsi="Times New Roman" w:cs="Times New Roman"/>
          <w:kern w:val="0"/>
          <w:sz w:val="24"/>
          <w:szCs w:val="24"/>
          <w14:ligatures w14:val="none"/>
        </w:rPr>
        <w:t>Krasota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Pidhotovka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viiskovykh</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fakhivtsiv</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inzhenernykh</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viisk</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u</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Kamiantsi</w:t>
      </w:r>
      <w:r w:rsidRPr="008E3172">
        <w:rPr>
          <w:rFonts w:ascii="Times New Roman" w:eastAsia="Calibri" w:hAnsi="Times New Roman" w:cs="Times New Roman"/>
          <w:kern w:val="0"/>
          <w:sz w:val="24"/>
          <w:szCs w:val="24"/>
          <w:lang w:val="uk-UA"/>
          <w14:ligatures w14:val="none"/>
        </w:rPr>
        <w:t>-</w:t>
      </w:r>
      <w:r w:rsidRPr="008E3172">
        <w:rPr>
          <w:rFonts w:ascii="Times New Roman" w:eastAsia="Calibri" w:hAnsi="Times New Roman" w:cs="Times New Roman"/>
          <w:kern w:val="0"/>
          <w:sz w:val="24"/>
          <w:szCs w:val="24"/>
          <w14:ligatures w14:val="none"/>
        </w:rPr>
        <w:t>Podilskomu</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u</w:t>
      </w:r>
      <w:r w:rsidRPr="008E3172">
        <w:rPr>
          <w:rFonts w:ascii="Times New Roman" w:eastAsia="Calibri" w:hAnsi="Times New Roman" w:cs="Times New Roman"/>
          <w:kern w:val="0"/>
          <w:sz w:val="24"/>
          <w:szCs w:val="24"/>
          <w:lang w:val="uk-UA"/>
          <w14:ligatures w14:val="none"/>
        </w:rPr>
        <w:t xml:space="preserve"> 1967–2017 </w:t>
      </w:r>
      <w:r w:rsidRPr="008E3172">
        <w:rPr>
          <w:rFonts w:ascii="Times New Roman" w:eastAsia="Calibri" w:hAnsi="Times New Roman" w:cs="Times New Roman"/>
          <w:kern w:val="0"/>
          <w:sz w:val="24"/>
          <w:szCs w:val="24"/>
          <w14:ligatures w14:val="none"/>
        </w:rPr>
        <w:t>rr</w:t>
      </w:r>
      <w:r w:rsidRPr="008E3172">
        <w:rPr>
          <w:rFonts w:ascii="Times New Roman" w:eastAsia="Calibri" w:hAnsi="Times New Roman" w:cs="Times New Roman"/>
          <w:kern w:val="0"/>
          <w:sz w:val="24"/>
          <w:szCs w:val="24"/>
          <w:lang w:val="uk-UA"/>
          <w14:ligatures w14:val="none"/>
        </w:rPr>
        <w:t xml:space="preserve"> / </w:t>
      </w:r>
      <w:r w:rsidRPr="008E3172">
        <w:rPr>
          <w:rFonts w:ascii="Times New Roman" w:eastAsia="Calibri" w:hAnsi="Times New Roman" w:cs="Times New Roman"/>
          <w:kern w:val="0"/>
          <w:sz w:val="24"/>
          <w:szCs w:val="24"/>
          <w14:ligatures w14:val="none"/>
        </w:rPr>
        <w:t>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Krasota</w:t>
      </w:r>
      <w:r w:rsidRPr="008E3172">
        <w:rPr>
          <w:rFonts w:ascii="Times New Roman" w:eastAsia="Calibri" w:hAnsi="Times New Roman" w:cs="Times New Roman"/>
          <w:kern w:val="0"/>
          <w:sz w:val="24"/>
          <w:szCs w:val="24"/>
          <w:lang w:val="uk-UA"/>
          <w14:ligatures w14:val="none"/>
        </w:rPr>
        <w:t xml:space="preserve"> // </w:t>
      </w:r>
      <w:r w:rsidRPr="008E3172">
        <w:rPr>
          <w:rFonts w:ascii="Times New Roman" w:eastAsia="Calibri" w:hAnsi="Times New Roman" w:cs="Times New Roman"/>
          <w:kern w:val="0"/>
          <w:sz w:val="24"/>
          <w:szCs w:val="24"/>
          <w14:ligatures w14:val="none"/>
        </w:rPr>
        <w:t>Osvita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nauka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kultura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na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Podilli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zb</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nauk</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prats</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Kamianets</w:t>
      </w:r>
      <w:r w:rsidRPr="008E3172">
        <w:rPr>
          <w:rFonts w:ascii="Times New Roman" w:eastAsia="Calibri" w:hAnsi="Times New Roman" w:cs="Times New Roman"/>
          <w:kern w:val="0"/>
          <w:sz w:val="24"/>
          <w:szCs w:val="24"/>
          <w:lang w:val="uk-UA"/>
          <w14:ligatures w14:val="none"/>
        </w:rPr>
        <w:t>-</w:t>
      </w:r>
      <w:r w:rsidRPr="008E3172">
        <w:rPr>
          <w:rFonts w:ascii="Times New Roman" w:eastAsia="Calibri" w:hAnsi="Times New Roman" w:cs="Times New Roman"/>
          <w:kern w:val="0"/>
          <w:sz w:val="24"/>
          <w:szCs w:val="24"/>
          <w14:ligatures w14:val="none"/>
        </w:rPr>
        <w:t>Podilskyi</w:t>
      </w:r>
      <w:r w:rsidRPr="008E3172">
        <w:rPr>
          <w:rFonts w:ascii="Times New Roman" w:eastAsia="Calibri" w:hAnsi="Times New Roman" w:cs="Times New Roman"/>
          <w:kern w:val="0"/>
          <w:sz w:val="24"/>
          <w:szCs w:val="24"/>
          <w:lang w:val="uk-UA"/>
          <w14:ligatures w14:val="none"/>
        </w:rPr>
        <w:t xml:space="preserve">, 2017. </w:t>
      </w:r>
      <w:r w:rsidRPr="008E3172">
        <w:rPr>
          <w:rFonts w:ascii="Times New Roman" w:eastAsia="Calibri" w:hAnsi="Times New Roman" w:cs="Times New Roman"/>
          <w:kern w:val="0"/>
          <w:sz w:val="24"/>
          <w:szCs w:val="24"/>
          <w14:ligatures w14:val="none"/>
        </w:rPr>
        <w:t>T</w:t>
      </w:r>
      <w:r w:rsidRPr="008E3172">
        <w:rPr>
          <w:rFonts w:ascii="Times New Roman" w:eastAsia="Calibri" w:hAnsi="Times New Roman" w:cs="Times New Roman"/>
          <w:kern w:val="0"/>
          <w:sz w:val="24"/>
          <w:szCs w:val="24"/>
          <w:lang w:val="uk-UA"/>
          <w14:ligatures w14:val="none"/>
        </w:rPr>
        <w:t xml:space="preserve">. 24. </w:t>
      </w:r>
      <w:r w:rsidRPr="008E3172">
        <w:rPr>
          <w:rFonts w:ascii="Times New Roman" w:eastAsia="Calibri" w:hAnsi="Times New Roman" w:cs="Times New Roman"/>
          <w:kern w:val="0"/>
          <w:sz w:val="24"/>
          <w:szCs w:val="24"/>
          <w14:ligatures w14:val="none"/>
        </w:rPr>
        <w:t>S</w:t>
      </w:r>
      <w:r w:rsidRPr="008E3172">
        <w:rPr>
          <w:rFonts w:ascii="Times New Roman" w:eastAsia="Calibri" w:hAnsi="Times New Roman" w:cs="Times New Roman"/>
          <w:kern w:val="0"/>
          <w:sz w:val="24"/>
          <w:szCs w:val="24"/>
          <w:lang w:val="uk-UA"/>
          <w14:ligatures w14:val="none"/>
        </w:rPr>
        <w:t>. 172-178.</w:t>
      </w:r>
    </w:p>
    <w:p w14:paraId="0A55FBE6" w14:textId="77777777" w:rsidR="00B44B71" w:rsidRPr="008E3172" w:rsidRDefault="00B44B71" w:rsidP="00F516E7">
      <w:pPr>
        <w:tabs>
          <w:tab w:val="left" w:pos="9638"/>
        </w:tabs>
        <w:spacing w:after="0" w:line="240" w:lineRule="auto"/>
        <w:ind w:firstLine="709"/>
        <w:jc w:val="both"/>
        <w:rPr>
          <w:rFonts w:ascii="Times New Roman" w:eastAsia="Calibri" w:hAnsi="Times New Roman" w:cs="Times New Roman"/>
          <w:kern w:val="0"/>
          <w:sz w:val="24"/>
          <w:szCs w:val="24"/>
          <w:lang w:val="uk-UA"/>
          <w14:ligatures w14:val="none"/>
        </w:rPr>
      </w:pPr>
      <w:r w:rsidRPr="008E3172">
        <w:rPr>
          <w:rFonts w:ascii="Times New Roman" w:eastAsia="Calibri" w:hAnsi="Times New Roman" w:cs="Times New Roman"/>
          <w:kern w:val="0"/>
          <w:sz w:val="24"/>
          <w:szCs w:val="24"/>
          <w:lang w:val="uk-UA"/>
          <w14:ligatures w14:val="none"/>
        </w:rPr>
        <w:t xml:space="preserve">6. </w:t>
      </w:r>
      <w:r w:rsidRPr="008E3172">
        <w:rPr>
          <w:rFonts w:ascii="Times New Roman" w:eastAsia="Calibri" w:hAnsi="Times New Roman" w:cs="Times New Roman"/>
          <w:kern w:val="0"/>
          <w:sz w:val="24"/>
          <w:szCs w:val="24"/>
          <w14:ligatures w14:val="none"/>
        </w:rPr>
        <w:t>Krasota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Uchast</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inzhenernykh</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viisk</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ZS</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Ukrainy</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myrotvorchykh</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operatsiiakh</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u</w:t>
      </w:r>
      <w:r w:rsidRPr="008E3172">
        <w:rPr>
          <w:rFonts w:ascii="Times New Roman" w:eastAsia="Calibri" w:hAnsi="Times New Roman" w:cs="Times New Roman"/>
          <w:kern w:val="0"/>
          <w:sz w:val="24"/>
          <w:szCs w:val="24"/>
          <w:lang w:val="uk-UA"/>
          <w14:ligatures w14:val="none"/>
        </w:rPr>
        <w:t xml:space="preserve"> 1992–2016 </w:t>
      </w:r>
      <w:r w:rsidRPr="008E3172">
        <w:rPr>
          <w:rFonts w:ascii="Times New Roman" w:eastAsia="Calibri" w:hAnsi="Times New Roman" w:cs="Times New Roman"/>
          <w:kern w:val="0"/>
          <w:sz w:val="24"/>
          <w:szCs w:val="24"/>
          <w14:ligatures w14:val="none"/>
        </w:rPr>
        <w:t>rr</w:t>
      </w:r>
      <w:r w:rsidRPr="008E3172">
        <w:rPr>
          <w:rFonts w:ascii="Times New Roman" w:eastAsia="Calibri" w:hAnsi="Times New Roman" w:cs="Times New Roman"/>
          <w:kern w:val="0"/>
          <w:sz w:val="24"/>
          <w:szCs w:val="24"/>
          <w:lang w:val="uk-UA"/>
          <w14:ligatures w14:val="none"/>
        </w:rPr>
        <w:t xml:space="preserve">. / </w:t>
      </w:r>
      <w:r w:rsidRPr="008E3172">
        <w:rPr>
          <w:rFonts w:ascii="Times New Roman" w:eastAsia="Calibri" w:hAnsi="Times New Roman" w:cs="Times New Roman"/>
          <w:kern w:val="0"/>
          <w:sz w:val="24"/>
          <w:szCs w:val="24"/>
          <w14:ligatures w14:val="none"/>
        </w:rPr>
        <w:t>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Krasota</w:t>
      </w:r>
      <w:r w:rsidRPr="008E3172">
        <w:rPr>
          <w:rFonts w:ascii="Times New Roman" w:eastAsia="Calibri" w:hAnsi="Times New Roman" w:cs="Times New Roman"/>
          <w:kern w:val="0"/>
          <w:sz w:val="24"/>
          <w:szCs w:val="24"/>
          <w:lang w:val="uk-UA"/>
          <w14:ligatures w14:val="none"/>
        </w:rPr>
        <w:t xml:space="preserve"> // </w:t>
      </w:r>
      <w:r w:rsidRPr="008E3172">
        <w:rPr>
          <w:rFonts w:ascii="Times New Roman" w:eastAsia="Calibri" w:hAnsi="Times New Roman" w:cs="Times New Roman"/>
          <w:kern w:val="0"/>
          <w:sz w:val="24"/>
          <w:szCs w:val="24"/>
          <w14:ligatures w14:val="none"/>
        </w:rPr>
        <w:t>Nauka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Studia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nauk</w:t>
      </w:r>
      <w:r w:rsidRPr="008E3172">
        <w:rPr>
          <w:rFonts w:ascii="Times New Roman" w:eastAsia="Calibri" w:hAnsi="Times New Roman" w:cs="Times New Roman"/>
          <w:kern w:val="0"/>
          <w:sz w:val="24"/>
          <w:szCs w:val="24"/>
          <w:lang w:val="uk-UA"/>
          <w14:ligatures w14:val="none"/>
        </w:rPr>
        <w:t>.-</w:t>
      </w:r>
      <w:r w:rsidRPr="008E3172">
        <w:rPr>
          <w:rFonts w:ascii="Times New Roman" w:eastAsia="Calibri" w:hAnsi="Times New Roman" w:cs="Times New Roman"/>
          <w:kern w:val="0"/>
          <w:sz w:val="24"/>
          <w:szCs w:val="24"/>
          <w14:ligatures w14:val="none"/>
        </w:rPr>
        <w:t>teoret</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prakt</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zhurnal</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Respublika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Polshcha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Przemysl</w:t>
      </w:r>
      <w:r w:rsidRPr="008E3172">
        <w:rPr>
          <w:rFonts w:ascii="Times New Roman" w:eastAsia="Calibri" w:hAnsi="Times New Roman" w:cs="Times New Roman"/>
          <w:kern w:val="0"/>
          <w:sz w:val="24"/>
          <w:szCs w:val="24"/>
          <w:lang w:val="uk-UA"/>
          <w14:ligatures w14:val="none"/>
        </w:rPr>
        <w:t xml:space="preserve">, 2017. № 17 (178). </w:t>
      </w:r>
      <w:r w:rsidRPr="008E3172">
        <w:rPr>
          <w:rFonts w:ascii="Times New Roman" w:eastAsia="Calibri" w:hAnsi="Times New Roman" w:cs="Times New Roman"/>
          <w:kern w:val="0"/>
          <w:sz w:val="24"/>
          <w:szCs w:val="24"/>
          <w14:ligatures w14:val="none"/>
        </w:rPr>
        <w:t>P</w:t>
      </w:r>
      <w:r w:rsidRPr="008E3172">
        <w:rPr>
          <w:rFonts w:ascii="Times New Roman" w:eastAsia="Calibri" w:hAnsi="Times New Roman" w:cs="Times New Roman"/>
          <w:kern w:val="0"/>
          <w:sz w:val="24"/>
          <w:szCs w:val="24"/>
          <w:lang w:val="uk-UA"/>
          <w14:ligatures w14:val="none"/>
        </w:rPr>
        <w:t>. 80-86.</w:t>
      </w:r>
    </w:p>
    <w:p w14:paraId="1FAD54B6" w14:textId="77777777" w:rsidR="00B44B71" w:rsidRPr="008E3172" w:rsidRDefault="00B44B71" w:rsidP="00F516E7">
      <w:pPr>
        <w:tabs>
          <w:tab w:val="left" w:pos="9638"/>
        </w:tabs>
        <w:spacing w:after="0" w:line="240" w:lineRule="auto"/>
        <w:ind w:firstLine="709"/>
        <w:jc w:val="both"/>
        <w:rPr>
          <w:rFonts w:ascii="Times New Roman" w:eastAsia="Calibri" w:hAnsi="Times New Roman" w:cs="Times New Roman"/>
          <w:kern w:val="0"/>
          <w:sz w:val="24"/>
          <w:szCs w:val="24"/>
          <w:lang w:val="uk-UA"/>
          <w14:ligatures w14:val="none"/>
        </w:rPr>
      </w:pPr>
      <w:r w:rsidRPr="008E3172">
        <w:rPr>
          <w:rFonts w:ascii="Times New Roman" w:eastAsia="Calibri" w:hAnsi="Times New Roman" w:cs="Times New Roman"/>
          <w:kern w:val="0"/>
          <w:sz w:val="24"/>
          <w:szCs w:val="24"/>
          <w:lang w:val="uk-UA"/>
          <w14:ligatures w14:val="none"/>
        </w:rPr>
        <w:t xml:space="preserve">7. </w:t>
      </w:r>
      <w:r w:rsidRPr="008E3172">
        <w:rPr>
          <w:rFonts w:ascii="Times New Roman" w:eastAsia="Calibri" w:hAnsi="Times New Roman" w:cs="Times New Roman"/>
          <w:kern w:val="0"/>
          <w:sz w:val="24"/>
          <w:szCs w:val="24"/>
          <w14:ligatures w14:val="none"/>
        </w:rPr>
        <w:t>Krasota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Zastosuvannia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inzhenernykh</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viisk</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ZS</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Ukrainy</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pid</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chas</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antyterorystychnoi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operatsii</w:t>
      </w:r>
      <w:r w:rsidRPr="008E3172">
        <w:rPr>
          <w:rFonts w:ascii="Times New Roman" w:eastAsia="Calibri" w:hAnsi="Times New Roman" w:cs="Times New Roman"/>
          <w:kern w:val="0"/>
          <w:sz w:val="24"/>
          <w:szCs w:val="24"/>
          <w:lang w:val="uk-UA"/>
          <w14:ligatures w14:val="none"/>
        </w:rPr>
        <w:t xml:space="preserve"> (2014–2017 </w:t>
      </w:r>
      <w:r w:rsidRPr="008E3172">
        <w:rPr>
          <w:rFonts w:ascii="Times New Roman" w:eastAsia="Calibri" w:hAnsi="Times New Roman" w:cs="Times New Roman"/>
          <w:kern w:val="0"/>
          <w:sz w:val="24"/>
          <w:szCs w:val="24"/>
          <w14:ligatures w14:val="none"/>
        </w:rPr>
        <w:t>rr</w:t>
      </w:r>
      <w:r w:rsidRPr="008E3172">
        <w:rPr>
          <w:rFonts w:ascii="Times New Roman" w:eastAsia="Calibri" w:hAnsi="Times New Roman" w:cs="Times New Roman"/>
          <w:kern w:val="0"/>
          <w:sz w:val="24"/>
          <w:szCs w:val="24"/>
          <w:lang w:val="uk-UA"/>
          <w14:ligatures w14:val="none"/>
        </w:rPr>
        <w:t xml:space="preserve">.) / </w:t>
      </w:r>
      <w:r w:rsidRPr="008E3172">
        <w:rPr>
          <w:rFonts w:ascii="Times New Roman" w:eastAsia="Calibri" w:hAnsi="Times New Roman" w:cs="Times New Roman"/>
          <w:kern w:val="0"/>
          <w:sz w:val="24"/>
          <w:szCs w:val="24"/>
          <w14:ligatures w14:val="none"/>
        </w:rPr>
        <w:t>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Krasota</w:t>
      </w:r>
      <w:r w:rsidRPr="008E3172">
        <w:rPr>
          <w:rFonts w:ascii="Times New Roman" w:eastAsia="Calibri" w:hAnsi="Times New Roman" w:cs="Times New Roman"/>
          <w:kern w:val="0"/>
          <w:sz w:val="24"/>
          <w:szCs w:val="24"/>
          <w:lang w:val="uk-UA"/>
          <w14:ligatures w14:val="none"/>
        </w:rPr>
        <w:t xml:space="preserve"> // </w:t>
      </w:r>
      <w:r w:rsidRPr="008E3172">
        <w:rPr>
          <w:rFonts w:ascii="Times New Roman" w:eastAsia="Calibri" w:hAnsi="Times New Roman" w:cs="Times New Roman"/>
          <w:kern w:val="0"/>
          <w:sz w:val="24"/>
          <w:szCs w:val="24"/>
          <w14:ligatures w14:val="none"/>
        </w:rPr>
        <w:t>Voienno</w:t>
      </w:r>
      <w:r w:rsidRPr="008E3172">
        <w:rPr>
          <w:rFonts w:ascii="Times New Roman" w:eastAsia="Calibri" w:hAnsi="Times New Roman" w:cs="Times New Roman"/>
          <w:kern w:val="0"/>
          <w:sz w:val="24"/>
          <w:szCs w:val="24"/>
          <w:lang w:val="uk-UA"/>
          <w14:ligatures w14:val="none"/>
        </w:rPr>
        <w:t>-</w:t>
      </w:r>
      <w:r w:rsidRPr="008E3172">
        <w:rPr>
          <w:rFonts w:ascii="Times New Roman" w:eastAsia="Calibri" w:hAnsi="Times New Roman" w:cs="Times New Roman"/>
          <w:kern w:val="0"/>
          <w:sz w:val="24"/>
          <w:szCs w:val="24"/>
          <w14:ligatures w14:val="none"/>
        </w:rPr>
        <w:t>istorychnyi</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visnyk</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zb</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nauk</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prats</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Kyiv</w:t>
      </w:r>
      <w:r w:rsidRPr="008E3172">
        <w:rPr>
          <w:rFonts w:ascii="Times New Roman" w:eastAsia="Calibri" w:hAnsi="Times New Roman" w:cs="Times New Roman"/>
          <w:kern w:val="0"/>
          <w:sz w:val="24"/>
          <w:szCs w:val="24"/>
          <w:lang w:val="uk-UA"/>
          <w14:ligatures w14:val="none"/>
        </w:rPr>
        <w:t xml:space="preserve">, 2018. </w:t>
      </w:r>
      <w:r w:rsidRPr="008E3172">
        <w:rPr>
          <w:rFonts w:ascii="Times New Roman" w:eastAsia="Calibri" w:hAnsi="Times New Roman" w:cs="Times New Roman"/>
          <w:kern w:val="0"/>
          <w:sz w:val="24"/>
          <w:szCs w:val="24"/>
          <w14:ligatures w14:val="none"/>
        </w:rPr>
        <w:t>Vyp</w:t>
      </w:r>
      <w:r w:rsidRPr="008E3172">
        <w:rPr>
          <w:rFonts w:ascii="Times New Roman" w:eastAsia="Calibri" w:hAnsi="Times New Roman" w:cs="Times New Roman"/>
          <w:kern w:val="0"/>
          <w:sz w:val="24"/>
          <w:szCs w:val="24"/>
          <w:lang w:val="uk-UA"/>
          <w14:ligatures w14:val="none"/>
        </w:rPr>
        <w:t xml:space="preserve">. 1 (27). </w:t>
      </w:r>
      <w:r w:rsidRPr="008E3172">
        <w:rPr>
          <w:rFonts w:ascii="Times New Roman" w:eastAsia="Calibri" w:hAnsi="Times New Roman" w:cs="Times New Roman"/>
          <w:kern w:val="0"/>
          <w:sz w:val="24"/>
          <w:szCs w:val="24"/>
          <w14:ligatures w14:val="none"/>
        </w:rPr>
        <w:t>S</w:t>
      </w:r>
      <w:r w:rsidRPr="008E3172">
        <w:rPr>
          <w:rFonts w:ascii="Times New Roman" w:eastAsia="Calibri" w:hAnsi="Times New Roman" w:cs="Times New Roman"/>
          <w:kern w:val="0"/>
          <w:sz w:val="24"/>
          <w:szCs w:val="24"/>
          <w:lang w:val="uk-UA"/>
          <w14:ligatures w14:val="none"/>
        </w:rPr>
        <w:t>. 117-123.</w:t>
      </w:r>
    </w:p>
    <w:p w14:paraId="57979FC2" w14:textId="77777777" w:rsidR="00B44B71" w:rsidRPr="008E3172" w:rsidRDefault="00B44B71" w:rsidP="00F516E7">
      <w:pPr>
        <w:tabs>
          <w:tab w:val="left" w:pos="9638"/>
        </w:tabs>
        <w:spacing w:after="0" w:line="240" w:lineRule="auto"/>
        <w:ind w:firstLine="709"/>
        <w:jc w:val="both"/>
        <w:rPr>
          <w:rFonts w:ascii="Times New Roman" w:eastAsia="Calibri" w:hAnsi="Times New Roman" w:cs="Times New Roman"/>
          <w:color w:val="0563C1"/>
          <w:spacing w:val="-4"/>
          <w:kern w:val="0"/>
          <w:sz w:val="24"/>
          <w:szCs w:val="24"/>
          <w:u w:val="single"/>
          <w:lang w:val="uk-UA"/>
          <w14:ligatures w14:val="none"/>
        </w:rPr>
      </w:pPr>
      <w:r w:rsidRPr="008E3172">
        <w:rPr>
          <w:rFonts w:ascii="Times New Roman" w:eastAsia="Calibri" w:hAnsi="Times New Roman" w:cs="Times New Roman"/>
          <w:kern w:val="0"/>
          <w:sz w:val="24"/>
          <w:szCs w:val="24"/>
          <w:lang w:val="uk-UA"/>
          <w14:ligatures w14:val="none"/>
        </w:rPr>
        <w:t xml:space="preserve">8. </w:t>
      </w:r>
      <w:r w:rsidRPr="008E3172">
        <w:rPr>
          <w:rFonts w:ascii="Times New Roman" w:eastAsia="Calibri" w:hAnsi="Times New Roman" w:cs="Times New Roman"/>
          <w:kern w:val="0"/>
          <w:sz w:val="24"/>
          <w:szCs w:val="24"/>
          <w14:ligatures w14:val="none"/>
        </w:rPr>
        <w:t>Viiska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radiatsiinoho</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khimichnoho</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biolohichnoho</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zakhystu</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kern w:val="0"/>
          <w:sz w:val="24"/>
          <w:szCs w:val="24"/>
          <w14:ligatures w14:val="none"/>
        </w:rPr>
        <w:t>Vikipediia</w:t>
      </w:r>
      <w:r w:rsidRPr="008E3172">
        <w:rPr>
          <w:rFonts w:ascii="Times New Roman" w:eastAsia="Calibri" w:hAnsi="Times New Roman" w:cs="Times New Roman"/>
          <w:kern w:val="0"/>
          <w:sz w:val="24"/>
          <w:szCs w:val="24"/>
          <w:lang w:val="uk-UA"/>
          <w14:ligatures w14:val="none"/>
        </w:rPr>
        <w:t xml:space="preserve"> </w:t>
      </w:r>
      <w:r w:rsidRPr="008E3172">
        <w:rPr>
          <w:rFonts w:ascii="Times New Roman" w:eastAsia="Calibri" w:hAnsi="Times New Roman" w:cs="Times New Roman"/>
          <w:color w:val="000000"/>
          <w:spacing w:val="-4"/>
          <w:kern w:val="0"/>
          <w:sz w:val="24"/>
          <w:szCs w:val="24"/>
          <w14:ligatures w14:val="none"/>
        </w:rPr>
        <w:t>URL</w:t>
      </w:r>
      <w:r w:rsidRPr="008E3172">
        <w:rPr>
          <w:rFonts w:ascii="Times New Roman" w:eastAsia="Calibri" w:hAnsi="Times New Roman" w:cs="Times New Roman"/>
          <w:color w:val="000000"/>
          <w:spacing w:val="-4"/>
          <w:kern w:val="0"/>
          <w:sz w:val="24"/>
          <w:szCs w:val="24"/>
          <w:lang w:val="uk-UA"/>
          <w14:ligatures w14:val="none"/>
        </w:rPr>
        <w:t>:</w:t>
      </w:r>
      <w:hyperlink r:id="rId19" w:history="1">
        <w:r w:rsidRPr="008E3172">
          <w:rPr>
            <w:rFonts w:ascii="Times New Roman" w:eastAsia="Calibri" w:hAnsi="Times New Roman" w:cs="Times New Roman"/>
            <w:color w:val="0563C1"/>
            <w:spacing w:val="-4"/>
            <w:kern w:val="0"/>
            <w:sz w:val="24"/>
            <w:szCs w:val="24"/>
            <w:u w:val="single"/>
            <w:lang w:val="uk-UA"/>
            <w14:ligatures w14:val="none"/>
          </w:rPr>
          <w:t>https://uk.wikipedia.org/wiki/Війська_радіаційного,_хімічного_та_біологічного_захисту_України</w:t>
        </w:r>
      </w:hyperlink>
    </w:p>
    <w:p w14:paraId="6ED8C6EA" w14:textId="77777777" w:rsidR="00B44B71" w:rsidRPr="008E3172" w:rsidRDefault="00B44B71" w:rsidP="00F516E7">
      <w:pPr>
        <w:tabs>
          <w:tab w:val="left" w:pos="9638"/>
        </w:tabs>
        <w:spacing w:after="0" w:line="240" w:lineRule="auto"/>
        <w:ind w:firstLine="709"/>
        <w:jc w:val="both"/>
        <w:rPr>
          <w:rFonts w:ascii="Times New Roman" w:eastAsia="Calibri" w:hAnsi="Times New Roman" w:cs="Times New Roman"/>
          <w:spacing w:val="-4"/>
          <w:kern w:val="0"/>
          <w:sz w:val="24"/>
          <w:szCs w:val="24"/>
          <w14:ligatures w14:val="none"/>
        </w:rPr>
      </w:pPr>
      <w:r w:rsidRPr="008E3172">
        <w:rPr>
          <w:rFonts w:ascii="Times New Roman" w:eastAsia="Calibri" w:hAnsi="Times New Roman" w:cs="Times New Roman"/>
          <w:spacing w:val="-4"/>
          <w:kern w:val="0"/>
          <w:sz w:val="24"/>
          <w:szCs w:val="24"/>
          <w:lang w:val="uk-UA"/>
          <w14:ligatures w14:val="none"/>
        </w:rPr>
        <w:lastRenderedPageBreak/>
        <w:t xml:space="preserve">9. </w:t>
      </w:r>
      <w:r w:rsidRPr="008E3172">
        <w:rPr>
          <w:rFonts w:ascii="Times New Roman" w:eastAsia="Calibri" w:hAnsi="Times New Roman" w:cs="Times New Roman"/>
          <w:spacing w:val="-4"/>
          <w:kern w:val="0"/>
          <w:sz w:val="24"/>
          <w:szCs w:val="24"/>
          <w14:ligatures w14:val="none"/>
        </w:rPr>
        <w:t>Blekot</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O</w:t>
      </w:r>
      <w:r w:rsidRPr="008E3172">
        <w:rPr>
          <w:rFonts w:ascii="Times New Roman" w:eastAsia="Calibri" w:hAnsi="Times New Roman" w:cs="Times New Roman"/>
          <w:spacing w:val="-4"/>
          <w:kern w:val="0"/>
          <w:sz w:val="24"/>
          <w:szCs w:val="24"/>
          <w:lang w:val="uk-UA"/>
          <w14:ligatures w14:val="none"/>
        </w:rPr>
        <w:t>.</w:t>
      </w:r>
      <w:r w:rsidRPr="008E3172">
        <w:rPr>
          <w:rFonts w:ascii="Times New Roman" w:eastAsia="Calibri" w:hAnsi="Times New Roman" w:cs="Times New Roman"/>
          <w:spacing w:val="-4"/>
          <w:kern w:val="0"/>
          <w:sz w:val="24"/>
          <w:szCs w:val="24"/>
          <w14:ligatures w14:val="none"/>
        </w:rPr>
        <w:t>M</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Dzhedzhulei</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O</w:t>
      </w:r>
      <w:r w:rsidRPr="008E3172">
        <w:rPr>
          <w:rFonts w:ascii="Times New Roman" w:eastAsia="Calibri" w:hAnsi="Times New Roman" w:cs="Times New Roman"/>
          <w:spacing w:val="-4"/>
          <w:kern w:val="0"/>
          <w:sz w:val="24"/>
          <w:szCs w:val="24"/>
          <w:lang w:val="uk-UA"/>
          <w14:ligatures w14:val="none"/>
        </w:rPr>
        <w:t>.</w:t>
      </w:r>
      <w:r w:rsidRPr="008E3172">
        <w:rPr>
          <w:rFonts w:ascii="Times New Roman" w:eastAsia="Calibri" w:hAnsi="Times New Roman" w:cs="Times New Roman"/>
          <w:spacing w:val="-4"/>
          <w:kern w:val="0"/>
          <w:sz w:val="24"/>
          <w:szCs w:val="24"/>
          <w14:ligatures w14:val="none"/>
        </w:rPr>
        <w:t>V</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Nikitin</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A</w:t>
      </w:r>
      <w:r w:rsidRPr="008E3172">
        <w:rPr>
          <w:rFonts w:ascii="Times New Roman" w:eastAsia="Calibri" w:hAnsi="Times New Roman" w:cs="Times New Roman"/>
          <w:spacing w:val="-4"/>
          <w:kern w:val="0"/>
          <w:sz w:val="24"/>
          <w:szCs w:val="24"/>
          <w:lang w:val="uk-UA"/>
          <w14:ligatures w14:val="none"/>
        </w:rPr>
        <w:t>.</w:t>
      </w:r>
      <w:r w:rsidRPr="008E3172">
        <w:rPr>
          <w:rFonts w:ascii="Times New Roman" w:eastAsia="Calibri" w:hAnsi="Times New Roman" w:cs="Times New Roman"/>
          <w:spacing w:val="-4"/>
          <w:kern w:val="0"/>
          <w:sz w:val="24"/>
          <w:szCs w:val="24"/>
          <w14:ligatures w14:val="none"/>
        </w:rPr>
        <w:t>A</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Romaniuk</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V</w:t>
      </w:r>
      <w:r w:rsidRPr="008E3172">
        <w:rPr>
          <w:rFonts w:ascii="Times New Roman" w:eastAsia="Calibri" w:hAnsi="Times New Roman" w:cs="Times New Roman"/>
          <w:spacing w:val="-4"/>
          <w:kern w:val="0"/>
          <w:sz w:val="24"/>
          <w:szCs w:val="24"/>
          <w:lang w:val="uk-UA"/>
          <w14:ligatures w14:val="none"/>
        </w:rPr>
        <w:t>.</w:t>
      </w:r>
      <w:r w:rsidRPr="008E3172">
        <w:rPr>
          <w:rFonts w:ascii="Times New Roman" w:eastAsia="Calibri" w:hAnsi="Times New Roman" w:cs="Times New Roman"/>
          <w:spacing w:val="-4"/>
          <w:kern w:val="0"/>
          <w:sz w:val="24"/>
          <w:szCs w:val="24"/>
          <w14:ligatures w14:val="none"/>
        </w:rPr>
        <w:t>P</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Artemiev</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S</w:t>
      </w:r>
      <w:r w:rsidRPr="008E3172">
        <w:rPr>
          <w:rFonts w:ascii="Times New Roman" w:eastAsia="Calibri" w:hAnsi="Times New Roman" w:cs="Times New Roman"/>
          <w:spacing w:val="-4"/>
          <w:kern w:val="0"/>
          <w:sz w:val="24"/>
          <w:szCs w:val="24"/>
          <w:lang w:val="uk-UA"/>
          <w14:ligatures w14:val="none"/>
        </w:rPr>
        <w:t>.</w:t>
      </w:r>
      <w:r w:rsidRPr="008E3172">
        <w:rPr>
          <w:rFonts w:ascii="Times New Roman" w:eastAsia="Calibri" w:hAnsi="Times New Roman" w:cs="Times New Roman"/>
          <w:spacing w:val="-4"/>
          <w:kern w:val="0"/>
          <w:sz w:val="24"/>
          <w:szCs w:val="24"/>
          <w14:ligatures w14:val="none"/>
        </w:rPr>
        <w:t>R</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Viiska</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radiatsiinoho</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khimichnoho</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biolohichnoho</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zakhystu</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Zbroinykh</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Syl</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Ukrainy</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skorochenyi</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narys</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monohrafiia</w:t>
      </w:r>
      <w:r w:rsidRPr="008E3172">
        <w:rPr>
          <w:rFonts w:ascii="Times New Roman" w:eastAsia="Calibri" w:hAnsi="Times New Roman" w:cs="Times New Roman"/>
          <w:spacing w:val="-4"/>
          <w:kern w:val="0"/>
          <w:sz w:val="24"/>
          <w:szCs w:val="24"/>
          <w:lang w:val="uk-UA"/>
          <w14:ligatures w14:val="none"/>
        </w:rPr>
        <w:t xml:space="preserve">. </w:t>
      </w:r>
      <w:r w:rsidRPr="008E3172">
        <w:rPr>
          <w:rFonts w:ascii="Times New Roman" w:eastAsia="Calibri" w:hAnsi="Times New Roman" w:cs="Times New Roman"/>
          <w:spacing w:val="-4"/>
          <w:kern w:val="0"/>
          <w:sz w:val="24"/>
          <w:szCs w:val="24"/>
          <w14:ligatures w14:val="none"/>
        </w:rPr>
        <w:t>K: NUOU im. Ivana Cherniakhovskoho, 2018. 240 s.</w:t>
      </w:r>
    </w:p>
    <w:p w14:paraId="0D53FF5D" w14:textId="77777777" w:rsidR="00B44B71" w:rsidRPr="008E3172" w:rsidRDefault="00B44B71" w:rsidP="00F516E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pacing w:val="-4"/>
          <w:kern w:val="0"/>
          <w:sz w:val="24"/>
          <w:szCs w:val="24"/>
          <w14:ligatures w14:val="none"/>
        </w:rPr>
      </w:pPr>
      <w:r w:rsidRPr="008E3172">
        <w:rPr>
          <w:rFonts w:ascii="Times New Roman" w:eastAsia="Calibri" w:hAnsi="Times New Roman" w:cs="Times New Roman"/>
          <w:spacing w:val="-4"/>
          <w:kern w:val="0"/>
          <w:sz w:val="24"/>
          <w:szCs w:val="24"/>
          <w14:ligatures w14:val="none"/>
        </w:rPr>
        <w:t>10. Topohrafichna sluzhba Zbroynykh Syl Ukrayiny: informatsiyno-analitychni materialy. K.: KSP ZS Ukrayiny, 2025. 28 s.</w:t>
      </w:r>
    </w:p>
    <w:p w14:paraId="6A784C1A" w14:textId="77777777" w:rsidR="00B44B71" w:rsidRPr="008E3172" w:rsidRDefault="00B44B71" w:rsidP="00F516E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pacing w:val="-4"/>
          <w:kern w:val="0"/>
          <w:sz w:val="24"/>
          <w:szCs w:val="24"/>
          <w14:ligatures w14:val="none"/>
        </w:rPr>
      </w:pPr>
      <w:r w:rsidRPr="008E3172">
        <w:rPr>
          <w:rFonts w:ascii="Times New Roman" w:eastAsia="Calibri" w:hAnsi="Times New Roman" w:cs="Times New Roman"/>
          <w:spacing w:val="-4"/>
          <w:kern w:val="0"/>
          <w:sz w:val="24"/>
          <w:szCs w:val="24"/>
          <w14:ligatures w14:val="none"/>
        </w:rPr>
        <w:t>11. Hidrometeorolohichna sluzhba Zbroynykh Syl Ukrayiny: informatsiyno-analitychni materialy. K.: KSP ZS Ukrayiny, 2024. 26 s.</w:t>
      </w:r>
    </w:p>
    <w:p w14:paraId="240C7FED" w14:textId="77777777" w:rsidR="00B44B71" w:rsidRPr="008E3172" w:rsidRDefault="00B44B71" w:rsidP="00F516E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cs="Times New Roman"/>
          <w:spacing w:val="-4"/>
          <w:kern w:val="0"/>
          <w:sz w:val="24"/>
          <w:szCs w:val="24"/>
          <w14:ligatures w14:val="none"/>
        </w:rPr>
      </w:pPr>
      <w:r w:rsidRPr="008E3172">
        <w:rPr>
          <w:rFonts w:ascii="Times New Roman" w:eastAsia="Calibri" w:hAnsi="Times New Roman" w:cs="Times New Roman"/>
          <w:spacing w:val="-4"/>
          <w:kern w:val="0"/>
          <w:sz w:val="24"/>
          <w:szCs w:val="24"/>
          <w14:ligatures w14:val="none"/>
        </w:rPr>
        <w:t>12. Rakhmanov V., Kotsyuruba V. Intehratsiyni zasady udoskonalennya normatyvno-pravovykh aktiv shchodo pidhotovky hromadyan Ukrayiny do viysʹkovoyi sluzhby / V. O. Rakhmanov, V.I. Kotsyuruba // Viysʹkova osvita. K.: NUOU, 2024. Vyp. 2 (50). S. 126-141.</w:t>
      </w:r>
    </w:p>
    <w:p w14:paraId="0E9471F4" w14:textId="77777777" w:rsidR="00B44B71" w:rsidRPr="008E3172" w:rsidRDefault="00B44B71" w:rsidP="00023291">
      <w:pPr>
        <w:tabs>
          <w:tab w:val="left" w:pos="9638"/>
        </w:tabs>
        <w:spacing w:after="0" w:line="240" w:lineRule="auto"/>
        <w:ind w:firstLine="709"/>
        <w:jc w:val="both"/>
        <w:rPr>
          <w:rFonts w:ascii="Times New Roman" w:eastAsia="Calibri" w:hAnsi="Times New Roman" w:cs="Times New Roman"/>
          <w:spacing w:val="-4"/>
          <w:kern w:val="0"/>
          <w:sz w:val="24"/>
          <w:szCs w:val="24"/>
          <w14:ligatures w14:val="none"/>
        </w:rPr>
      </w:pPr>
    </w:p>
    <w:p w14:paraId="6FE462B9" w14:textId="77777777" w:rsidR="00B44B71" w:rsidRPr="008E3172" w:rsidRDefault="00B44B71" w:rsidP="00023291">
      <w:pPr>
        <w:tabs>
          <w:tab w:val="left" w:pos="9638"/>
        </w:tabs>
        <w:spacing w:after="0" w:line="240" w:lineRule="auto"/>
        <w:ind w:firstLine="709"/>
        <w:jc w:val="center"/>
        <w:rPr>
          <w:rFonts w:ascii="Times New Roman" w:eastAsia="Calibri" w:hAnsi="Times New Roman" w:cs="Times New Roman"/>
          <w:b/>
          <w:spacing w:val="-4"/>
          <w:kern w:val="0"/>
          <w:sz w:val="24"/>
          <w:szCs w:val="24"/>
          <w14:ligatures w14:val="none"/>
        </w:rPr>
      </w:pPr>
      <w:r w:rsidRPr="008E3172">
        <w:rPr>
          <w:rFonts w:ascii="Times New Roman" w:eastAsia="Calibri" w:hAnsi="Times New Roman" w:cs="Times New Roman"/>
          <w:b/>
          <w:spacing w:val="-4"/>
          <w:kern w:val="0"/>
          <w:sz w:val="24"/>
          <w:szCs w:val="24"/>
          <w14:ligatures w14:val="none"/>
        </w:rPr>
        <w:t>SUMMARY</w:t>
      </w:r>
    </w:p>
    <w:p w14:paraId="27AC3F2E" w14:textId="77777777" w:rsidR="00B44B71" w:rsidRPr="008E3172" w:rsidRDefault="00B44B71" w:rsidP="00023291">
      <w:pPr>
        <w:tabs>
          <w:tab w:val="left" w:pos="9638"/>
        </w:tabs>
        <w:spacing w:after="0" w:line="240" w:lineRule="auto"/>
        <w:ind w:firstLine="709"/>
        <w:jc w:val="right"/>
        <w:rPr>
          <w:rFonts w:ascii="Times New Roman" w:eastAsia="Calibri" w:hAnsi="Times New Roman" w:cs="Times New Roman"/>
          <w:b/>
          <w:spacing w:val="-4"/>
          <w:kern w:val="0"/>
          <w:sz w:val="24"/>
          <w:szCs w:val="24"/>
          <w14:ligatures w14:val="none"/>
        </w:rPr>
      </w:pPr>
      <w:r w:rsidRPr="008E3172">
        <w:rPr>
          <w:rFonts w:ascii="Times New Roman" w:eastAsia="Calibri" w:hAnsi="Times New Roman" w:cs="Times New Roman"/>
          <w:b/>
          <w:spacing w:val="-4"/>
          <w:kern w:val="0"/>
          <w:sz w:val="24"/>
          <w:szCs w:val="24"/>
          <w14:ligatures w14:val="none"/>
        </w:rPr>
        <w:t>Dmytro Hereha,</w:t>
      </w:r>
    </w:p>
    <w:p w14:paraId="160097D0" w14:textId="344309A4" w:rsidR="00B44B71" w:rsidRPr="008E3172" w:rsidRDefault="00B44B71" w:rsidP="00023291">
      <w:pPr>
        <w:tabs>
          <w:tab w:val="left" w:pos="9638"/>
        </w:tabs>
        <w:spacing w:after="0" w:line="240" w:lineRule="auto"/>
        <w:ind w:firstLine="709"/>
        <w:jc w:val="right"/>
        <w:rPr>
          <w:rFonts w:ascii="Times New Roman" w:eastAsia="Calibri" w:hAnsi="Times New Roman" w:cs="Times New Roman"/>
          <w:spacing w:val="-4"/>
          <w:kern w:val="0"/>
          <w:sz w:val="24"/>
          <w:szCs w:val="24"/>
          <w14:ligatures w14:val="none"/>
        </w:rPr>
      </w:pPr>
      <w:r w:rsidRPr="008E3172">
        <w:rPr>
          <w:rFonts w:ascii="Times New Roman" w:eastAsia="Calibri" w:hAnsi="Times New Roman" w:cs="Times New Roman"/>
          <w:spacing w:val="-4"/>
          <w:kern w:val="0"/>
          <w:sz w:val="24"/>
          <w:szCs w:val="24"/>
          <w14:ligatures w14:val="none"/>
        </w:rPr>
        <w:t xml:space="preserve">Command of Support Forces of </w:t>
      </w:r>
      <w:r w:rsidR="004F3263" w:rsidRPr="008E3172">
        <w:rPr>
          <w:rFonts w:ascii="Times New Roman" w:eastAsia="Calibri" w:hAnsi="Times New Roman" w:cs="Times New Roman"/>
          <w:spacing w:val="-4"/>
          <w:kern w:val="0"/>
          <w:sz w:val="24"/>
          <w:szCs w:val="24"/>
          <w14:ligatures w14:val="none"/>
        </w:rPr>
        <w:t xml:space="preserve"> the </w:t>
      </w:r>
      <w:r w:rsidRPr="008E3172">
        <w:rPr>
          <w:rFonts w:ascii="Times New Roman" w:eastAsia="Calibri" w:hAnsi="Times New Roman" w:cs="Times New Roman"/>
          <w:spacing w:val="-4"/>
          <w:kern w:val="0"/>
          <w:sz w:val="24"/>
          <w:szCs w:val="24"/>
          <w14:ligatures w14:val="none"/>
        </w:rPr>
        <w:t>Armed Forces of Ukraine, Kyiv</w:t>
      </w:r>
    </w:p>
    <w:p w14:paraId="2FCCC0B5" w14:textId="77777777" w:rsidR="00B44B71" w:rsidRPr="008E3172" w:rsidRDefault="00B44B71" w:rsidP="00023291">
      <w:pPr>
        <w:tabs>
          <w:tab w:val="left" w:pos="9638"/>
        </w:tabs>
        <w:spacing w:after="0" w:line="240" w:lineRule="auto"/>
        <w:ind w:firstLine="709"/>
        <w:jc w:val="right"/>
        <w:rPr>
          <w:rFonts w:ascii="Times New Roman" w:eastAsia="Calibri" w:hAnsi="Times New Roman" w:cs="Times New Roman"/>
          <w:b/>
          <w:spacing w:val="-4"/>
          <w:kern w:val="0"/>
          <w:sz w:val="24"/>
          <w:szCs w:val="24"/>
          <w14:ligatures w14:val="none"/>
        </w:rPr>
      </w:pPr>
      <w:r w:rsidRPr="008E3172">
        <w:rPr>
          <w:rFonts w:ascii="Times New Roman" w:eastAsia="Calibri" w:hAnsi="Times New Roman" w:cs="Times New Roman"/>
          <w:b/>
          <w:spacing w:val="-4"/>
          <w:kern w:val="0"/>
          <w:sz w:val="24"/>
          <w:szCs w:val="24"/>
          <w14:ligatures w14:val="none"/>
        </w:rPr>
        <w:t>Volodymyr Kotsiuruba,</w:t>
      </w:r>
    </w:p>
    <w:p w14:paraId="5D09B7CB" w14:textId="58D49C5E" w:rsidR="00B44B71" w:rsidRPr="008E3172" w:rsidRDefault="00B44B71" w:rsidP="00023291">
      <w:pPr>
        <w:tabs>
          <w:tab w:val="left" w:pos="9638"/>
        </w:tabs>
        <w:spacing w:after="0" w:line="240" w:lineRule="auto"/>
        <w:ind w:firstLine="709"/>
        <w:jc w:val="right"/>
        <w:rPr>
          <w:rFonts w:ascii="Times New Roman" w:eastAsia="Calibri" w:hAnsi="Times New Roman" w:cs="Times New Roman"/>
          <w:spacing w:val="-4"/>
          <w:kern w:val="0"/>
          <w:sz w:val="24"/>
          <w:szCs w:val="24"/>
          <w14:ligatures w14:val="none"/>
        </w:rPr>
      </w:pPr>
      <w:r w:rsidRPr="008E3172">
        <w:rPr>
          <w:rFonts w:ascii="Times New Roman" w:eastAsia="Calibri" w:hAnsi="Times New Roman" w:cs="Times New Roman"/>
          <w:spacing w:val="-4"/>
          <w:kern w:val="0"/>
          <w:sz w:val="24"/>
          <w:szCs w:val="24"/>
          <w14:ligatures w14:val="none"/>
        </w:rPr>
        <w:t>Dr. (Technical Sc</w:t>
      </w:r>
      <w:r w:rsidR="004F3263" w:rsidRPr="008E3172">
        <w:rPr>
          <w:rFonts w:ascii="Times New Roman" w:eastAsia="Calibri" w:hAnsi="Times New Roman" w:cs="Times New Roman"/>
          <w:spacing w:val="-4"/>
          <w:kern w:val="0"/>
          <w:sz w:val="24"/>
          <w:szCs w:val="24"/>
          <w14:ligatures w14:val="none"/>
        </w:rPr>
        <w:t>iences), Professor, Honored I</w:t>
      </w:r>
      <w:r w:rsidRPr="008E3172">
        <w:rPr>
          <w:rFonts w:ascii="Times New Roman" w:eastAsia="Calibri" w:hAnsi="Times New Roman" w:cs="Times New Roman"/>
          <w:spacing w:val="-4"/>
          <w:kern w:val="0"/>
          <w:sz w:val="24"/>
          <w:szCs w:val="24"/>
          <w14:ligatures w14:val="none"/>
        </w:rPr>
        <w:t>nventor of Ukraine</w:t>
      </w:r>
    </w:p>
    <w:p w14:paraId="58DCD0FE" w14:textId="69F2CF84" w:rsidR="00B44B71" w:rsidRPr="008E3172" w:rsidRDefault="004F3263" w:rsidP="00023291">
      <w:pPr>
        <w:tabs>
          <w:tab w:val="left" w:pos="9638"/>
        </w:tabs>
        <w:spacing w:after="0" w:line="240" w:lineRule="auto"/>
        <w:ind w:firstLine="709"/>
        <w:jc w:val="right"/>
        <w:rPr>
          <w:rFonts w:ascii="Times New Roman" w:eastAsia="Calibri" w:hAnsi="Times New Roman" w:cs="Times New Roman"/>
          <w:spacing w:val="-4"/>
          <w:kern w:val="0"/>
          <w:sz w:val="24"/>
          <w:szCs w:val="24"/>
          <w14:ligatures w14:val="none"/>
        </w:rPr>
      </w:pPr>
      <w:r w:rsidRPr="008E3172">
        <w:rPr>
          <w:rFonts w:ascii="Times New Roman" w:eastAsia="Calibri" w:hAnsi="Times New Roman" w:cs="Times New Roman"/>
          <w:spacing w:val="-4"/>
          <w:kern w:val="0"/>
          <w:sz w:val="24"/>
          <w:szCs w:val="24"/>
          <w14:ligatures w14:val="none"/>
        </w:rPr>
        <w:t xml:space="preserve">National Defence University of </w:t>
      </w:r>
      <w:r w:rsidR="00B44B71" w:rsidRPr="008E3172">
        <w:rPr>
          <w:rFonts w:ascii="Times New Roman" w:eastAsia="Calibri" w:hAnsi="Times New Roman" w:cs="Times New Roman"/>
          <w:spacing w:val="-4"/>
          <w:kern w:val="0"/>
          <w:sz w:val="24"/>
          <w:szCs w:val="24"/>
          <w14:ligatures w14:val="none"/>
        </w:rPr>
        <w:t>Ukraine, Kyiv</w:t>
      </w:r>
    </w:p>
    <w:p w14:paraId="2A4A8FD8" w14:textId="77777777" w:rsidR="00B44B71" w:rsidRPr="008E3172" w:rsidRDefault="00B44B71" w:rsidP="00023291">
      <w:pPr>
        <w:tabs>
          <w:tab w:val="left" w:pos="9638"/>
        </w:tabs>
        <w:spacing w:after="0" w:line="240" w:lineRule="auto"/>
        <w:ind w:firstLine="709"/>
        <w:jc w:val="right"/>
        <w:rPr>
          <w:rFonts w:ascii="Times New Roman" w:eastAsia="Calibri" w:hAnsi="Times New Roman" w:cs="Times New Roman"/>
          <w:spacing w:val="-4"/>
          <w:kern w:val="0"/>
          <w:sz w:val="24"/>
          <w:szCs w:val="24"/>
          <w14:ligatures w14:val="none"/>
        </w:rPr>
      </w:pPr>
    </w:p>
    <w:p w14:paraId="097D16B5" w14:textId="16DE568A" w:rsidR="00B44B71" w:rsidRPr="008E3172" w:rsidRDefault="00B44B71" w:rsidP="00023291">
      <w:pPr>
        <w:tabs>
          <w:tab w:val="left" w:pos="9638"/>
        </w:tabs>
        <w:spacing w:after="0" w:line="240" w:lineRule="auto"/>
        <w:ind w:firstLine="709"/>
        <w:jc w:val="center"/>
        <w:rPr>
          <w:rFonts w:ascii="Times New Roman" w:eastAsia="Calibri" w:hAnsi="Times New Roman" w:cs="Times New Roman"/>
          <w:b/>
          <w:spacing w:val="-4"/>
          <w:kern w:val="0"/>
          <w:sz w:val="24"/>
          <w:szCs w:val="24"/>
          <w14:ligatures w14:val="none"/>
        </w:rPr>
      </w:pPr>
      <w:r w:rsidRPr="008E3172">
        <w:rPr>
          <w:rFonts w:ascii="Times New Roman" w:eastAsia="Calibri" w:hAnsi="Times New Roman" w:cs="Times New Roman"/>
          <w:b/>
          <w:spacing w:val="-4"/>
          <w:kern w:val="0"/>
          <w:sz w:val="24"/>
          <w:szCs w:val="24"/>
          <w14:ligatures w14:val="none"/>
        </w:rPr>
        <w:t xml:space="preserve">Trends in </w:t>
      </w:r>
      <w:r w:rsidR="004F3263" w:rsidRPr="008E3172">
        <w:rPr>
          <w:rFonts w:ascii="Times New Roman" w:eastAsia="Calibri" w:hAnsi="Times New Roman" w:cs="Times New Roman"/>
          <w:b/>
          <w:spacing w:val="-4"/>
          <w:kern w:val="0"/>
          <w:sz w:val="24"/>
          <w:szCs w:val="24"/>
          <w14:ligatures w14:val="none"/>
        </w:rPr>
        <w:t>t</w:t>
      </w:r>
      <w:r w:rsidRPr="008E3172">
        <w:rPr>
          <w:rFonts w:ascii="Times New Roman" w:eastAsia="Calibri" w:hAnsi="Times New Roman" w:cs="Times New Roman"/>
          <w:b/>
          <w:spacing w:val="-4"/>
          <w:kern w:val="0"/>
          <w:sz w:val="24"/>
          <w:szCs w:val="24"/>
          <w14:ligatures w14:val="none"/>
        </w:rPr>
        <w:t xml:space="preserve">he Development of Support Forces of </w:t>
      </w:r>
      <w:r w:rsidR="004F3263" w:rsidRPr="008E3172">
        <w:rPr>
          <w:rFonts w:ascii="Times New Roman" w:eastAsia="Calibri" w:hAnsi="Times New Roman" w:cs="Times New Roman"/>
          <w:b/>
          <w:spacing w:val="-4"/>
          <w:kern w:val="0"/>
          <w:sz w:val="24"/>
          <w:szCs w:val="24"/>
          <w14:ligatures w14:val="none"/>
        </w:rPr>
        <w:t>t</w:t>
      </w:r>
      <w:r w:rsidRPr="008E3172">
        <w:rPr>
          <w:rFonts w:ascii="Times New Roman" w:eastAsia="Calibri" w:hAnsi="Times New Roman" w:cs="Times New Roman"/>
          <w:b/>
          <w:spacing w:val="-4"/>
          <w:kern w:val="0"/>
          <w:sz w:val="24"/>
          <w:szCs w:val="24"/>
          <w14:ligatures w14:val="none"/>
        </w:rPr>
        <w:t xml:space="preserve">he Armed Forces of Ukraine Based on </w:t>
      </w:r>
      <w:r w:rsidR="004F3263" w:rsidRPr="008E3172">
        <w:rPr>
          <w:rFonts w:ascii="Times New Roman" w:eastAsia="Calibri" w:hAnsi="Times New Roman" w:cs="Times New Roman"/>
          <w:b/>
          <w:spacing w:val="-4"/>
          <w:kern w:val="0"/>
          <w:sz w:val="24"/>
          <w:szCs w:val="24"/>
          <w14:ligatures w14:val="none"/>
        </w:rPr>
        <w:t>t</w:t>
      </w:r>
      <w:r w:rsidRPr="008E3172">
        <w:rPr>
          <w:rFonts w:ascii="Times New Roman" w:eastAsia="Calibri" w:hAnsi="Times New Roman" w:cs="Times New Roman"/>
          <w:b/>
          <w:spacing w:val="-4"/>
          <w:kern w:val="0"/>
          <w:sz w:val="24"/>
          <w:szCs w:val="24"/>
          <w14:ligatures w14:val="none"/>
        </w:rPr>
        <w:t>he Historical Experience of Their Formation</w:t>
      </w:r>
    </w:p>
    <w:p w14:paraId="1EDCCAF0" w14:textId="77777777" w:rsidR="00B44B71" w:rsidRPr="008E3172" w:rsidRDefault="00B44B71" w:rsidP="00023291">
      <w:pPr>
        <w:tabs>
          <w:tab w:val="left" w:pos="9638"/>
        </w:tabs>
        <w:spacing w:after="0" w:line="240" w:lineRule="auto"/>
        <w:ind w:firstLine="709"/>
        <w:jc w:val="center"/>
        <w:rPr>
          <w:rFonts w:ascii="Times New Roman" w:eastAsia="Calibri" w:hAnsi="Times New Roman" w:cs="Times New Roman"/>
          <w:i/>
          <w:spacing w:val="-4"/>
          <w:kern w:val="0"/>
          <w:sz w:val="24"/>
          <w:szCs w:val="24"/>
          <w14:ligatures w14:val="none"/>
        </w:rPr>
      </w:pPr>
    </w:p>
    <w:p w14:paraId="176220F9" w14:textId="77777777" w:rsidR="00B44B71" w:rsidRPr="008E3172" w:rsidRDefault="00B44B71" w:rsidP="00023291">
      <w:pPr>
        <w:tabs>
          <w:tab w:val="left" w:pos="9638"/>
        </w:tabs>
        <w:spacing w:after="0" w:line="240" w:lineRule="auto"/>
        <w:ind w:firstLine="709"/>
        <w:jc w:val="both"/>
        <w:rPr>
          <w:rFonts w:ascii="Times New Roman" w:eastAsia="Calibri" w:hAnsi="Times New Roman" w:cs="Times New Roman"/>
          <w:i/>
          <w:kern w:val="0"/>
          <w:sz w:val="24"/>
          <w:szCs w:val="24"/>
          <w14:ligatures w14:val="none"/>
        </w:rPr>
      </w:pPr>
      <w:r w:rsidRPr="008E3172">
        <w:rPr>
          <w:rFonts w:ascii="Times New Roman" w:eastAsia="Calibri" w:hAnsi="Times New Roman" w:cs="Times New Roman"/>
          <w:b/>
          <w:i/>
          <w:kern w:val="0"/>
          <w:sz w:val="24"/>
          <w:szCs w:val="24"/>
          <w14:ligatures w14:val="none"/>
        </w:rPr>
        <w:t>Introduction.</w:t>
      </w:r>
      <w:r w:rsidRPr="008E3172">
        <w:rPr>
          <w:rFonts w:ascii="Times New Roman" w:eastAsia="Calibri" w:hAnsi="Times New Roman" w:cs="Times New Roman"/>
          <w:i/>
          <w:kern w:val="0"/>
          <w:sz w:val="24"/>
          <w:szCs w:val="24"/>
          <w14:ligatures w14:val="none"/>
        </w:rPr>
        <w:t xml:space="preserve"> The article considers the historical aspects of the formation of the Support Forces of the Armed Forces of Ukraine since the independence of Ukraine, problematic issues of the development of the management system, organizational structures, weapons, military and special equipment, which determine the requirements for military education and science in the areas of joint support. An in-depth analysis of the shortcomings and advantages allowed us to formulate the main promising areas of development of the Support Forces of the Armed Forces of Ukraine in the medium and long term, taking into account the trends in changing forms and methods of armed struggle.</w:t>
      </w:r>
    </w:p>
    <w:p w14:paraId="2A97A462" w14:textId="77777777" w:rsidR="00B44B71" w:rsidRPr="008E3172" w:rsidRDefault="00B44B71" w:rsidP="0002329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i/>
          <w:color w:val="000000"/>
          <w:kern w:val="0"/>
          <w:sz w:val="24"/>
          <w:szCs w:val="24"/>
          <w:lang w:val="uk-UA" w:eastAsia="uk-UA"/>
          <w14:ligatures w14:val="none"/>
        </w:rPr>
      </w:pPr>
      <w:r w:rsidRPr="008E3172">
        <w:rPr>
          <w:rFonts w:ascii="Times New Roman" w:eastAsia="Times New Roman" w:hAnsi="Times New Roman" w:cs="Times New Roman"/>
          <w:b/>
          <w:i/>
          <w:color w:val="000000"/>
          <w:kern w:val="0"/>
          <w:sz w:val="24"/>
          <w:szCs w:val="24"/>
          <w:lang w:val="pl-PL" w:eastAsia="uk-UA"/>
          <w14:ligatures w14:val="none"/>
        </w:rPr>
        <w:t xml:space="preserve">Purpose. </w:t>
      </w:r>
      <w:r w:rsidRPr="008E3172">
        <w:rPr>
          <w:rFonts w:ascii="Times New Roman" w:eastAsia="Times New Roman" w:hAnsi="Times New Roman" w:cs="Times New Roman"/>
          <w:i/>
          <w:color w:val="000000"/>
          <w:kern w:val="0"/>
          <w:sz w:val="24"/>
          <w:szCs w:val="24"/>
          <w:lang w:val="en" w:eastAsia="uk-UA"/>
          <w14:ligatures w14:val="none"/>
        </w:rPr>
        <w:t>Comprehensive substantiation of the development trends of the SP of the Armed Forces of Ukraine for the medium and long term, taking into account the historical experience of their formation and transformation</w:t>
      </w:r>
    </w:p>
    <w:p w14:paraId="168A18B9" w14:textId="77777777" w:rsidR="00B44B71" w:rsidRPr="008E3172" w:rsidRDefault="00B44B71" w:rsidP="00023291">
      <w:pPr>
        <w:tabs>
          <w:tab w:val="left" w:pos="9638"/>
        </w:tabs>
        <w:spacing w:after="0" w:line="240" w:lineRule="auto"/>
        <w:ind w:firstLine="709"/>
        <w:jc w:val="both"/>
        <w:rPr>
          <w:rFonts w:ascii="Times New Roman" w:eastAsia="Calibri" w:hAnsi="Times New Roman" w:cs="Times New Roman"/>
          <w:i/>
          <w:color w:val="000000"/>
          <w:kern w:val="0"/>
          <w:sz w:val="24"/>
          <w:szCs w:val="24"/>
          <w14:ligatures w14:val="none"/>
        </w:rPr>
      </w:pPr>
      <w:r w:rsidRPr="008E3172">
        <w:rPr>
          <w:rFonts w:ascii="Times New Roman" w:eastAsia="Calibri" w:hAnsi="Times New Roman" w:cs="Times New Roman"/>
          <w:b/>
          <w:i/>
          <w:color w:val="000000"/>
          <w:kern w:val="0"/>
          <w:sz w:val="24"/>
          <w:szCs w:val="24"/>
          <w:lang w:val="pl-PL"/>
          <w14:ligatures w14:val="none"/>
        </w:rPr>
        <w:t xml:space="preserve">Methods. </w:t>
      </w:r>
      <w:r w:rsidRPr="008E3172">
        <w:rPr>
          <w:rFonts w:ascii="Times New Roman" w:eastAsia="Calibri" w:hAnsi="Times New Roman" w:cs="Times New Roman"/>
          <w:i/>
          <w:color w:val="000000"/>
          <w:kern w:val="0"/>
          <w:sz w:val="24"/>
          <w:szCs w:val="24"/>
          <w14:ligatures w14:val="none"/>
        </w:rPr>
        <w:t>Systematic approach and analysis, induction and deduction, comparison, generalization and systematization.</w:t>
      </w:r>
    </w:p>
    <w:p w14:paraId="4AE331DF" w14:textId="77777777" w:rsidR="00B44B71" w:rsidRPr="008E3172" w:rsidRDefault="00B44B71" w:rsidP="0002329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i/>
          <w:color w:val="000000"/>
          <w:kern w:val="0"/>
          <w:sz w:val="24"/>
          <w:szCs w:val="24"/>
          <w:lang w:val="uk-UA" w:eastAsia="uk-UA"/>
          <w14:ligatures w14:val="none"/>
        </w:rPr>
      </w:pPr>
      <w:r w:rsidRPr="008E3172">
        <w:rPr>
          <w:rFonts w:ascii="Times New Roman" w:eastAsia="Times New Roman" w:hAnsi="Times New Roman" w:cs="Times New Roman"/>
          <w:b/>
          <w:i/>
          <w:color w:val="000000"/>
          <w:kern w:val="0"/>
          <w:sz w:val="24"/>
          <w:szCs w:val="24"/>
          <w:lang w:eastAsia="uk-UA"/>
          <w14:ligatures w14:val="none"/>
        </w:rPr>
        <w:t>Results.</w:t>
      </w:r>
      <w:r w:rsidRPr="008E3172">
        <w:rPr>
          <w:rFonts w:ascii="Times New Roman" w:eastAsia="Times New Roman" w:hAnsi="Times New Roman" w:cs="Times New Roman"/>
          <w:b/>
          <w:i/>
          <w:color w:val="000000"/>
          <w:kern w:val="0"/>
          <w:sz w:val="24"/>
          <w:szCs w:val="24"/>
          <w:lang w:val="uk-UA" w:eastAsia="uk-UA"/>
          <w14:ligatures w14:val="none"/>
        </w:rPr>
        <w:t xml:space="preserve"> </w:t>
      </w:r>
      <w:r w:rsidRPr="008E3172">
        <w:rPr>
          <w:rFonts w:ascii="Times New Roman" w:eastAsia="Times New Roman" w:hAnsi="Times New Roman" w:cs="Times New Roman"/>
          <w:i/>
          <w:color w:val="000000"/>
          <w:kern w:val="0"/>
          <w:sz w:val="24"/>
          <w:szCs w:val="24"/>
          <w:lang w:val="en" w:eastAsia="uk-UA"/>
          <w14:ligatures w14:val="none"/>
        </w:rPr>
        <w:t>The article, based on the results of scientific research using a systemic approach, substantiates the prospective directions of the development of the Support Forces of the Armed Forces of Ukraine.</w:t>
      </w:r>
    </w:p>
    <w:p w14:paraId="08FD087D" w14:textId="77777777" w:rsidR="00B44B71" w:rsidRPr="008E3172" w:rsidRDefault="00B44B71" w:rsidP="0002329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i/>
          <w:color w:val="000000"/>
          <w:kern w:val="0"/>
          <w:sz w:val="24"/>
          <w:szCs w:val="24"/>
          <w:lang w:val="uk-UA" w:eastAsia="uk-UA"/>
          <w14:ligatures w14:val="none"/>
        </w:rPr>
      </w:pPr>
      <w:r w:rsidRPr="008E3172">
        <w:rPr>
          <w:rFonts w:ascii="Times New Roman" w:eastAsia="Times New Roman" w:hAnsi="Times New Roman" w:cs="Times New Roman"/>
          <w:b/>
          <w:i/>
          <w:color w:val="000000"/>
          <w:kern w:val="0"/>
          <w:sz w:val="24"/>
          <w:szCs w:val="24"/>
          <w:lang w:eastAsia="uk-UA"/>
          <w14:ligatures w14:val="none"/>
        </w:rPr>
        <w:t>Originality.</w:t>
      </w:r>
      <w:r w:rsidRPr="008E3172">
        <w:rPr>
          <w:rFonts w:ascii="Times New Roman" w:eastAsia="Times New Roman" w:hAnsi="Times New Roman" w:cs="Times New Roman"/>
          <w:b/>
          <w:i/>
          <w:color w:val="000000"/>
          <w:kern w:val="0"/>
          <w:sz w:val="24"/>
          <w:szCs w:val="24"/>
          <w:lang w:val="uk-UA" w:eastAsia="uk-UA"/>
          <w14:ligatures w14:val="none"/>
        </w:rPr>
        <w:t xml:space="preserve"> </w:t>
      </w:r>
      <w:r w:rsidRPr="008E3172">
        <w:rPr>
          <w:rFonts w:ascii="Times New Roman" w:eastAsia="Times New Roman" w:hAnsi="Times New Roman" w:cs="Times New Roman"/>
          <w:i/>
          <w:color w:val="000000"/>
          <w:kern w:val="0"/>
          <w:sz w:val="24"/>
          <w:szCs w:val="24"/>
          <w:lang w:val="en" w:eastAsia="uk-UA"/>
          <w14:ligatures w14:val="none"/>
        </w:rPr>
        <w:t>The originality of the obtained research results lies in the comprehensive orientation to the development of the capabilities of a separate type of forces, taking into account the historical experience of formation and transformation, changes in the nature of armed struggle</w:t>
      </w:r>
      <w:r w:rsidRPr="008E3172">
        <w:rPr>
          <w:rFonts w:ascii="Times New Roman" w:eastAsia="Times New Roman" w:hAnsi="Times New Roman" w:cs="Times New Roman"/>
          <w:i/>
          <w:color w:val="000000"/>
          <w:kern w:val="0"/>
          <w:sz w:val="24"/>
          <w:szCs w:val="24"/>
          <w:lang w:val="uk-UA" w:eastAsia="uk-UA"/>
          <w14:ligatures w14:val="none"/>
        </w:rPr>
        <w:t>.</w:t>
      </w:r>
    </w:p>
    <w:p w14:paraId="6E3B5A08" w14:textId="77777777" w:rsidR="00B44B71" w:rsidRPr="008E3172" w:rsidRDefault="00B44B71" w:rsidP="0002329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i/>
          <w:color w:val="000000"/>
          <w:kern w:val="0"/>
          <w:sz w:val="24"/>
          <w:szCs w:val="24"/>
          <w:lang w:val="uk-UA" w:eastAsia="uk-UA"/>
          <w14:ligatures w14:val="none"/>
        </w:rPr>
      </w:pPr>
      <w:r w:rsidRPr="008E3172">
        <w:rPr>
          <w:rFonts w:ascii="Times New Roman" w:eastAsia="Times New Roman" w:hAnsi="Times New Roman" w:cs="Times New Roman"/>
          <w:b/>
          <w:i/>
          <w:color w:val="000000"/>
          <w:kern w:val="0"/>
          <w:sz w:val="24"/>
          <w:szCs w:val="24"/>
          <w:lang w:eastAsia="uk-UA"/>
          <w14:ligatures w14:val="none"/>
        </w:rPr>
        <w:t>Conclusion.</w:t>
      </w:r>
      <w:r w:rsidRPr="008E3172">
        <w:rPr>
          <w:rFonts w:ascii="Times New Roman" w:eastAsia="Times New Roman" w:hAnsi="Times New Roman" w:cs="Times New Roman"/>
          <w:b/>
          <w:i/>
          <w:color w:val="000000"/>
          <w:kern w:val="0"/>
          <w:sz w:val="24"/>
          <w:szCs w:val="24"/>
          <w:lang w:val="uk-UA" w:eastAsia="uk-UA"/>
          <w14:ligatures w14:val="none"/>
        </w:rPr>
        <w:t xml:space="preserve"> </w:t>
      </w:r>
      <w:r w:rsidRPr="008E3172">
        <w:rPr>
          <w:rFonts w:ascii="Times New Roman" w:eastAsia="Times New Roman" w:hAnsi="Times New Roman" w:cs="Times New Roman"/>
          <w:i/>
          <w:color w:val="000000"/>
          <w:kern w:val="0"/>
          <w:sz w:val="24"/>
          <w:szCs w:val="24"/>
          <w:lang w:val="en" w:eastAsia="uk-UA"/>
          <w14:ligatures w14:val="none"/>
        </w:rPr>
        <w:t>Based on the results of the study of the historical experience of the formation, transformation and application of the Support Forces of the Armed Forces of Ukraine in peacetime and combat conditions, it was possible to clarify the patterns and justify the development trends of the Support Forces of the Armed Forces of Ukraine. Practical implementation will make it possible to make the Support Forces of the Armed Forces of Ukraine optimal in terms of numbers, equipped with modern weapons, military and special equipment, comprehensively prepared and equipped.</w:t>
      </w:r>
      <w:r w:rsidRPr="008E3172">
        <w:rPr>
          <w:rFonts w:ascii="Times New Roman" w:eastAsia="Times New Roman" w:hAnsi="Times New Roman" w:cs="Times New Roman"/>
          <w:i/>
          <w:color w:val="000000"/>
          <w:kern w:val="0"/>
          <w:sz w:val="24"/>
          <w:szCs w:val="24"/>
          <w:lang w:val="uk-UA" w:eastAsia="uk-UA"/>
          <w14:ligatures w14:val="none"/>
        </w:rPr>
        <w:t xml:space="preserve"> At the same time, military units (units) of support in the medium and long term will be able to fulfill the tasks assigned to them, as well as achieve Euro-Atlantic standards and criteria, which will allow full participation in joint operations with the NATO armed forces</w:t>
      </w:r>
    </w:p>
    <w:p w14:paraId="75F9CEB4" w14:textId="77777777" w:rsidR="00B44B71" w:rsidRPr="008E3172" w:rsidRDefault="00B44B71" w:rsidP="0002329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i/>
          <w:color w:val="000000"/>
          <w:kern w:val="0"/>
          <w:sz w:val="24"/>
          <w:szCs w:val="24"/>
          <w:lang w:val="uk-UA" w:eastAsia="uk-UA"/>
          <w14:ligatures w14:val="none"/>
        </w:rPr>
      </w:pPr>
      <w:r w:rsidRPr="008E3172">
        <w:rPr>
          <w:rFonts w:ascii="Times New Roman" w:eastAsia="Times New Roman" w:hAnsi="Times New Roman" w:cs="Times New Roman"/>
          <w:b/>
          <w:i/>
          <w:color w:val="000000"/>
          <w:kern w:val="0"/>
          <w:sz w:val="24"/>
          <w:szCs w:val="24"/>
          <w:lang w:eastAsia="uk-UA"/>
          <w14:ligatures w14:val="none"/>
        </w:rPr>
        <w:t xml:space="preserve">Keywords. </w:t>
      </w:r>
      <w:r w:rsidRPr="008E3172">
        <w:rPr>
          <w:rFonts w:ascii="Times New Roman" w:eastAsia="Times New Roman" w:hAnsi="Times New Roman" w:cs="Times New Roman"/>
          <w:i/>
          <w:color w:val="000000"/>
          <w:kern w:val="0"/>
          <w:sz w:val="24"/>
          <w:szCs w:val="24"/>
          <w:lang w:val="en" w:eastAsia="uk-UA"/>
          <w14:ligatures w14:val="none"/>
        </w:rPr>
        <w:t xml:space="preserve">development; management system; organizational structures; weapons, military and special equipment; military education; preparation; engineering support; chemical, biological, </w:t>
      </w:r>
      <w:r w:rsidRPr="008E3172">
        <w:rPr>
          <w:rFonts w:ascii="Times New Roman" w:eastAsia="Times New Roman" w:hAnsi="Times New Roman" w:cs="Times New Roman"/>
          <w:i/>
          <w:color w:val="000000"/>
          <w:kern w:val="0"/>
          <w:sz w:val="24"/>
          <w:szCs w:val="24"/>
          <w:lang w:val="en" w:eastAsia="uk-UA"/>
          <w14:ligatures w14:val="none"/>
        </w:rPr>
        <w:lastRenderedPageBreak/>
        <w:t>radiation and nuclear protection; topographical service; navigation; hydro meteorological service; canine service</w:t>
      </w:r>
    </w:p>
    <w:p w14:paraId="0B7BBB84" w14:textId="77777777" w:rsidR="00B44B71" w:rsidRPr="008E3172" w:rsidRDefault="00B44B71" w:rsidP="00023291">
      <w:pPr>
        <w:tabs>
          <w:tab w:val="left" w:pos="9638"/>
        </w:tabs>
        <w:spacing w:after="0" w:line="240" w:lineRule="auto"/>
        <w:ind w:firstLine="709"/>
        <w:jc w:val="both"/>
        <w:rPr>
          <w:rFonts w:ascii="Times New Roman" w:eastAsia="Calibri" w:hAnsi="Times New Roman" w:cs="Times New Roman"/>
          <w:color w:val="000000"/>
          <w:kern w:val="0"/>
          <w:sz w:val="24"/>
          <w:szCs w:val="24"/>
          <w:lang w:val="uk-UA"/>
          <w14:ligatures w14:val="none"/>
        </w:rPr>
      </w:pPr>
    </w:p>
    <w:p w14:paraId="24D56EA0" w14:textId="6E662C29" w:rsidR="00B44B71" w:rsidRPr="008E3172" w:rsidRDefault="00B44B71" w:rsidP="00023291">
      <w:pPr>
        <w:tabs>
          <w:tab w:val="left" w:pos="9638"/>
        </w:tabs>
        <w:spacing w:after="0" w:line="240" w:lineRule="auto"/>
        <w:contextualSpacing/>
        <w:jc w:val="right"/>
        <w:rPr>
          <w:rFonts w:ascii="Times New Roman" w:eastAsia="Times New Roman" w:hAnsi="Times New Roman" w:cs="Times New Roman"/>
          <w:color w:val="000000"/>
          <w:kern w:val="0"/>
          <w:sz w:val="24"/>
          <w:szCs w:val="24"/>
          <w:shd w:val="clear" w:color="auto" w:fill="FFFFFF"/>
          <w:lang w:val="ru-RU"/>
          <w14:ligatures w14:val="none"/>
        </w:rPr>
      </w:pPr>
      <w:r w:rsidRPr="008E3172">
        <w:rPr>
          <w:rFonts w:ascii="Times New Roman" w:eastAsia="Times New Roman" w:hAnsi="Times New Roman" w:cs="Times New Roman"/>
          <w:color w:val="000000"/>
          <w:kern w:val="0"/>
          <w:sz w:val="24"/>
          <w:szCs w:val="24"/>
          <w:shd w:val="clear" w:color="auto" w:fill="FFFFFF"/>
          <w:lang w:val="ru-RU"/>
          <w14:ligatures w14:val="none"/>
        </w:rPr>
        <w:t>Рукопис надійшов до редакції 06.04.202</w:t>
      </w:r>
      <w:r w:rsidR="00A30FB0" w:rsidRPr="008E3172">
        <w:rPr>
          <w:rFonts w:ascii="Times New Roman" w:eastAsia="Times New Roman" w:hAnsi="Times New Roman" w:cs="Times New Roman"/>
          <w:color w:val="000000"/>
          <w:kern w:val="0"/>
          <w:sz w:val="24"/>
          <w:szCs w:val="24"/>
          <w:shd w:val="clear" w:color="auto" w:fill="FFFFFF"/>
          <w:lang w:val="ru-RU"/>
          <w14:ligatures w14:val="none"/>
        </w:rPr>
        <w:t>6</w:t>
      </w:r>
    </w:p>
    <w:p w14:paraId="2B01C864" w14:textId="77777777" w:rsidR="00B44B71" w:rsidRPr="008E3172" w:rsidRDefault="00B44B71" w:rsidP="00023291">
      <w:pPr>
        <w:tabs>
          <w:tab w:val="left" w:pos="9638"/>
        </w:tabs>
        <w:spacing w:after="0" w:line="240" w:lineRule="auto"/>
        <w:contextualSpacing/>
        <w:jc w:val="right"/>
        <w:rPr>
          <w:rFonts w:ascii="Times New Roman" w:eastAsia="Times New Roman" w:hAnsi="Times New Roman" w:cs="Times New Roman"/>
          <w:color w:val="000000"/>
          <w:kern w:val="0"/>
          <w:sz w:val="24"/>
          <w:szCs w:val="24"/>
          <w:shd w:val="clear" w:color="auto" w:fill="FFFFFF"/>
          <w:lang w:val="ru-RU"/>
          <w14:ligatures w14:val="none"/>
        </w:rPr>
      </w:pPr>
      <w:r w:rsidRPr="008E3172">
        <w:rPr>
          <w:rFonts w:ascii="Times New Roman" w:eastAsia="Times New Roman" w:hAnsi="Times New Roman" w:cs="Times New Roman"/>
          <w:color w:val="000000"/>
          <w:kern w:val="0"/>
          <w:sz w:val="24"/>
          <w:szCs w:val="24"/>
          <w:shd w:val="clear" w:color="auto" w:fill="FFFFFF"/>
          <w:lang w:val="ru-RU"/>
          <w14:ligatures w14:val="none"/>
        </w:rPr>
        <w:t>Рукопис прийнято до друку після рецензування 24.04.2026</w:t>
      </w:r>
    </w:p>
    <w:p w14:paraId="7E717D1D" w14:textId="77777777" w:rsidR="00B44B71" w:rsidRPr="008E3172" w:rsidRDefault="00B44B71" w:rsidP="00023291">
      <w:pPr>
        <w:tabs>
          <w:tab w:val="left" w:pos="9638"/>
        </w:tabs>
        <w:spacing w:after="0" w:line="240" w:lineRule="auto"/>
        <w:contextualSpacing/>
        <w:jc w:val="right"/>
        <w:rPr>
          <w:rFonts w:ascii="Times New Roman" w:eastAsia="Times New Roman" w:hAnsi="Times New Roman" w:cs="Times New Roman"/>
          <w:color w:val="000000"/>
          <w:kern w:val="0"/>
          <w:sz w:val="24"/>
          <w:szCs w:val="24"/>
          <w:shd w:val="clear" w:color="auto" w:fill="FFFFFF"/>
          <w:lang w:val="ru-RU"/>
          <w14:ligatures w14:val="none"/>
        </w:rPr>
      </w:pPr>
      <w:r w:rsidRPr="008E3172">
        <w:rPr>
          <w:rFonts w:ascii="Times New Roman" w:eastAsia="Times New Roman" w:hAnsi="Times New Roman" w:cs="Times New Roman"/>
          <w:color w:val="000000"/>
          <w:kern w:val="0"/>
          <w:sz w:val="24"/>
          <w:szCs w:val="24"/>
          <w:shd w:val="clear" w:color="auto" w:fill="FFFFFF"/>
          <w:lang w:val="ru-RU"/>
          <w14:ligatures w14:val="none"/>
        </w:rPr>
        <w:t>Дата публікації 25.04.2026</w:t>
      </w:r>
    </w:p>
    <w:p w14:paraId="62D9CB1A" w14:textId="77777777" w:rsidR="00B44B71" w:rsidRPr="008E3172" w:rsidRDefault="00B44B71" w:rsidP="00023291">
      <w:pPr>
        <w:tabs>
          <w:tab w:val="left" w:pos="9638"/>
        </w:tabs>
        <w:spacing w:after="0" w:line="240" w:lineRule="auto"/>
        <w:ind w:firstLine="709"/>
        <w:jc w:val="both"/>
        <w:rPr>
          <w:rFonts w:ascii="Times New Roman" w:eastAsia="Calibri" w:hAnsi="Times New Roman" w:cs="Times New Roman"/>
          <w:color w:val="000000"/>
          <w:kern w:val="0"/>
          <w:sz w:val="24"/>
          <w:szCs w:val="24"/>
          <w:lang w:val="uk-UA"/>
          <w14:ligatures w14:val="none"/>
        </w:rPr>
      </w:pPr>
    </w:p>
    <w:p w14:paraId="5851912A"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b/>
          <w:color w:val="000000"/>
          <w:kern w:val="0"/>
          <w:sz w:val="24"/>
          <w:szCs w:val="24"/>
          <w:lang w:val="uk-UA"/>
          <w14:ligatures w14:val="none"/>
        </w:rPr>
      </w:pPr>
    </w:p>
    <w:p w14:paraId="4C3AE79A"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b/>
          <w:color w:val="000000"/>
          <w:kern w:val="0"/>
          <w:sz w:val="24"/>
          <w:szCs w:val="24"/>
          <w:lang w:val="uk-UA"/>
          <w14:ligatures w14:val="none"/>
        </w:rPr>
      </w:pPr>
    </w:p>
    <w:p w14:paraId="4BE547E6"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36041FC4"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57437A8B"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52C10641"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5219CAB2"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4281FBC3"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0FA42D4D"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286AA510"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1E4B123C"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41073CD9"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4DB61B63"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5E45748A"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2994A83A"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47068798"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608CB9D8"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11C27554"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6C1BD388"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028EF535"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41619BD7"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58A459AD"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34113922"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13C9ADCA"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3B1CC918"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5A5B65B9"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7F5A5966"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48248D2C"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3D48B936"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29F6197F"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613CDE8C"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773290A6"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69E430CE"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72313C74"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65E92460"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3C2568D7"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0233E483"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1BD2385A"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6AC8A877"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2EF3D0EC"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5AA2B298"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2EAA4849"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55A3F4E8"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0DF740B3"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6179D364"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19AF7E4B"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7C8CCA5A"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403BC6FF" w14:textId="77777777" w:rsidR="00422A49" w:rsidRDefault="00422A49"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p>
    <w:p w14:paraId="1EC4FBE5" w14:textId="3F7E0DEB" w:rsidR="001D565B" w:rsidRPr="00B44B71" w:rsidRDefault="001D565B" w:rsidP="00023291">
      <w:pPr>
        <w:tabs>
          <w:tab w:val="left" w:pos="9638"/>
        </w:tabs>
        <w:spacing w:after="0" w:line="240" w:lineRule="auto"/>
        <w:rPr>
          <w:rFonts w:ascii="Times New Roman" w:eastAsia="Times New Roman" w:hAnsi="Times New Roman" w:cs="Times New Roman"/>
          <w:kern w:val="0"/>
          <w:sz w:val="23"/>
          <w:szCs w:val="23"/>
          <w:lang w:val="uk-UA" w:eastAsia="ru-RU"/>
          <w14:ligatures w14:val="none"/>
        </w:rPr>
      </w:pPr>
      <w:r w:rsidRPr="00B44B71">
        <w:rPr>
          <w:rFonts w:ascii="Times New Roman" w:eastAsia="Times New Roman" w:hAnsi="Times New Roman" w:cs="Times New Roman"/>
          <w:kern w:val="0"/>
          <w:sz w:val="23"/>
          <w:szCs w:val="23"/>
          <w:lang w:val="uk-UA" w:eastAsia="ru-RU"/>
          <w14:ligatures w14:val="none"/>
        </w:rPr>
        <w:t>SSN: 2617-1775</w:t>
      </w:r>
      <w:r w:rsidRPr="00E4040F">
        <w:rPr>
          <w:rFonts w:ascii="Times New Roman" w:eastAsia="Calibri" w:hAnsi="Times New Roman" w:cs="Times New Roman"/>
          <w:b/>
          <w:kern w:val="0"/>
          <w:sz w:val="24"/>
          <w:szCs w:val="24"/>
          <w:lang w:val="uk-UA"/>
          <w14:ligatures w14:val="none"/>
        </w:rPr>
        <w:t xml:space="preserve"> </w:t>
      </w:r>
      <w:r w:rsidRPr="00EF0A28">
        <w:rPr>
          <w:rFonts w:ascii="Times New Roman" w:eastAsia="Calibri" w:hAnsi="Times New Roman" w:cs="Times New Roman"/>
          <w:b/>
          <w:kern w:val="0"/>
          <w:sz w:val="24"/>
          <w:szCs w:val="24"/>
          <w:lang w:val="ru-RU"/>
          <w14:ligatures w14:val="none"/>
        </w:rPr>
        <w:t xml:space="preserve">                                                                      </w:t>
      </w:r>
      <w:r w:rsidRPr="00815545">
        <w:rPr>
          <w:rFonts w:ascii="Times New Roman" w:eastAsia="Times New Roman" w:hAnsi="Times New Roman" w:cs="Times New Roman"/>
          <w:b/>
          <w:iCs/>
          <w:kern w:val="0"/>
          <w:sz w:val="24"/>
          <w:szCs w:val="24"/>
          <w:lang w:eastAsia="uk-UA"/>
          <w14:ligatures w14:val="none"/>
        </w:rPr>
        <w:t>UDK</w:t>
      </w:r>
      <w:r w:rsidRPr="00815545">
        <w:rPr>
          <w:rFonts w:ascii="Times New Roman" w:eastAsia="Times New Roman" w:hAnsi="Times New Roman" w:cs="Times New Roman"/>
          <w:b/>
          <w:bCs/>
          <w:color w:val="000000"/>
          <w:spacing w:val="8"/>
          <w:kern w:val="0"/>
          <w:sz w:val="24"/>
          <w:szCs w:val="24"/>
          <w:lang w:val="uk-UA" w:eastAsia="ru-RU"/>
          <w14:ligatures w14:val="none"/>
        </w:rPr>
        <w:t xml:space="preserve"> </w:t>
      </w:r>
      <w:r w:rsidRPr="00815545">
        <w:rPr>
          <w:rFonts w:ascii="Times New Roman" w:eastAsia="Times New Roman" w:hAnsi="Times New Roman" w:cs="Times New Roman"/>
          <w:b/>
          <w:bCs/>
          <w:spacing w:val="-4"/>
          <w:kern w:val="0"/>
          <w:sz w:val="24"/>
          <w:szCs w:val="24"/>
          <w:lang w:val="uk-UA" w:eastAsia="ru-RU"/>
          <w14:ligatures w14:val="none"/>
        </w:rPr>
        <w:t>3</w:t>
      </w:r>
      <w:r w:rsidRPr="003B5892">
        <w:rPr>
          <w:rFonts w:ascii="Times New Roman" w:eastAsia="Times New Roman" w:hAnsi="Times New Roman" w:cs="Times New Roman"/>
          <w:b/>
          <w:bCs/>
          <w:spacing w:val="-4"/>
          <w:kern w:val="0"/>
          <w:sz w:val="24"/>
          <w:szCs w:val="24"/>
          <w:lang w:val="uk-UA" w:eastAsia="ru-RU"/>
          <w14:ligatures w14:val="none"/>
        </w:rPr>
        <w:t>55.23:793.5]:001.891(100+477)</w:t>
      </w:r>
      <w:r w:rsidRPr="00EF0A28">
        <w:rPr>
          <w:rFonts w:ascii="Times New Roman" w:eastAsia="Calibri" w:hAnsi="Times New Roman" w:cs="Times New Roman"/>
          <w:b/>
          <w:kern w:val="0"/>
          <w:sz w:val="24"/>
          <w:szCs w:val="24"/>
          <w:lang w:val="ru-RU"/>
          <w14:ligatures w14:val="none"/>
        </w:rPr>
        <w:t xml:space="preserve">  </w:t>
      </w:r>
    </w:p>
    <w:p w14:paraId="0600535E" w14:textId="3D372DE1" w:rsidR="001D565B" w:rsidRPr="00EF0A28" w:rsidRDefault="001D565B" w:rsidP="00023291">
      <w:pPr>
        <w:tabs>
          <w:tab w:val="left" w:pos="9638"/>
        </w:tabs>
        <w:spacing w:after="0" w:line="240" w:lineRule="auto"/>
        <w:rPr>
          <w:rFonts w:ascii="Times New Roman" w:eastAsia="Calibri" w:hAnsi="Times New Roman" w:cs="Times New Roman"/>
          <w:b/>
          <w:kern w:val="0"/>
          <w:sz w:val="24"/>
          <w:szCs w:val="24"/>
          <w:lang w:val="ru-RU"/>
          <w14:ligatures w14:val="none"/>
        </w:rPr>
      </w:pPr>
      <w:r w:rsidRPr="00B44B71">
        <w:rPr>
          <w:rFonts w:ascii="Times New Roman" w:eastAsia="Times New Roman" w:hAnsi="Times New Roman" w:cs="Times New Roman"/>
          <w:kern w:val="0"/>
          <w:sz w:val="23"/>
          <w:szCs w:val="23"/>
          <w:lang w:val="uk-UA" w:eastAsia="ru-RU"/>
          <w14:ligatures w14:val="none"/>
        </w:rPr>
        <w:t>ISSN: 2617-1783 (online)</w:t>
      </w:r>
      <w:r w:rsidRPr="00EF0A28">
        <w:rPr>
          <w:rFonts w:ascii="Times New Roman" w:eastAsia="Times New Roman" w:hAnsi="Times New Roman" w:cs="Times New Roman"/>
          <w:kern w:val="0"/>
          <w:sz w:val="23"/>
          <w:szCs w:val="23"/>
          <w:lang w:val="ru-RU" w:eastAsia="ru-RU"/>
          <w14:ligatures w14:val="none"/>
        </w:rPr>
        <w:t xml:space="preserve">                                                        </w:t>
      </w:r>
      <w:r w:rsidRPr="004E1190">
        <w:rPr>
          <w:rFonts w:ascii="Times New Roman" w:eastAsia="Times New Roman" w:hAnsi="Times New Roman" w:cs="Times New Roman"/>
          <w:bCs/>
          <w:smallCaps/>
          <w:color w:val="000000"/>
          <w:kern w:val="0"/>
          <w:sz w:val="24"/>
          <w:szCs w:val="24"/>
          <w:lang w:eastAsia="ru-RU"/>
          <w14:ligatures w14:val="none"/>
        </w:rPr>
        <w:t>DOI</w:t>
      </w:r>
      <w:r w:rsidRPr="004E1190">
        <w:rPr>
          <w:rFonts w:ascii="Times New Roman" w:eastAsia="Times New Roman" w:hAnsi="Times New Roman" w:cs="Times New Roman"/>
          <w:bCs/>
          <w:smallCaps/>
          <w:color w:val="000000"/>
          <w:kern w:val="0"/>
          <w:sz w:val="24"/>
          <w:szCs w:val="24"/>
          <w:lang w:val="uk-UA" w:eastAsia="ru-RU"/>
          <w14:ligatures w14:val="none"/>
        </w:rPr>
        <w:t>:10.33099/2617-1775/2026-01/</w:t>
      </w:r>
      <w:r w:rsidR="00BF1208">
        <w:rPr>
          <w:rFonts w:ascii="Times New Roman" w:eastAsia="Times New Roman" w:hAnsi="Times New Roman" w:cs="Times New Roman"/>
          <w:bCs/>
          <w:smallCaps/>
          <w:color w:val="000000"/>
          <w:kern w:val="0"/>
          <w:sz w:val="24"/>
          <w:szCs w:val="24"/>
          <w:lang w:val="uk-UA" w:eastAsia="ru-RU"/>
          <w14:ligatures w14:val="none"/>
        </w:rPr>
        <w:t>29-41</w:t>
      </w:r>
    </w:p>
    <w:p w14:paraId="558AE216" w14:textId="77777777" w:rsidR="001D565B" w:rsidRPr="00B44B71" w:rsidRDefault="001D565B" w:rsidP="00023291">
      <w:pPr>
        <w:tabs>
          <w:tab w:val="left" w:pos="9638"/>
        </w:tabs>
        <w:spacing w:after="0" w:line="240" w:lineRule="auto"/>
        <w:jc w:val="both"/>
        <w:rPr>
          <w:rFonts w:ascii="Times New Roman" w:eastAsia="Calibri" w:hAnsi="Times New Roman" w:cs="Times New Roman"/>
          <w:b/>
          <w:kern w:val="0"/>
          <w:sz w:val="28"/>
          <w:szCs w:val="28"/>
          <w:lang w:val="uk-UA"/>
          <w14:ligatures w14:val="none"/>
        </w:rPr>
      </w:pPr>
    </w:p>
    <w:p w14:paraId="5EA67F6F" w14:textId="77777777" w:rsidR="003B5892" w:rsidRPr="003B5892" w:rsidRDefault="003B5892" w:rsidP="00023291">
      <w:pPr>
        <w:widowControl w:val="0"/>
        <w:tabs>
          <w:tab w:val="left" w:pos="2410"/>
          <w:tab w:val="left" w:pos="9638"/>
        </w:tabs>
        <w:spacing w:after="0" w:line="240" w:lineRule="auto"/>
        <w:jc w:val="right"/>
        <w:rPr>
          <w:rFonts w:ascii="Times New Roman" w:eastAsia="Times New Roman" w:hAnsi="Times New Roman" w:cs="Times New Roman"/>
          <w:b/>
          <w:kern w:val="0"/>
          <w:sz w:val="24"/>
          <w:szCs w:val="24"/>
          <w:lang w:val="uk-UA" w:eastAsia="ru-RU"/>
          <w14:ligatures w14:val="none"/>
        </w:rPr>
      </w:pPr>
      <w:r w:rsidRPr="003B5892">
        <w:rPr>
          <w:rFonts w:ascii="Times New Roman" w:eastAsia="Times New Roman" w:hAnsi="Times New Roman" w:cs="Times New Roman"/>
          <w:b/>
          <w:kern w:val="0"/>
          <w:sz w:val="24"/>
          <w:szCs w:val="24"/>
          <w:lang w:val="uk-UA" w:eastAsia="ru-RU"/>
          <w14:ligatures w14:val="none"/>
        </w:rPr>
        <w:t xml:space="preserve">Vadym Mashtalir, </w:t>
      </w:r>
    </w:p>
    <w:p w14:paraId="34739B31" w14:textId="77777777" w:rsidR="003B5892" w:rsidRPr="003B5892" w:rsidRDefault="003B5892" w:rsidP="00023291">
      <w:pPr>
        <w:widowControl w:val="0"/>
        <w:tabs>
          <w:tab w:val="left" w:pos="2410"/>
          <w:tab w:val="left" w:pos="9638"/>
        </w:tabs>
        <w:spacing w:after="0" w:line="240" w:lineRule="auto"/>
        <w:jc w:val="right"/>
        <w:rPr>
          <w:rFonts w:ascii="Times New Roman" w:eastAsia="Times New Roman" w:hAnsi="Times New Roman" w:cs="Times New Roman"/>
          <w:spacing w:val="-4"/>
          <w:kern w:val="0"/>
          <w:sz w:val="24"/>
          <w:szCs w:val="24"/>
          <w:lang w:val="uk-UA" w:eastAsia="ru-RU"/>
          <w14:ligatures w14:val="none"/>
        </w:rPr>
      </w:pPr>
      <w:r w:rsidRPr="003B5892">
        <w:rPr>
          <w:rFonts w:ascii="Times New Roman" w:eastAsia="Times New Roman" w:hAnsi="Times New Roman" w:cs="Times New Roman"/>
          <w:spacing w:val="-4"/>
          <w:kern w:val="0"/>
          <w:sz w:val="24"/>
          <w:szCs w:val="24"/>
          <w:lang w:val="uk-UA" w:eastAsia="ru-RU"/>
          <w14:ligatures w14:val="none"/>
        </w:rPr>
        <w:t>Doctor of Historical Sciences, Professor</w:t>
      </w:r>
      <w:r w:rsidRPr="003B5892">
        <w:rPr>
          <w:rFonts w:ascii="Times New Roman" w:eastAsia="Times New Roman" w:hAnsi="Times New Roman" w:cs="Times New Roman"/>
          <w:spacing w:val="-4"/>
          <w:kern w:val="0"/>
          <w:sz w:val="24"/>
          <w:szCs w:val="24"/>
          <w:vertAlign w:val="superscript"/>
          <w:lang w:val="uk-UA" w:eastAsia="ru-RU"/>
          <w14:ligatures w14:val="none"/>
        </w:rPr>
        <w:t xml:space="preserve"> </w:t>
      </w:r>
      <w:r w:rsidRPr="003B5892">
        <w:rPr>
          <w:rFonts w:ascii="Times New Roman" w:eastAsia="Times New Roman" w:hAnsi="Times New Roman" w:cs="Times New Roman"/>
          <w:spacing w:val="-4"/>
          <w:kern w:val="0"/>
          <w:sz w:val="24"/>
          <w:szCs w:val="24"/>
          <w:lang w:val="uk-UA" w:eastAsia="ru-RU"/>
          <w14:ligatures w14:val="none"/>
        </w:rPr>
        <w:t xml:space="preserve"> </w:t>
      </w:r>
    </w:p>
    <w:p w14:paraId="521586C8" w14:textId="77777777" w:rsidR="003B5892" w:rsidRPr="003B5892" w:rsidRDefault="003B5892" w:rsidP="00023291">
      <w:pPr>
        <w:widowControl w:val="0"/>
        <w:tabs>
          <w:tab w:val="left" w:pos="2410"/>
          <w:tab w:val="left" w:pos="9638"/>
        </w:tabs>
        <w:spacing w:after="0" w:line="240" w:lineRule="auto"/>
        <w:jc w:val="right"/>
        <w:rPr>
          <w:rFonts w:ascii="Times New Roman" w:eastAsia="Times New Roman" w:hAnsi="Times New Roman" w:cs="Times New Roman"/>
          <w:spacing w:val="-4"/>
          <w:kern w:val="0"/>
          <w:sz w:val="24"/>
          <w:szCs w:val="24"/>
          <w:lang w:eastAsia="ru-RU"/>
          <w14:ligatures w14:val="none"/>
        </w:rPr>
      </w:pPr>
      <w:hyperlink r:id="rId20" w:history="1">
        <w:r w:rsidRPr="003B5892">
          <w:rPr>
            <w:rFonts w:ascii="Times New Roman" w:eastAsia="Times New Roman" w:hAnsi="Times New Roman" w:cs="Times New Roman"/>
            <w:spacing w:val="-4"/>
            <w:kern w:val="0"/>
            <w:sz w:val="24"/>
            <w:szCs w:val="24"/>
            <w:u w:val="single"/>
            <w:lang w:eastAsia="ru-RU"/>
            <w14:ligatures w14:val="none"/>
          </w:rPr>
          <w:t>https://orcid.org/0000-0002-8132-217X</w:t>
        </w:r>
      </w:hyperlink>
      <w:r w:rsidRPr="003B5892">
        <w:rPr>
          <w:rFonts w:ascii="Times New Roman" w:eastAsia="Times New Roman" w:hAnsi="Times New Roman" w:cs="Times New Roman"/>
          <w:spacing w:val="-4"/>
          <w:kern w:val="0"/>
          <w:sz w:val="24"/>
          <w:szCs w:val="24"/>
          <w:lang w:eastAsia="ru-RU"/>
          <w14:ligatures w14:val="none"/>
        </w:rPr>
        <w:t xml:space="preserve"> </w:t>
      </w:r>
    </w:p>
    <w:p w14:paraId="1EE09AA6" w14:textId="77777777" w:rsidR="003B5892" w:rsidRPr="003B5892" w:rsidRDefault="003B5892" w:rsidP="00023291">
      <w:pPr>
        <w:widowControl w:val="0"/>
        <w:tabs>
          <w:tab w:val="left" w:pos="2410"/>
          <w:tab w:val="left" w:pos="9638"/>
        </w:tabs>
        <w:spacing w:after="0" w:line="240" w:lineRule="auto"/>
        <w:jc w:val="right"/>
        <w:rPr>
          <w:rFonts w:ascii="Times New Roman" w:eastAsia="Times New Roman" w:hAnsi="Times New Roman" w:cs="Times New Roman"/>
          <w:b/>
          <w:bCs/>
          <w:spacing w:val="-4"/>
          <w:kern w:val="0"/>
          <w:sz w:val="24"/>
          <w:szCs w:val="24"/>
          <w:lang w:val="uk-UA" w:eastAsia="ru-RU"/>
          <w14:ligatures w14:val="none"/>
        </w:rPr>
      </w:pPr>
      <w:r w:rsidRPr="003B5892">
        <w:rPr>
          <w:rFonts w:ascii="Times New Roman" w:eastAsia="Times New Roman" w:hAnsi="Times New Roman" w:cs="Times New Roman"/>
          <w:b/>
          <w:bCs/>
          <w:spacing w:val="-4"/>
          <w:kern w:val="0"/>
          <w:sz w:val="24"/>
          <w:szCs w:val="24"/>
          <w:lang w:eastAsia="ru-RU"/>
          <w14:ligatures w14:val="none"/>
        </w:rPr>
        <w:t>Andrii</w:t>
      </w:r>
      <w:r w:rsidRPr="003B5892">
        <w:rPr>
          <w:rFonts w:ascii="Times New Roman" w:eastAsia="Times New Roman" w:hAnsi="Times New Roman" w:cs="Times New Roman"/>
          <w:b/>
          <w:bCs/>
          <w:spacing w:val="-4"/>
          <w:kern w:val="0"/>
          <w:sz w:val="24"/>
          <w:szCs w:val="24"/>
          <w:lang w:val="uk-UA" w:eastAsia="ru-RU"/>
          <w14:ligatures w14:val="none"/>
        </w:rPr>
        <w:t xml:space="preserve"> </w:t>
      </w:r>
      <w:r w:rsidRPr="003B5892">
        <w:rPr>
          <w:rFonts w:ascii="Times New Roman" w:eastAsia="Times New Roman" w:hAnsi="Times New Roman" w:cs="Times New Roman"/>
          <w:b/>
          <w:bCs/>
          <w:spacing w:val="-4"/>
          <w:kern w:val="0"/>
          <w:sz w:val="24"/>
          <w:szCs w:val="24"/>
          <w:lang w:eastAsia="ru-RU"/>
          <w14:ligatures w14:val="none"/>
        </w:rPr>
        <w:t>Hupalo</w:t>
      </w:r>
      <w:r w:rsidRPr="003B5892">
        <w:rPr>
          <w:rFonts w:ascii="Times New Roman" w:eastAsia="Times New Roman" w:hAnsi="Times New Roman" w:cs="Times New Roman"/>
          <w:b/>
          <w:bCs/>
          <w:spacing w:val="-4"/>
          <w:kern w:val="0"/>
          <w:sz w:val="24"/>
          <w:szCs w:val="24"/>
          <w:lang w:val="uk-UA" w:eastAsia="ru-RU"/>
          <w14:ligatures w14:val="none"/>
        </w:rPr>
        <w:t>,</w:t>
      </w:r>
    </w:p>
    <w:p w14:paraId="29998CAD" w14:textId="77777777" w:rsidR="003B5892" w:rsidRPr="003B5892" w:rsidRDefault="003B5892" w:rsidP="00023291">
      <w:pPr>
        <w:widowControl w:val="0"/>
        <w:tabs>
          <w:tab w:val="left" w:pos="2410"/>
          <w:tab w:val="left" w:pos="9638"/>
        </w:tabs>
        <w:spacing w:after="0" w:line="240" w:lineRule="auto"/>
        <w:jc w:val="right"/>
        <w:rPr>
          <w:rFonts w:ascii="Times New Roman" w:eastAsia="Times New Roman" w:hAnsi="Times New Roman" w:cs="Times New Roman"/>
          <w:spacing w:val="-4"/>
          <w:kern w:val="0"/>
          <w:sz w:val="24"/>
          <w:szCs w:val="24"/>
          <w:lang w:val="uk-UA" w:eastAsia="ru-RU"/>
          <w14:ligatures w14:val="none"/>
        </w:rPr>
      </w:pPr>
      <w:r w:rsidRPr="003B5892">
        <w:rPr>
          <w:rFonts w:ascii="Times New Roman" w:eastAsia="Times New Roman" w:hAnsi="Times New Roman" w:cs="Times New Roman"/>
          <w:b/>
          <w:bCs/>
          <w:spacing w:val="-4"/>
          <w:kern w:val="0"/>
          <w:sz w:val="24"/>
          <w:szCs w:val="24"/>
          <w:lang w:val="uk-UA" w:eastAsia="ru-RU"/>
          <w14:ligatures w14:val="none"/>
        </w:rPr>
        <w:t xml:space="preserve"> </w:t>
      </w:r>
      <w:r w:rsidRPr="003B5892">
        <w:rPr>
          <w:rFonts w:ascii="Times New Roman" w:eastAsia="Times New Roman" w:hAnsi="Times New Roman" w:cs="Times New Roman"/>
          <w:spacing w:val="-4"/>
          <w:kern w:val="0"/>
          <w:sz w:val="24"/>
          <w:szCs w:val="24"/>
          <w:lang w:val="uk-UA" w:eastAsia="ru-RU"/>
          <w14:ligatures w14:val="none"/>
        </w:rPr>
        <w:t xml:space="preserve">Candidate of Technical Sciences, Senior Researcher </w:t>
      </w:r>
    </w:p>
    <w:p w14:paraId="02B68F6F" w14:textId="77777777" w:rsidR="003B5892" w:rsidRPr="003B5892" w:rsidRDefault="003B5892" w:rsidP="00023291">
      <w:pPr>
        <w:widowControl w:val="0"/>
        <w:tabs>
          <w:tab w:val="left" w:pos="2410"/>
          <w:tab w:val="left" w:pos="9638"/>
        </w:tabs>
        <w:spacing w:after="0" w:line="240" w:lineRule="auto"/>
        <w:jc w:val="right"/>
        <w:rPr>
          <w:rFonts w:ascii="Times New Roman" w:eastAsia="Times New Roman" w:hAnsi="Times New Roman" w:cs="Times New Roman"/>
          <w:b/>
          <w:bCs/>
          <w:spacing w:val="-4"/>
          <w:kern w:val="0"/>
          <w:sz w:val="24"/>
          <w:szCs w:val="24"/>
          <w:lang w:val="uk-UA" w:eastAsia="ru-RU"/>
          <w14:ligatures w14:val="none"/>
        </w:rPr>
      </w:pPr>
      <w:hyperlink r:id="rId21" w:history="1">
        <w:r w:rsidRPr="003B5892">
          <w:rPr>
            <w:rFonts w:ascii="Times New Roman" w:eastAsia="Times New Roman" w:hAnsi="Times New Roman" w:cs="Times New Roman"/>
            <w:spacing w:val="-4"/>
            <w:kern w:val="0"/>
            <w:sz w:val="24"/>
            <w:szCs w:val="24"/>
            <w:u w:val="single"/>
            <w:lang w:val="uk-UA" w:eastAsia="ru-RU"/>
            <w14:ligatures w14:val="none"/>
          </w:rPr>
          <w:t>https://orcid.org/</w:t>
        </w:r>
        <w:r w:rsidRPr="003B5892">
          <w:rPr>
            <w:rFonts w:ascii="Times New Roman" w:eastAsia="Times New Roman" w:hAnsi="Times New Roman" w:cs="Times New Roman"/>
            <w:kern w:val="0"/>
            <w:sz w:val="24"/>
            <w:szCs w:val="24"/>
            <w:u w:val="single"/>
            <w:lang w:val="uk-UA" w:eastAsia="ru-RU"/>
            <w14:ligatures w14:val="none"/>
          </w:rPr>
          <w:t xml:space="preserve"> </w:t>
        </w:r>
        <w:r w:rsidRPr="003B5892">
          <w:rPr>
            <w:rFonts w:ascii="Times New Roman" w:eastAsia="Times New Roman" w:hAnsi="Times New Roman" w:cs="Times New Roman"/>
            <w:spacing w:val="-4"/>
            <w:kern w:val="0"/>
            <w:sz w:val="24"/>
            <w:szCs w:val="24"/>
            <w:u w:val="single"/>
            <w:lang w:val="uk-UA" w:eastAsia="ru-RU"/>
            <w14:ligatures w14:val="none"/>
          </w:rPr>
          <w:t>0000-0003-0011-7105</w:t>
        </w:r>
      </w:hyperlink>
    </w:p>
    <w:p w14:paraId="30A94CD9" w14:textId="77777777" w:rsidR="003B5892" w:rsidRPr="003B5892" w:rsidRDefault="003B5892" w:rsidP="00023291">
      <w:pPr>
        <w:widowControl w:val="0"/>
        <w:tabs>
          <w:tab w:val="left" w:pos="2410"/>
          <w:tab w:val="left" w:pos="9638"/>
        </w:tabs>
        <w:spacing w:after="0" w:line="240" w:lineRule="auto"/>
        <w:jc w:val="right"/>
        <w:rPr>
          <w:rFonts w:ascii="Times New Roman" w:eastAsia="Times New Roman" w:hAnsi="Times New Roman" w:cs="Times New Roman"/>
          <w:b/>
          <w:bCs/>
          <w:spacing w:val="-4"/>
          <w:kern w:val="0"/>
          <w:sz w:val="24"/>
          <w:szCs w:val="24"/>
          <w:lang w:val="uk-UA" w:eastAsia="ru-RU"/>
          <w14:ligatures w14:val="none"/>
        </w:rPr>
      </w:pPr>
      <w:r w:rsidRPr="003B5892">
        <w:rPr>
          <w:rFonts w:ascii="Times New Roman" w:eastAsia="Times New Roman" w:hAnsi="Times New Roman" w:cs="Times New Roman"/>
          <w:b/>
          <w:bCs/>
          <w:spacing w:val="-4"/>
          <w:kern w:val="0"/>
          <w:sz w:val="24"/>
          <w:szCs w:val="24"/>
          <w:lang w:val="uk-UA" w:eastAsia="ru-RU"/>
          <w14:ligatures w14:val="none"/>
        </w:rPr>
        <w:t xml:space="preserve">Svitlana Bondarenko, </w:t>
      </w:r>
    </w:p>
    <w:p w14:paraId="69F5EB29" w14:textId="77777777" w:rsidR="003B5892" w:rsidRPr="003B5892" w:rsidRDefault="003B5892" w:rsidP="00023291">
      <w:pPr>
        <w:widowControl w:val="0"/>
        <w:tabs>
          <w:tab w:val="left" w:pos="2410"/>
          <w:tab w:val="left" w:pos="9638"/>
        </w:tabs>
        <w:spacing w:after="0" w:line="240" w:lineRule="auto"/>
        <w:jc w:val="right"/>
        <w:rPr>
          <w:rFonts w:ascii="Times New Roman" w:eastAsia="Times New Roman" w:hAnsi="Times New Roman" w:cs="Times New Roman"/>
          <w:spacing w:val="-4"/>
          <w:kern w:val="0"/>
          <w:sz w:val="24"/>
          <w:szCs w:val="24"/>
          <w:lang w:val="uk-UA" w:eastAsia="ru-RU"/>
          <w14:ligatures w14:val="none"/>
        </w:rPr>
      </w:pPr>
      <w:r w:rsidRPr="003B5892">
        <w:rPr>
          <w:rFonts w:ascii="Times New Roman" w:eastAsia="Times New Roman" w:hAnsi="Times New Roman" w:cs="Times New Roman"/>
          <w:spacing w:val="-4"/>
          <w:kern w:val="0"/>
          <w:sz w:val="24"/>
          <w:szCs w:val="24"/>
          <w:lang w:val="uk-UA" w:eastAsia="ru-RU"/>
          <w14:ligatures w14:val="none"/>
        </w:rPr>
        <w:t xml:space="preserve">Doctor of Economic Sciences, Professor </w:t>
      </w:r>
    </w:p>
    <w:p w14:paraId="248C669B" w14:textId="77777777" w:rsidR="00F96118" w:rsidRDefault="003B5892" w:rsidP="00023291">
      <w:pPr>
        <w:widowControl w:val="0"/>
        <w:tabs>
          <w:tab w:val="left" w:pos="2410"/>
          <w:tab w:val="left" w:pos="9638"/>
        </w:tabs>
        <w:spacing w:after="0" w:line="240" w:lineRule="auto"/>
        <w:jc w:val="right"/>
        <w:rPr>
          <w:rFonts w:ascii="Times New Roman" w:eastAsia="Times New Roman" w:hAnsi="Times New Roman" w:cs="Times New Roman"/>
          <w:spacing w:val="-4"/>
          <w:kern w:val="0"/>
          <w:sz w:val="24"/>
          <w:szCs w:val="24"/>
          <w:u w:val="single"/>
          <w:lang w:val="uk-UA" w:eastAsia="ru-RU"/>
          <w14:ligatures w14:val="none"/>
        </w:rPr>
      </w:pPr>
      <w:hyperlink r:id="rId22" w:history="1">
        <w:r w:rsidRPr="003B5892">
          <w:rPr>
            <w:rFonts w:ascii="Times New Roman" w:eastAsia="Times New Roman" w:hAnsi="Times New Roman" w:cs="Times New Roman"/>
            <w:spacing w:val="-4"/>
            <w:kern w:val="0"/>
            <w:sz w:val="24"/>
            <w:szCs w:val="24"/>
            <w:u w:val="single"/>
            <w:lang w:eastAsia="ru-RU"/>
            <w14:ligatures w14:val="none"/>
          </w:rPr>
          <w:t>https</w:t>
        </w:r>
        <w:r w:rsidRPr="003B5892">
          <w:rPr>
            <w:rFonts w:ascii="Times New Roman" w:eastAsia="Times New Roman" w:hAnsi="Times New Roman" w:cs="Times New Roman"/>
            <w:spacing w:val="-4"/>
            <w:kern w:val="0"/>
            <w:sz w:val="24"/>
            <w:szCs w:val="24"/>
            <w:u w:val="single"/>
            <w:lang w:val="uk-UA" w:eastAsia="ru-RU"/>
            <w14:ligatures w14:val="none"/>
          </w:rPr>
          <w:t>://</w:t>
        </w:r>
        <w:r w:rsidRPr="003B5892">
          <w:rPr>
            <w:rFonts w:ascii="Times New Roman" w:eastAsia="Times New Roman" w:hAnsi="Times New Roman" w:cs="Times New Roman"/>
            <w:spacing w:val="-4"/>
            <w:kern w:val="0"/>
            <w:sz w:val="24"/>
            <w:szCs w:val="24"/>
            <w:u w:val="single"/>
            <w:lang w:eastAsia="ru-RU"/>
            <w14:ligatures w14:val="none"/>
          </w:rPr>
          <w:t>orcid</w:t>
        </w:r>
        <w:r w:rsidRPr="003B5892">
          <w:rPr>
            <w:rFonts w:ascii="Times New Roman" w:eastAsia="Times New Roman" w:hAnsi="Times New Roman" w:cs="Times New Roman"/>
            <w:spacing w:val="-4"/>
            <w:kern w:val="0"/>
            <w:sz w:val="24"/>
            <w:szCs w:val="24"/>
            <w:u w:val="single"/>
            <w:lang w:val="uk-UA" w:eastAsia="ru-RU"/>
            <w14:ligatures w14:val="none"/>
          </w:rPr>
          <w:t>.</w:t>
        </w:r>
        <w:r w:rsidRPr="003B5892">
          <w:rPr>
            <w:rFonts w:ascii="Times New Roman" w:eastAsia="Times New Roman" w:hAnsi="Times New Roman" w:cs="Times New Roman"/>
            <w:spacing w:val="-4"/>
            <w:kern w:val="0"/>
            <w:sz w:val="24"/>
            <w:szCs w:val="24"/>
            <w:u w:val="single"/>
            <w:lang w:eastAsia="ru-RU"/>
            <w14:ligatures w14:val="none"/>
          </w:rPr>
          <w:t>org</w:t>
        </w:r>
        <w:r w:rsidRPr="003B5892">
          <w:rPr>
            <w:rFonts w:ascii="Times New Roman" w:eastAsia="Times New Roman" w:hAnsi="Times New Roman" w:cs="Times New Roman"/>
            <w:spacing w:val="-4"/>
            <w:kern w:val="0"/>
            <w:sz w:val="24"/>
            <w:szCs w:val="24"/>
            <w:u w:val="single"/>
            <w:lang w:val="uk-UA" w:eastAsia="ru-RU"/>
            <w14:ligatures w14:val="none"/>
          </w:rPr>
          <w:t>/0000-0002-1687-1172</w:t>
        </w:r>
      </w:hyperlink>
    </w:p>
    <w:p w14:paraId="0DFAFB29" w14:textId="77777777" w:rsidR="007A2780" w:rsidRDefault="007A2780" w:rsidP="00023291">
      <w:pPr>
        <w:widowControl w:val="0"/>
        <w:tabs>
          <w:tab w:val="left" w:pos="2410"/>
          <w:tab w:val="left" w:pos="9638"/>
        </w:tabs>
        <w:spacing w:after="0" w:line="240" w:lineRule="auto"/>
        <w:jc w:val="right"/>
        <w:rPr>
          <w:lang w:val="uk-UA"/>
        </w:rPr>
      </w:pPr>
    </w:p>
    <w:p w14:paraId="7DF731FC" w14:textId="77777777" w:rsidR="003B5892" w:rsidRPr="003B5892" w:rsidRDefault="003B5892" w:rsidP="00023291">
      <w:pPr>
        <w:widowControl w:val="0"/>
        <w:shd w:val="clear" w:color="auto" w:fill="FFFFFF"/>
        <w:tabs>
          <w:tab w:val="left" w:pos="2338"/>
          <w:tab w:val="left" w:pos="4003"/>
          <w:tab w:val="left" w:pos="9638"/>
        </w:tabs>
        <w:spacing w:after="0" w:line="240" w:lineRule="auto"/>
        <w:jc w:val="center"/>
        <w:rPr>
          <w:rFonts w:ascii="Times New Roman" w:eastAsia="Times New Roman" w:hAnsi="Times New Roman" w:cs="Times New Roman"/>
          <w:b/>
          <w:kern w:val="0"/>
          <w:sz w:val="24"/>
          <w:szCs w:val="24"/>
          <w:lang w:val="uk-UA" w:eastAsia="ru-RU"/>
          <w14:ligatures w14:val="none"/>
        </w:rPr>
      </w:pPr>
      <w:r w:rsidRPr="003B5892">
        <w:rPr>
          <w:rFonts w:ascii="Times New Roman" w:eastAsia="Times New Roman" w:hAnsi="Times New Roman" w:cs="Times New Roman"/>
          <w:b/>
          <w:kern w:val="0"/>
          <w:sz w:val="24"/>
          <w:szCs w:val="24"/>
          <w:lang w:val="uk-UA" w:eastAsia="ru-RU"/>
          <w14:ligatures w14:val="none"/>
        </w:rPr>
        <w:t>GLOBAL TRENDS IN WARGAMING RESEARCH IN MILITARY EDUCATION: BIBLIOMETRIC ANALYSIS OF SCOPUS DATASETS AND IMPLICATIONS FOR UKRAINE</w:t>
      </w:r>
    </w:p>
    <w:p w14:paraId="0F4582E4" w14:textId="77777777" w:rsidR="003B5892" w:rsidRPr="003B5892" w:rsidRDefault="003B5892" w:rsidP="00023291">
      <w:pPr>
        <w:widowControl w:val="0"/>
        <w:shd w:val="clear" w:color="auto" w:fill="FFFFFF"/>
        <w:tabs>
          <w:tab w:val="left" w:pos="2338"/>
          <w:tab w:val="left" w:pos="4003"/>
          <w:tab w:val="left" w:pos="9638"/>
        </w:tabs>
        <w:spacing w:after="0" w:line="240" w:lineRule="auto"/>
        <w:ind w:firstLine="709"/>
        <w:rPr>
          <w:rFonts w:ascii="Times New Roman" w:eastAsia="Times New Roman" w:hAnsi="Times New Roman" w:cs="Times New Roman"/>
          <w:b/>
          <w:kern w:val="0"/>
          <w:sz w:val="24"/>
          <w:szCs w:val="24"/>
          <w:lang w:val="uk-UA" w:eastAsia="ru-RU"/>
          <w14:ligatures w14:val="none"/>
        </w:rPr>
      </w:pPr>
    </w:p>
    <w:p w14:paraId="78BB1F7E" w14:textId="77777777" w:rsidR="003B5892" w:rsidRPr="003B5892" w:rsidRDefault="003B5892" w:rsidP="00023291">
      <w:pPr>
        <w:widowControl w:val="0"/>
        <w:shd w:val="clear" w:color="auto" w:fill="FFFFFF"/>
        <w:tabs>
          <w:tab w:val="left" w:pos="9638"/>
        </w:tabs>
        <w:spacing w:after="0" w:line="274" w:lineRule="exact"/>
        <w:ind w:firstLine="709"/>
        <w:jc w:val="both"/>
        <w:rPr>
          <w:rFonts w:ascii="Times New Roman" w:eastAsia="Times New Roman" w:hAnsi="Times New Roman" w:cs="Times New Roman"/>
          <w:bCs/>
          <w:i/>
          <w:color w:val="000000"/>
          <w:spacing w:val="-2"/>
          <w:kern w:val="0"/>
          <w:sz w:val="24"/>
          <w:szCs w:val="24"/>
          <w:lang w:eastAsia="ru-RU"/>
          <w14:ligatures w14:val="none"/>
        </w:rPr>
      </w:pPr>
      <w:r w:rsidRPr="003B5892">
        <w:rPr>
          <w:rFonts w:ascii="Times New Roman" w:eastAsia="Times New Roman" w:hAnsi="Times New Roman" w:cs="Times New Roman"/>
          <w:b/>
          <w:bCs/>
          <w:i/>
          <w:kern w:val="0"/>
          <w:sz w:val="24"/>
          <w:szCs w:val="24"/>
          <w:lang w:eastAsia="ru-RU"/>
          <w14:ligatures w14:val="none"/>
        </w:rPr>
        <w:t xml:space="preserve">Abstract. </w:t>
      </w:r>
      <w:r w:rsidRPr="003B5892">
        <w:rPr>
          <w:rFonts w:ascii="Times New Roman" w:eastAsia="Times New Roman" w:hAnsi="Times New Roman" w:cs="Times New Roman"/>
          <w:bCs/>
          <w:i/>
          <w:color w:val="000000"/>
          <w:spacing w:val="-2"/>
          <w:kern w:val="0"/>
          <w:sz w:val="24"/>
          <w:szCs w:val="24"/>
          <w:lang w:eastAsia="ru-RU"/>
          <w14:ligatures w14:val="none"/>
        </w:rPr>
        <w:t>The article presents a bibliometric analysis of wargaming research in the context of professional military education (PME) using a two-stage filtering strategy applied to the Scopus database. Two datasets were formed: a contextual dataset (query "military" AND "game*" AND "training OR education OR simulation", n=3,962, 2005–2026) covering the entire field of "military games" including mathematical game theory, and a target dataset (n=1,954, 1915–2026) from which game theory publications were excluded, retaining wargaming, military simulation, and serious games in the educational-training context. Visualization was performed using VOSviewer 1.6.20 with co-occurrence mapping of author keywords and country-level co-authorship analysis.</w:t>
      </w:r>
    </w:p>
    <w:p w14:paraId="3DB42D98" w14:textId="77777777" w:rsidR="003B5892" w:rsidRPr="003B5892" w:rsidRDefault="003B5892" w:rsidP="00023291">
      <w:pPr>
        <w:widowControl w:val="0"/>
        <w:shd w:val="clear" w:color="auto" w:fill="FFFFFF"/>
        <w:tabs>
          <w:tab w:val="left" w:pos="9638"/>
        </w:tabs>
        <w:spacing w:after="0" w:line="274" w:lineRule="exact"/>
        <w:ind w:firstLine="709"/>
        <w:jc w:val="both"/>
        <w:rPr>
          <w:rFonts w:ascii="Times New Roman" w:eastAsia="Times New Roman" w:hAnsi="Times New Roman" w:cs="Times New Roman"/>
          <w:bCs/>
          <w:i/>
          <w:color w:val="000000"/>
          <w:spacing w:val="-2"/>
          <w:kern w:val="0"/>
          <w:sz w:val="24"/>
          <w:szCs w:val="24"/>
          <w:lang w:eastAsia="ru-RU"/>
          <w14:ligatures w14:val="none"/>
        </w:rPr>
      </w:pPr>
      <w:r w:rsidRPr="003B5892">
        <w:rPr>
          <w:rFonts w:ascii="Times New Roman" w:eastAsia="Times New Roman" w:hAnsi="Times New Roman" w:cs="Times New Roman"/>
          <w:bCs/>
          <w:i/>
          <w:color w:val="000000"/>
          <w:spacing w:val="-2"/>
          <w:kern w:val="0"/>
          <w:sz w:val="24"/>
          <w:szCs w:val="24"/>
          <w:lang w:eastAsia="ru-RU"/>
          <w14:ligatures w14:val="none"/>
        </w:rPr>
        <w:t>The purpose of the study is to identify the thematic structure, chronological dynamics, and geography of global wargaming research and to determine Ukraine's position within this research landscape.</w:t>
      </w:r>
      <w:r w:rsidRPr="003B5892">
        <w:rPr>
          <w:rFonts w:ascii="Times New Roman" w:eastAsia="Times New Roman" w:hAnsi="Times New Roman" w:cs="Times New Roman"/>
          <w:bCs/>
          <w:i/>
          <w:color w:val="000000"/>
          <w:spacing w:val="-2"/>
          <w:kern w:val="0"/>
          <w:sz w:val="24"/>
          <w:szCs w:val="24"/>
          <w:lang w:val="uk-UA" w:eastAsia="ru-RU"/>
          <w14:ligatures w14:val="none"/>
        </w:rPr>
        <w:t xml:space="preserve"> </w:t>
      </w:r>
      <w:r w:rsidRPr="003B5892">
        <w:rPr>
          <w:rFonts w:ascii="Times New Roman" w:eastAsia="Times New Roman" w:hAnsi="Times New Roman" w:cs="Times New Roman"/>
          <w:bCs/>
          <w:i/>
          <w:color w:val="000000"/>
          <w:spacing w:val="-2"/>
          <w:kern w:val="0"/>
          <w:sz w:val="24"/>
          <w:szCs w:val="24"/>
          <w:lang w:eastAsia="ru-RU"/>
          <w14:ligatures w14:val="none"/>
        </w:rPr>
        <w:t>Five network maps were constructed and analyzed. The contextual dataset map revealed that mathematical game theory dominates quantitatively (233 occurrences vs. wargaming — 27), necessitating two-stage filtering. After filtering, wargaming forms an autonomous cluster with military simulation (123 total occurrences), spatially separated from serious games, confirming its status as a distinct PME instrument. The convergence of AI methods and wargaming clusters on the research front corresponds to practical developments in NATO PME institutions (GenWar Lab, CGSC Vantage platform, Finnish edge AI model). Publication activity increased fivefold after 2020 — from 25 to 126 publications per year, peaking at 187 in 2024.</w:t>
      </w:r>
      <w:r w:rsidRPr="003B5892">
        <w:rPr>
          <w:rFonts w:ascii="Times New Roman" w:eastAsia="Times New Roman" w:hAnsi="Times New Roman" w:cs="Times New Roman"/>
          <w:bCs/>
          <w:i/>
          <w:color w:val="000000"/>
          <w:spacing w:val="-2"/>
          <w:kern w:val="0"/>
          <w:sz w:val="24"/>
          <w:szCs w:val="24"/>
          <w:lang w:val="uk-UA" w:eastAsia="ru-RU"/>
          <w14:ligatures w14:val="none"/>
        </w:rPr>
        <w:t xml:space="preserve"> </w:t>
      </w:r>
      <w:r w:rsidRPr="003B5892">
        <w:rPr>
          <w:rFonts w:ascii="Times New Roman" w:eastAsia="Times New Roman" w:hAnsi="Times New Roman" w:cs="Times New Roman"/>
          <w:bCs/>
          <w:i/>
          <w:color w:val="000000"/>
          <w:spacing w:val="-2"/>
          <w:kern w:val="0"/>
          <w:sz w:val="24"/>
          <w:szCs w:val="24"/>
          <w:lang w:eastAsia="ru-RU"/>
          <w14:ligatures w14:val="none"/>
        </w:rPr>
        <w:t>The co-authorship map revealed that Ukraine is absent from the international collaboration network (threshold: 3 documents per country). This academic isolation corresponds with institutional findings: a content analysis of 79 Ukrainian PME regulatory acts identified wargaming terminology in only 8 documents (10%), with none specifying methodology, standards, or facilitator qualifications; a comprehensive review of PME course catalogs (over 13,000 entries) found zero courses with a wargaming component.</w:t>
      </w:r>
      <w:r w:rsidRPr="003B5892">
        <w:rPr>
          <w:rFonts w:ascii="Times New Roman" w:eastAsia="Times New Roman" w:hAnsi="Times New Roman" w:cs="Times New Roman"/>
          <w:bCs/>
          <w:i/>
          <w:color w:val="000000"/>
          <w:spacing w:val="-2"/>
          <w:kern w:val="0"/>
          <w:sz w:val="24"/>
          <w:szCs w:val="24"/>
          <w:lang w:val="uk-UA" w:eastAsia="ru-RU"/>
          <w14:ligatures w14:val="none"/>
        </w:rPr>
        <w:t xml:space="preserve"> </w:t>
      </w:r>
    </w:p>
    <w:p w14:paraId="4445EDC5" w14:textId="77777777" w:rsidR="003B5892" w:rsidRPr="003B5892" w:rsidRDefault="003B5892" w:rsidP="00023291">
      <w:pPr>
        <w:widowControl w:val="0"/>
        <w:shd w:val="clear" w:color="auto" w:fill="FFFFFF"/>
        <w:tabs>
          <w:tab w:val="left" w:pos="9638"/>
        </w:tabs>
        <w:spacing w:after="0" w:line="274" w:lineRule="exact"/>
        <w:ind w:firstLine="709"/>
        <w:jc w:val="both"/>
        <w:rPr>
          <w:rFonts w:ascii="Times New Roman" w:eastAsia="Times New Roman" w:hAnsi="Times New Roman" w:cs="Times New Roman"/>
          <w:bCs/>
          <w:i/>
          <w:color w:val="000000"/>
          <w:spacing w:val="-2"/>
          <w:kern w:val="0"/>
          <w:sz w:val="24"/>
          <w:szCs w:val="24"/>
          <w:lang w:eastAsia="ru-RU"/>
          <w14:ligatures w14:val="none"/>
        </w:rPr>
      </w:pPr>
      <w:r w:rsidRPr="003B5892">
        <w:rPr>
          <w:rFonts w:ascii="Times New Roman" w:eastAsia="Times New Roman" w:hAnsi="Times New Roman" w:cs="Times New Roman"/>
          <w:bCs/>
          <w:i/>
          <w:color w:val="000000"/>
          <w:spacing w:val="-2"/>
          <w:kern w:val="0"/>
          <w:sz w:val="24"/>
          <w:szCs w:val="24"/>
          <w:lang w:eastAsia="ru-RU"/>
          <w14:ligatures w14:val="none"/>
        </w:rPr>
        <w:t>The study’s limitations include reliance on a single database (Scopus) and the exclusion of restricted military publications. Three recommendations are formulated: normative inclusion of wargaming in PME course catalogs; preparation of a facilitator cohort through NATO DEEP/NSO programs; and joint research projects with NATO wargaming centers as the mechanism for Ukraine's entry onto the Scopus co-authorship map.</w:t>
      </w:r>
    </w:p>
    <w:p w14:paraId="49BF7855" w14:textId="77777777" w:rsidR="003B5892" w:rsidRPr="003B5892" w:rsidRDefault="003B5892" w:rsidP="00023291">
      <w:pPr>
        <w:widowControl w:val="0"/>
        <w:shd w:val="clear" w:color="auto" w:fill="FFFFFF"/>
        <w:tabs>
          <w:tab w:val="left" w:pos="9638"/>
        </w:tabs>
        <w:spacing w:after="0" w:line="274" w:lineRule="exact"/>
        <w:ind w:firstLine="709"/>
        <w:jc w:val="both"/>
        <w:rPr>
          <w:rFonts w:ascii="Times New Roman" w:eastAsia="Times New Roman" w:hAnsi="Times New Roman" w:cs="Times New Roman"/>
          <w:bCs/>
          <w:i/>
          <w:color w:val="000000"/>
          <w:spacing w:val="-2"/>
          <w:kern w:val="0"/>
          <w:sz w:val="24"/>
          <w:szCs w:val="24"/>
          <w:lang w:eastAsia="ru-RU"/>
          <w14:ligatures w14:val="none"/>
        </w:rPr>
      </w:pPr>
      <w:r w:rsidRPr="003B5892">
        <w:rPr>
          <w:rFonts w:ascii="Times New Roman" w:eastAsia="Times New Roman" w:hAnsi="Times New Roman" w:cs="Times New Roman"/>
          <w:b/>
          <w:bCs/>
          <w:i/>
          <w:color w:val="000000"/>
          <w:spacing w:val="-2"/>
          <w:kern w:val="0"/>
          <w:sz w:val="24"/>
          <w:szCs w:val="24"/>
          <w:lang w:eastAsia="ru-RU"/>
          <w14:ligatures w14:val="none"/>
        </w:rPr>
        <w:t>Keywords:</w:t>
      </w:r>
      <w:r w:rsidRPr="003B5892">
        <w:rPr>
          <w:rFonts w:ascii="Times New Roman" w:eastAsia="Times New Roman" w:hAnsi="Times New Roman" w:cs="Times New Roman"/>
          <w:b/>
          <w:i/>
          <w:color w:val="000000"/>
          <w:spacing w:val="-2"/>
          <w:kern w:val="0"/>
          <w:sz w:val="24"/>
          <w:szCs w:val="24"/>
          <w:lang w:eastAsia="ru-RU"/>
          <w14:ligatures w14:val="none"/>
        </w:rPr>
        <w:t xml:space="preserve"> </w:t>
      </w:r>
      <w:r w:rsidRPr="003B5892">
        <w:rPr>
          <w:rFonts w:ascii="Times New Roman" w:eastAsia="Times New Roman" w:hAnsi="Times New Roman" w:cs="Times New Roman"/>
          <w:bCs/>
          <w:i/>
          <w:color w:val="000000"/>
          <w:spacing w:val="-2"/>
          <w:kern w:val="0"/>
          <w:sz w:val="24"/>
          <w:szCs w:val="24"/>
          <w:lang w:eastAsia="ru-RU"/>
          <w14:ligatures w14:val="none"/>
        </w:rPr>
        <w:t>wargaming, war games, bibliometric analysis, VOSviewer, Scopus, professional military education, artificial intelligence, NATO.</w:t>
      </w:r>
    </w:p>
    <w:p w14:paraId="51781F95" w14:textId="77777777" w:rsidR="003B5892" w:rsidRPr="003B5892" w:rsidRDefault="003B5892" w:rsidP="00023291">
      <w:pPr>
        <w:widowControl w:val="0"/>
        <w:shd w:val="clear" w:color="auto" w:fill="FFFFFF"/>
        <w:tabs>
          <w:tab w:val="left" w:pos="9638"/>
        </w:tabs>
        <w:spacing w:after="0" w:line="274" w:lineRule="exact"/>
        <w:ind w:firstLine="709"/>
        <w:jc w:val="both"/>
        <w:rPr>
          <w:rFonts w:ascii="Times New Roman" w:eastAsia="Times New Roman" w:hAnsi="Times New Roman" w:cs="Times New Roman"/>
          <w:bCs/>
          <w:color w:val="000000"/>
          <w:spacing w:val="-2"/>
          <w:kern w:val="0"/>
          <w:sz w:val="24"/>
          <w:szCs w:val="24"/>
          <w:lang w:val="uk-UA" w:eastAsia="ru-RU"/>
          <w14:ligatures w14:val="none"/>
        </w:rPr>
      </w:pPr>
    </w:p>
    <w:p w14:paraId="086074A5"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b/>
          <w:bCs/>
          <w:kern w:val="0"/>
          <w:sz w:val="28"/>
          <w:szCs w:val="28"/>
          <w:lang w:eastAsia="ru-RU"/>
          <w14:ligatures w14:val="none"/>
        </w:rPr>
        <w:t xml:space="preserve">Problem statement. </w:t>
      </w:r>
      <w:r w:rsidRPr="003B5892">
        <w:rPr>
          <w:rFonts w:ascii="Times New Roman" w:eastAsia="Times New Roman" w:hAnsi="Times New Roman" w:cs="Times New Roman"/>
          <w:kern w:val="0"/>
          <w:sz w:val="28"/>
          <w:szCs w:val="28"/>
          <w:lang w:eastAsia="ru-RU"/>
          <w14:ligatures w14:val="none"/>
        </w:rPr>
        <w:t xml:space="preserve">Since 2022, NATO has been systematically institutionalizing wargaming as an instrument of professional military education </w:t>
      </w:r>
      <w:r w:rsidRPr="003B5892">
        <w:rPr>
          <w:rFonts w:ascii="Times New Roman" w:eastAsia="Times New Roman" w:hAnsi="Times New Roman" w:cs="Times New Roman"/>
          <w:kern w:val="0"/>
          <w:sz w:val="28"/>
          <w:szCs w:val="28"/>
          <w:lang w:eastAsia="ru-RU"/>
          <w14:ligatures w14:val="none"/>
        </w:rPr>
        <w:lastRenderedPageBreak/>
        <w:t>(PME). The NATO Wargaming Handbook [1], the annual Wargaming Initiative for NATO conferences (WIN, 2022–2025), and courses at NATO School Oberammergau together form an institutional ecosystem that spans educational wargaming from the tactical to the strategic level. In parallel, generative artificial intelligence (AI) is transforming wargaming at PME institutions across Allied nations: the U.S. Army Command and General Staff College plans to standardize AI-assisted wargaming beginning in the 2026–2027 academic year [18].</w:t>
      </w:r>
    </w:p>
    <w:p w14:paraId="7767856D"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The term "professional military education" (PME) is used throughout this article in the meaning established by NATO Bi-SC Directive 075-007: the structured education of officers at intermediate and senior levels, as distinct from initial officer training and short-term courses. In Ukrainian practice, PME corresponds to the educational programmes of higher military educational institutions (HMEIs) at the operational-strategic level.</w:t>
      </w:r>
    </w:p>
    <w:p w14:paraId="59769C3C"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This growing institutional attention has been accompanied by an exponential rise in scholarly research. Yet the structure of this research field — its thematic clusters, chronological dynamics, and geography — remains largely unexamined. In particular, no study has determined where Ukraine stands within this landscape. Ukraine wages a full-scale defensive war and seeks NATO integration. At the same time, its PME system recognizes wargaming doctrinally but has not operationalized it: a content analysis of 79 regulatory acts conducted by the authors identified wargaming terminology in only 8 documents (10%), while none of the PME course catalogues (over 13,000 entries in total) contains a single course with a wargaming component. Bibliometric analysis provides the means to objectively determine this position and to identify thematic reference points for bridging the gap</w:t>
      </w:r>
      <w:r w:rsidRPr="003B5892">
        <w:rPr>
          <w:rFonts w:ascii="Times New Roman" w:eastAsia="Times New Roman" w:hAnsi="Times New Roman" w:cs="Times New Roman"/>
          <w:kern w:val="0"/>
          <w:sz w:val="28"/>
          <w:szCs w:val="28"/>
          <w:lang w:val="uk-UA" w:eastAsia="ru-RU"/>
          <w14:ligatures w14:val="none"/>
        </w:rPr>
        <w:t>.</w:t>
      </w:r>
    </w:p>
    <w:p w14:paraId="36548A88"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b/>
          <w:bCs/>
          <w:kern w:val="0"/>
          <w:sz w:val="28"/>
          <w:szCs w:val="28"/>
          <w:lang w:eastAsia="ru-RU"/>
          <w14:ligatures w14:val="none"/>
        </w:rPr>
        <w:t xml:space="preserve">Analysis of recent research and publications. </w:t>
      </w:r>
      <w:r w:rsidRPr="003B5892">
        <w:rPr>
          <w:rFonts w:ascii="Times New Roman" w:eastAsia="Times New Roman" w:hAnsi="Times New Roman" w:cs="Times New Roman"/>
          <w:kern w:val="0"/>
          <w:sz w:val="28"/>
          <w:szCs w:val="28"/>
          <w:lang w:eastAsia="ru-RU"/>
          <w14:ligatures w14:val="none"/>
        </w:rPr>
        <w:t>The conceptual framework for wargaming in PME is shaped by the NATO Wargaming Handbook [1], monographs by Perla [2] and Appleget, Burks, and Cameron [3], and Curry's review [4] in Simulation &amp; Gaming. The institutional dimension is examined in a GAO report [5], which identified fragmentation of wargaming programmes within the U.S. Department of Defense. Bojor (2024) [6] recommended introducing a dedicated war games discipline into higher military education curricula and extending this approach to army units for continuous professional development. Davis and Bracken [7] proposed a framework for applying AI to wargaming. A special issue of the Scandinavian Journal of Military Studies (2022) presented empirical evidence of wargaming effectiveness in Scandinavian PME: Roennfeldt, Helgesen, and Reutz [8], Enstad [9], Hagen [10].</w:t>
      </w:r>
    </w:p>
    <w:p w14:paraId="645349FD"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 xml:space="preserve">Three concepts central to this analysis require delineation. Wargaming, as defined in the NATO Wargaming Handbook [1], is a structured exercise in which participants make decisions within a scenario governed by three constitutive elements: player decisions that drive the narrative, friction that introduces uncertainty, and adjudication that resolves outcomes. Serious games, a term introduced by Abt [20] to denote games designed for purposes beyond entertainment, constitute a broader category that encompasses educational simulations, gamified training modules, and game-based learning platforms; unlike wargaming, they do not </w:t>
      </w:r>
      <w:r w:rsidRPr="003B5892">
        <w:rPr>
          <w:rFonts w:ascii="Times New Roman" w:eastAsia="Times New Roman" w:hAnsi="Times New Roman" w:cs="Times New Roman"/>
          <w:kern w:val="0"/>
          <w:sz w:val="28"/>
          <w:szCs w:val="28"/>
          <w:lang w:eastAsia="ru-RU"/>
          <w14:ligatures w14:val="none"/>
        </w:rPr>
        <w:lastRenderedPageBreak/>
        <w:t>necessarily involve adversarial decision-making or adjudicated friction. Military simulation refers to computational models that replicate aspects of military operations for training or analysis, ranging from constructive (entity-level) to virtual (human-in-the-loop) and live formats [2]. These three domains overlap but are not synonymous; the bibliometric analysis below confirms their structural separation within the Scopus literature.</w:t>
      </w:r>
    </w:p>
    <w:p w14:paraId="6A4A4CCB"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Bibliometric studies of wargaming are virtually nonexistent. Van Eck and Waltman [11] developed VOSviewer — a tool widely used for mapping scientific fields — yet its application to the analysis of wargaming research has not been documented. Bondarenko and Hupalo [12] conducted a bibliometric analysis of AI integration in military education (n=266, Scopus), identifying three development phases and the absence of wargaming as a distinct cluster within that dataset. Hurochkina, Bondarenko, and Szapiro [13] analysed the opportunities and risks of implementing AI technologies in the military domain. A systematic bibliometric analysis of wargaming itself in the PME context, employing two-stage filtering and visualization, has not been undertaken.</w:t>
      </w:r>
    </w:p>
    <w:p w14:paraId="3F70F870"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b/>
          <w:bCs/>
          <w:kern w:val="0"/>
          <w:sz w:val="28"/>
          <w:szCs w:val="28"/>
          <w:lang w:eastAsia="ru-RU"/>
          <w14:ligatures w14:val="none"/>
        </w:rPr>
        <w:t xml:space="preserve">The purpose of the article </w:t>
      </w:r>
      <w:r w:rsidRPr="003B5892">
        <w:rPr>
          <w:rFonts w:ascii="Times New Roman" w:eastAsia="Times New Roman" w:hAnsi="Times New Roman" w:cs="Times New Roman"/>
          <w:kern w:val="0"/>
          <w:sz w:val="28"/>
          <w:szCs w:val="28"/>
          <w:lang w:eastAsia="ru-RU"/>
          <w14:ligatures w14:val="none"/>
        </w:rPr>
        <w:t>is to determine the thematic structure, chronological dynamics, and geography of global wargaming research in military education; to identify Ukraine's position; and to formulate implications for the PME system</w:t>
      </w:r>
      <w:r w:rsidRPr="003B5892">
        <w:rPr>
          <w:rFonts w:ascii="Times New Roman" w:eastAsia="Times New Roman" w:hAnsi="Times New Roman" w:cs="Times New Roman"/>
          <w:kern w:val="0"/>
          <w:sz w:val="28"/>
          <w:szCs w:val="28"/>
          <w:lang w:val="uk-UA" w:eastAsia="ru-RU"/>
          <w14:ligatures w14:val="none"/>
        </w:rPr>
        <w:t>.</w:t>
      </w:r>
    </w:p>
    <w:p w14:paraId="6BF7C1B8"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b/>
          <w:bCs/>
          <w:kern w:val="0"/>
          <w:sz w:val="28"/>
          <w:szCs w:val="28"/>
          <w:lang w:val="uk-UA" w:eastAsia="ru-RU"/>
          <w14:ligatures w14:val="none"/>
        </w:rPr>
        <w:t xml:space="preserve">Bibliometric analysis methodology. </w:t>
      </w:r>
      <w:r w:rsidRPr="003B5892">
        <w:rPr>
          <w:rFonts w:ascii="Times New Roman" w:eastAsia="Times New Roman" w:hAnsi="Times New Roman" w:cs="Times New Roman"/>
          <w:kern w:val="0"/>
          <w:sz w:val="28"/>
          <w:szCs w:val="28"/>
          <w:lang w:val="uk-UA" w:eastAsia="ru-RU"/>
          <w14:ligatures w14:val="none"/>
        </w:rPr>
        <w:t>A two-stage strategy was employed. In the first stage, a contextual dataset was formed using a broad Scopus query ("military" AND "game*" AND "training OR education OR simulation", n=3,962, 2005–2026), covering the entire field of "military games", including mathematical game theory. In the second stage, a target dataset was constructed (n=1,954, 1915–2026) by excluding publications from the game theory domain (Nash equilibrium, differential games, evolutionary games) and retaining wargaming, military simulation, and serious games in the educational and training context. Visualization was performed in VOSviewer 1.6.20 [11] using the co-occurrence method for author keywords with a threshold of 5 occurrences for the contextual dataset and 10 for the target dataset. The international co-authorship map was constructed with a threshold of 3 documents per country. The two-stage strategy makes it possible to distinguish the wargaming discourse from the broader "gaming" context and to reveal structural characteristics that remain invisible when analysing a single dataset.</w:t>
      </w:r>
    </w:p>
    <w:p w14:paraId="1ACF924D"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 xml:space="preserve">Scopus was selected as the sole data source for three reasons: it is the largest abstract and citation database (over </w:t>
      </w:r>
      <w:r w:rsidRPr="003B5892">
        <w:rPr>
          <w:rFonts w:ascii="Times New Roman" w:eastAsia="Times New Roman" w:hAnsi="Times New Roman" w:cs="Times New Roman"/>
          <w:kern w:val="0"/>
          <w:sz w:val="28"/>
          <w:szCs w:val="28"/>
          <w:lang w:val="uk-UA" w:eastAsia="ru-RU"/>
          <w14:ligatures w14:val="none"/>
        </w:rPr>
        <w:t>4</w:t>
      </w:r>
      <w:r w:rsidRPr="003B5892">
        <w:rPr>
          <w:rFonts w:ascii="Times New Roman" w:eastAsia="Times New Roman" w:hAnsi="Times New Roman" w:cs="Times New Roman"/>
          <w:kern w:val="0"/>
          <w:sz w:val="28"/>
          <w:szCs w:val="28"/>
          <w:lang w:eastAsia="ru-RU"/>
          <w14:ligatures w14:val="none"/>
        </w:rPr>
        <w:t>9,000 active journal titles), VOSviewer is natively optimized for Scopus export formats, and single-database designs remain standard in bibliometric research where the objective is thematic mapping rather than exhaustive coverage [11]. This choice entails a limitation: departmental publications, restricted military reports, and journals indexed exclusively in Web of Science fall outside the analysis. The term "global" in the article title refers to the geographic scope of the dataset (publications from 48 countries) rather than a claim of exhaustive coverage.</w:t>
      </w:r>
    </w:p>
    <w:p w14:paraId="282C6186"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b/>
          <w:kern w:val="0"/>
          <w:sz w:val="28"/>
          <w:szCs w:val="28"/>
          <w:lang w:eastAsia="ru-RU"/>
          <w14:ligatures w14:val="none"/>
        </w:rPr>
      </w:pPr>
      <w:r w:rsidRPr="003B5892">
        <w:rPr>
          <w:rFonts w:ascii="Times New Roman" w:eastAsia="Times New Roman" w:hAnsi="Times New Roman" w:cs="Times New Roman"/>
          <w:b/>
          <w:kern w:val="0"/>
          <w:sz w:val="28"/>
          <w:szCs w:val="28"/>
          <w:lang w:eastAsia="ru-RU"/>
          <w14:ligatures w14:val="none"/>
        </w:rPr>
        <w:t>Presentation of the main material.</w:t>
      </w:r>
    </w:p>
    <w:p w14:paraId="49A62B72"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b/>
          <w:kern w:val="0"/>
          <w:sz w:val="28"/>
          <w:szCs w:val="28"/>
          <w:lang w:eastAsia="ru-RU"/>
          <w14:ligatures w14:val="none"/>
        </w:rPr>
      </w:pPr>
      <w:r w:rsidRPr="003B5892">
        <w:rPr>
          <w:rFonts w:ascii="Times New Roman" w:eastAsia="Times New Roman" w:hAnsi="Times New Roman" w:cs="Times New Roman"/>
          <w:b/>
          <w:kern w:val="0"/>
          <w:sz w:val="28"/>
          <w:szCs w:val="28"/>
          <w:lang w:val="uk-UA" w:eastAsia="ru-RU"/>
          <w14:ligatures w14:val="none"/>
        </w:rPr>
        <w:t>1. </w:t>
      </w:r>
      <w:r w:rsidRPr="003B5892">
        <w:rPr>
          <w:rFonts w:ascii="Times New Roman" w:eastAsia="Times New Roman" w:hAnsi="Times New Roman" w:cs="Times New Roman"/>
          <w:b/>
          <w:kern w:val="0"/>
          <w:sz w:val="28"/>
          <w:szCs w:val="28"/>
          <w:lang w:eastAsia="ru-RU"/>
          <w14:ligatures w14:val="none"/>
        </w:rPr>
        <w:t xml:space="preserve">Contextual dataset: the structure of the "military games" field. </w:t>
      </w:r>
    </w:p>
    <w:p w14:paraId="06DD7F1F"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bCs/>
          <w:kern w:val="0"/>
          <w:sz w:val="28"/>
          <w:szCs w:val="28"/>
          <w:lang w:eastAsia="ru-RU"/>
          <w14:ligatures w14:val="none"/>
        </w:rPr>
      </w:pPr>
      <w:r w:rsidRPr="003B5892">
        <w:rPr>
          <w:rFonts w:ascii="Times New Roman" w:eastAsia="Times New Roman" w:hAnsi="Times New Roman" w:cs="Times New Roman"/>
          <w:bCs/>
          <w:kern w:val="0"/>
          <w:sz w:val="28"/>
          <w:szCs w:val="28"/>
          <w:lang w:eastAsia="ru-RU"/>
          <w14:ligatures w14:val="none"/>
        </w:rPr>
        <w:lastRenderedPageBreak/>
        <w:t>The network map of the contextual dataset (Fig. 1) reveals five thematic clusters. The right sector is occupied by the dominant mathematical game theory cluster (game theory — 233 occurrences, Nash equilibrium, differential games, Q-learning), associated predominantly with optimization problems in network security. The left sector contains a geopolitical-conflict cluster (war, conflict, geopolitics, diplomacy, China, Ukraine), while the central-lower zone concentrates the educational discourse: simulation (90), serious games (93), wargaming (27), training (54). The wargaming node does not form a dense core of its own — it is positioned at the intersection of three domains, indicating the interdisciplinary diffuseness of the concept within the broad dataset</w:t>
      </w:r>
      <w:r w:rsidRPr="003B5892">
        <w:rPr>
          <w:rFonts w:ascii="Times New Roman" w:eastAsia="Times New Roman" w:hAnsi="Times New Roman" w:cs="Times New Roman"/>
          <w:bCs/>
          <w:kern w:val="0"/>
          <w:sz w:val="28"/>
          <w:szCs w:val="28"/>
          <w:lang w:val="uk-UA" w:eastAsia="ru-RU"/>
          <w14:ligatures w14:val="none"/>
        </w:rPr>
        <w:t>.</w:t>
      </w:r>
    </w:p>
    <w:p w14:paraId="7A627F68" w14:textId="77777777" w:rsidR="003B5892" w:rsidRPr="003B5892" w:rsidRDefault="003B5892" w:rsidP="00023291">
      <w:pPr>
        <w:widowControl w:val="0"/>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noProof/>
          <w:kern w:val="0"/>
          <w:sz w:val="24"/>
          <w:szCs w:val="24"/>
          <w:lang w:val="uk-UA" w:eastAsia="uk-UA"/>
          <w14:ligatures w14:val="none"/>
        </w:rPr>
        <w:drawing>
          <wp:inline distT="0" distB="0" distL="0" distR="0" wp14:anchorId="03C4433F" wp14:editId="1B546B55">
            <wp:extent cx="5620195" cy="2977073"/>
            <wp:effectExtent l="0" t="0" r="0" b="0"/>
            <wp:docPr id="109639888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33559" cy="2984152"/>
                    </a:xfrm>
                    <a:prstGeom prst="rect">
                      <a:avLst/>
                    </a:prstGeom>
                    <a:noFill/>
                    <a:ln>
                      <a:noFill/>
                    </a:ln>
                  </pic:spPr>
                </pic:pic>
              </a:graphicData>
            </a:graphic>
          </wp:inline>
        </w:drawing>
      </w:r>
    </w:p>
    <w:p w14:paraId="40FF81FC" w14:textId="5AB7D48D" w:rsidR="003B5892" w:rsidRPr="0014634A" w:rsidRDefault="003B5892" w:rsidP="0014634A">
      <w:pPr>
        <w:widowControl w:val="0"/>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kern w:val="0"/>
          <w:sz w:val="28"/>
          <w:szCs w:val="28"/>
          <w:lang w:eastAsia="ru-RU"/>
          <w14:ligatures w14:val="none"/>
        </w:rPr>
        <w:t>Fig. 1. Co-occurrence network map of author keywords in the contextual Scopus dataset (n=3,962). VOSviewer, network visualization.</w:t>
      </w:r>
    </w:p>
    <w:p w14:paraId="252A881A"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kern w:val="0"/>
          <w:sz w:val="28"/>
          <w:szCs w:val="28"/>
          <w:lang w:eastAsia="ru-RU"/>
          <w14:ligatures w14:val="none"/>
        </w:rPr>
        <w:t>The temporal map (Fig. 2) reveals the chronology.</w:t>
      </w:r>
    </w:p>
    <w:p w14:paraId="6BB401F8" w14:textId="77777777" w:rsidR="003B5892" w:rsidRPr="003B5892" w:rsidRDefault="003B5892" w:rsidP="00023291">
      <w:pPr>
        <w:widowControl w:val="0"/>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noProof/>
          <w:kern w:val="0"/>
          <w:sz w:val="24"/>
          <w:szCs w:val="24"/>
          <w:lang w:val="uk-UA" w:eastAsia="uk-UA"/>
          <w14:ligatures w14:val="none"/>
        </w:rPr>
        <w:drawing>
          <wp:inline distT="0" distB="0" distL="0" distR="0" wp14:anchorId="10A64C23" wp14:editId="56C38D4A">
            <wp:extent cx="5760085" cy="3051175"/>
            <wp:effectExtent l="0" t="0" r="0" b="0"/>
            <wp:docPr id="19919037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085" cy="3051175"/>
                    </a:xfrm>
                    <a:prstGeom prst="rect">
                      <a:avLst/>
                    </a:prstGeom>
                    <a:noFill/>
                    <a:ln>
                      <a:noFill/>
                    </a:ln>
                  </pic:spPr>
                </pic:pic>
              </a:graphicData>
            </a:graphic>
          </wp:inline>
        </w:drawing>
      </w:r>
    </w:p>
    <w:p w14:paraId="1EC54CA4" w14:textId="596213AA" w:rsidR="003B5892" w:rsidRPr="0014634A" w:rsidRDefault="003B5892" w:rsidP="0014634A">
      <w:pPr>
        <w:widowControl w:val="0"/>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kern w:val="0"/>
          <w:sz w:val="28"/>
          <w:szCs w:val="28"/>
          <w:lang w:eastAsia="ru-RU"/>
          <w14:ligatures w14:val="none"/>
        </w:rPr>
        <w:t>Fig. 2. Temporal co-occurrence map of the contextual dataset. VOSviewer, overlay visualization (scale 2014–2022).</w:t>
      </w:r>
    </w:p>
    <w:p w14:paraId="121A0320"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lastRenderedPageBreak/>
        <w:t>The oldest topics (~2014–2016) belong to game theory. Wargaming falls within the middle zone (~2017–2019), corresponding to the onset of the "wargaming renaissance" in Western defence establishments [4]. The most recent nodes (~2020–2022) concentrate in two directions: AI methods (machine learning, multi-agent systems) and educational games (serious games, game-based learning). The overall trajectory runs from wargaming as an isolated practice toward integration with AI and serious games pedagogy.</w:t>
      </w:r>
    </w:p>
    <w:p w14:paraId="0AF6AA69"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kern w:val="0"/>
          <w:sz w:val="28"/>
          <w:szCs w:val="28"/>
          <w:lang w:eastAsia="ru-RU"/>
          <w14:ligatures w14:val="none"/>
        </w:rPr>
        <w:t xml:space="preserve">A comparison of the two maps yields a methodological conclusion: queries for "military games" return a dataset in which game theory dominates quantitatively (233 occurrences versus wargaming — 27). A researcher analysing wargaming without filtering risks constructing a map in which mathematical optimization problems mask the educational and training discourse. </w:t>
      </w:r>
      <w:r w:rsidRPr="003B5892">
        <w:rPr>
          <w:rFonts w:ascii="Times New Roman" w:eastAsia="Times New Roman" w:hAnsi="Times New Roman" w:cs="Times New Roman"/>
          <w:kern w:val="0"/>
          <w:sz w:val="28"/>
          <w:szCs w:val="28"/>
          <w:lang w:val="uk-UA" w:eastAsia="ru-RU"/>
          <w14:ligatures w14:val="none"/>
        </w:rPr>
        <w:t>This justifies the need for the second stage.</w:t>
      </w:r>
    </w:p>
    <w:p w14:paraId="33F43212" w14:textId="77777777" w:rsidR="003B5892" w:rsidRPr="003B5892" w:rsidRDefault="003B5892" w:rsidP="00023291">
      <w:pPr>
        <w:widowControl w:val="0"/>
        <w:tabs>
          <w:tab w:val="left" w:pos="9638"/>
        </w:tabs>
        <w:spacing w:after="0" w:line="240" w:lineRule="auto"/>
        <w:ind w:left="720" w:hanging="153"/>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b/>
          <w:bCs/>
          <w:kern w:val="0"/>
          <w:sz w:val="28"/>
          <w:szCs w:val="28"/>
          <w:lang w:val="uk-UA" w:eastAsia="ru-RU"/>
          <w14:ligatures w14:val="none"/>
        </w:rPr>
        <w:t>2. </w:t>
      </w:r>
      <w:r w:rsidRPr="003B5892">
        <w:rPr>
          <w:rFonts w:ascii="Times New Roman" w:eastAsia="Times New Roman" w:hAnsi="Times New Roman" w:cs="Times New Roman"/>
          <w:b/>
          <w:bCs/>
          <w:kern w:val="0"/>
          <w:sz w:val="28"/>
          <w:szCs w:val="28"/>
          <w:lang w:eastAsia="ru-RU"/>
          <w14:ligatures w14:val="none"/>
        </w:rPr>
        <w:t>Target dataset: wargaming in the PME context.</w:t>
      </w:r>
      <w:r w:rsidRPr="003B5892">
        <w:rPr>
          <w:rFonts w:ascii="Times New Roman" w:eastAsia="Times New Roman" w:hAnsi="Times New Roman" w:cs="Times New Roman"/>
          <w:kern w:val="0"/>
          <w:sz w:val="28"/>
          <w:szCs w:val="28"/>
          <w:lang w:eastAsia="ru-RU"/>
          <w14:ligatures w14:val="none"/>
        </w:rPr>
        <w:t xml:space="preserve"> </w:t>
      </w:r>
    </w:p>
    <w:p w14:paraId="3A31B1A9"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Once game theory is excluded, the thematic architecture assumes a different configuration (Fig. 3)</w:t>
      </w:r>
      <w:r w:rsidRPr="003B5892">
        <w:rPr>
          <w:rFonts w:ascii="Times New Roman" w:eastAsia="Times New Roman" w:hAnsi="Times New Roman" w:cs="Times New Roman"/>
          <w:kern w:val="0"/>
          <w:sz w:val="28"/>
          <w:szCs w:val="28"/>
          <w:lang w:val="uk-UA" w:eastAsia="ru-RU"/>
          <w14:ligatures w14:val="none"/>
        </w:rPr>
        <w:t>.</w:t>
      </w:r>
    </w:p>
    <w:p w14:paraId="1F79610F" w14:textId="77777777" w:rsidR="003B5892" w:rsidRPr="003B5892" w:rsidRDefault="003B5892" w:rsidP="00023291">
      <w:pPr>
        <w:widowControl w:val="0"/>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noProof/>
          <w:kern w:val="0"/>
          <w:sz w:val="24"/>
          <w:szCs w:val="24"/>
          <w:lang w:val="uk-UA" w:eastAsia="uk-UA"/>
          <w14:ligatures w14:val="none"/>
        </w:rPr>
        <w:drawing>
          <wp:inline distT="0" distB="0" distL="0" distR="0" wp14:anchorId="27104107" wp14:editId="65813166">
            <wp:extent cx="5760085" cy="2941983"/>
            <wp:effectExtent l="0" t="0" r="0" b="0"/>
            <wp:docPr id="1458826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3664" cy="2943811"/>
                    </a:xfrm>
                    <a:prstGeom prst="rect">
                      <a:avLst/>
                    </a:prstGeom>
                    <a:noFill/>
                    <a:ln>
                      <a:noFill/>
                    </a:ln>
                  </pic:spPr>
                </pic:pic>
              </a:graphicData>
            </a:graphic>
          </wp:inline>
        </w:drawing>
      </w:r>
    </w:p>
    <w:p w14:paraId="0E8D4CED"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kern w:val="0"/>
          <w:sz w:val="28"/>
          <w:szCs w:val="28"/>
          <w:lang w:val="uk-UA" w:eastAsia="ru-RU"/>
          <w14:ligatures w14:val="none"/>
        </w:rPr>
        <w:t>Fig. 3. Co-occurrence network map of the target Scopus dataset (n=1,954, game theory excluded). VOSviewer, network visualization. 54 nodes, 7 clusters, threshold — 10 occurrences.</w:t>
      </w:r>
    </w:p>
    <w:p w14:paraId="6FA8605E" w14:textId="77777777" w:rsidR="0014634A" w:rsidRDefault="0014634A" w:rsidP="00023291">
      <w:pPr>
        <w:widowControl w:val="0"/>
        <w:tabs>
          <w:tab w:val="left" w:pos="9638"/>
        </w:tabs>
        <w:spacing w:after="0" w:line="240" w:lineRule="auto"/>
        <w:ind w:firstLine="426"/>
        <w:jc w:val="both"/>
        <w:rPr>
          <w:rFonts w:ascii="Times New Roman" w:eastAsia="Times New Roman" w:hAnsi="Times New Roman" w:cs="Times New Roman"/>
          <w:kern w:val="0"/>
          <w:sz w:val="28"/>
          <w:szCs w:val="28"/>
          <w:lang w:val="uk-UA" w:eastAsia="ru-RU"/>
          <w14:ligatures w14:val="none"/>
        </w:rPr>
      </w:pPr>
    </w:p>
    <w:p w14:paraId="5DCCD6B8" w14:textId="229956EC" w:rsidR="003B5892" w:rsidRPr="003B5892" w:rsidRDefault="003B5892" w:rsidP="00023291">
      <w:pPr>
        <w:widowControl w:val="0"/>
        <w:tabs>
          <w:tab w:val="left" w:pos="9638"/>
        </w:tabs>
        <w:spacing w:after="0" w:line="240" w:lineRule="auto"/>
        <w:ind w:firstLine="426"/>
        <w:jc w:val="both"/>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kern w:val="0"/>
          <w:sz w:val="28"/>
          <w:szCs w:val="28"/>
          <w:lang w:val="uk-UA" w:eastAsia="ru-RU"/>
          <w14:ligatures w14:val="none"/>
        </w:rPr>
        <w:t xml:space="preserve"> The target dataset (n=1,954) is distributed across 7 clusters comprising 54 nodes (Table 1).</w:t>
      </w:r>
    </w:p>
    <w:p w14:paraId="16563AA5" w14:textId="77777777" w:rsidR="003B5892" w:rsidRPr="003B5892" w:rsidRDefault="003B5892" w:rsidP="00023291">
      <w:pPr>
        <w:widowControl w:val="0"/>
        <w:tabs>
          <w:tab w:val="left" w:pos="9638"/>
        </w:tabs>
        <w:spacing w:after="0" w:line="240" w:lineRule="auto"/>
        <w:ind w:firstLine="567"/>
        <w:jc w:val="right"/>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kern w:val="0"/>
          <w:sz w:val="28"/>
          <w:szCs w:val="28"/>
          <w:lang w:val="uk-UA" w:eastAsia="ru-RU"/>
          <w14:ligatures w14:val="none"/>
        </w:rPr>
        <w:t>Table 1</w:t>
      </w:r>
    </w:p>
    <w:p w14:paraId="051491B4" w14:textId="77777777" w:rsidR="003B5892" w:rsidRPr="003B5892" w:rsidRDefault="003B5892" w:rsidP="00023291">
      <w:pPr>
        <w:widowControl w:val="0"/>
        <w:tabs>
          <w:tab w:val="left" w:pos="9638"/>
        </w:tabs>
        <w:spacing w:after="0" w:line="240" w:lineRule="auto"/>
        <w:ind w:firstLine="567"/>
        <w:jc w:val="center"/>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kern w:val="0"/>
          <w:sz w:val="28"/>
          <w:szCs w:val="28"/>
          <w:lang w:val="uk-UA" w:eastAsia="ru-RU"/>
          <w14:ligatures w14:val="none"/>
        </w:rPr>
        <w:t>Thematic clusters of the target Scopus dataset (n=1,954)</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755"/>
        <w:gridCol w:w="934"/>
        <w:gridCol w:w="3997"/>
        <w:gridCol w:w="2523"/>
      </w:tblGrid>
      <w:tr w:rsidR="003B5892" w:rsidRPr="003B5892" w14:paraId="67D21072" w14:textId="77777777" w:rsidTr="00F918EC">
        <w:trPr>
          <w:trHeight w:val="452"/>
          <w:tblHeader/>
        </w:trPr>
        <w:tc>
          <w:tcPr>
            <w:tcW w:w="1755" w:type="dxa"/>
            <w:shd w:val="clear" w:color="auto" w:fill="C6D9F1"/>
            <w:vAlign w:val="center"/>
            <w:hideMark/>
          </w:tcPr>
          <w:p w14:paraId="01265DFE" w14:textId="77777777" w:rsidR="003B5892" w:rsidRPr="003B5892" w:rsidRDefault="003B5892" w:rsidP="00023291">
            <w:pPr>
              <w:widowControl w:val="0"/>
              <w:tabs>
                <w:tab w:val="left" w:pos="9638"/>
              </w:tabs>
              <w:spacing w:after="0" w:line="240" w:lineRule="auto"/>
              <w:jc w:val="center"/>
              <w:rPr>
                <w:rFonts w:ascii="Times New Roman" w:eastAsia="Times New Roman" w:hAnsi="Times New Roman" w:cs="Times New Roman"/>
                <w:b/>
                <w:bCs/>
                <w:kern w:val="0"/>
                <w:lang w:val="uk-UA" w:eastAsia="ru-RU"/>
                <w14:ligatures w14:val="none"/>
              </w:rPr>
            </w:pPr>
            <w:r w:rsidRPr="003B5892">
              <w:rPr>
                <w:rFonts w:ascii="Times New Roman" w:eastAsia="Times New Roman" w:hAnsi="Times New Roman" w:cs="Times New Roman"/>
                <w:b/>
                <w:bCs/>
                <w:kern w:val="0"/>
                <w:lang w:val="uk-UA" w:eastAsia="ru-RU"/>
                <w14:ligatures w14:val="none"/>
              </w:rPr>
              <w:t>Cluster</w:t>
            </w:r>
          </w:p>
        </w:tc>
        <w:tc>
          <w:tcPr>
            <w:tcW w:w="934" w:type="dxa"/>
            <w:shd w:val="clear" w:color="auto" w:fill="C6D9F1"/>
            <w:vAlign w:val="center"/>
            <w:hideMark/>
          </w:tcPr>
          <w:p w14:paraId="37F08435" w14:textId="77777777" w:rsidR="003B5892" w:rsidRPr="003B5892" w:rsidRDefault="003B5892" w:rsidP="00023291">
            <w:pPr>
              <w:widowControl w:val="0"/>
              <w:tabs>
                <w:tab w:val="left" w:pos="9638"/>
              </w:tabs>
              <w:spacing w:after="0" w:line="240" w:lineRule="auto"/>
              <w:jc w:val="center"/>
              <w:rPr>
                <w:rFonts w:ascii="Times New Roman" w:eastAsia="Times New Roman" w:hAnsi="Times New Roman" w:cs="Times New Roman"/>
                <w:b/>
                <w:bCs/>
                <w:kern w:val="0"/>
                <w:lang w:val="uk-UA" w:eastAsia="ru-RU"/>
                <w14:ligatures w14:val="none"/>
              </w:rPr>
            </w:pPr>
            <w:r w:rsidRPr="003B5892">
              <w:rPr>
                <w:rFonts w:ascii="Times New Roman" w:eastAsia="Times New Roman" w:hAnsi="Times New Roman" w:cs="Times New Roman"/>
                <w:b/>
                <w:bCs/>
                <w:kern w:val="0"/>
                <w:lang w:val="uk-UA" w:eastAsia="ru-RU"/>
                <w14:ligatures w14:val="none"/>
              </w:rPr>
              <w:t>Colour</w:t>
            </w:r>
          </w:p>
        </w:tc>
        <w:tc>
          <w:tcPr>
            <w:tcW w:w="3997" w:type="dxa"/>
            <w:shd w:val="clear" w:color="auto" w:fill="C6D9F1"/>
            <w:vAlign w:val="center"/>
            <w:hideMark/>
          </w:tcPr>
          <w:p w14:paraId="210CC22B" w14:textId="77777777" w:rsidR="003B5892" w:rsidRPr="003B5892" w:rsidRDefault="003B5892" w:rsidP="00023291">
            <w:pPr>
              <w:widowControl w:val="0"/>
              <w:tabs>
                <w:tab w:val="left" w:pos="9638"/>
              </w:tabs>
              <w:spacing w:after="0" w:line="240" w:lineRule="auto"/>
              <w:jc w:val="center"/>
              <w:rPr>
                <w:rFonts w:ascii="Times New Roman" w:eastAsia="Times New Roman" w:hAnsi="Times New Roman" w:cs="Times New Roman"/>
                <w:b/>
                <w:bCs/>
                <w:kern w:val="0"/>
                <w:lang w:val="uk-UA" w:eastAsia="ru-RU"/>
                <w14:ligatures w14:val="none"/>
              </w:rPr>
            </w:pPr>
            <w:r w:rsidRPr="003B5892">
              <w:rPr>
                <w:rFonts w:ascii="Times New Roman" w:eastAsia="Times New Roman" w:hAnsi="Times New Roman" w:cs="Times New Roman"/>
                <w:b/>
                <w:bCs/>
                <w:kern w:val="0"/>
                <w:lang w:val="uk-UA" w:eastAsia="ru-RU"/>
                <w14:ligatures w14:val="none"/>
              </w:rPr>
              <w:t>Keywords (occurrences)</w:t>
            </w:r>
          </w:p>
        </w:tc>
        <w:tc>
          <w:tcPr>
            <w:tcW w:w="2523" w:type="dxa"/>
            <w:shd w:val="clear" w:color="auto" w:fill="C6D9F1"/>
            <w:vAlign w:val="center"/>
            <w:hideMark/>
          </w:tcPr>
          <w:p w14:paraId="0181B38E" w14:textId="77777777" w:rsidR="003B5892" w:rsidRPr="003B5892" w:rsidRDefault="003B5892" w:rsidP="00023291">
            <w:pPr>
              <w:widowControl w:val="0"/>
              <w:tabs>
                <w:tab w:val="left" w:pos="9638"/>
              </w:tabs>
              <w:spacing w:after="0" w:line="240" w:lineRule="auto"/>
              <w:jc w:val="center"/>
              <w:rPr>
                <w:rFonts w:ascii="Times New Roman" w:eastAsia="Times New Roman" w:hAnsi="Times New Roman" w:cs="Times New Roman"/>
                <w:b/>
                <w:bCs/>
                <w:kern w:val="0"/>
                <w:lang w:val="uk-UA" w:eastAsia="ru-RU"/>
                <w14:ligatures w14:val="none"/>
              </w:rPr>
            </w:pPr>
            <w:r w:rsidRPr="003B5892">
              <w:rPr>
                <w:rFonts w:ascii="Times New Roman" w:eastAsia="Times New Roman" w:hAnsi="Times New Roman" w:cs="Times New Roman"/>
                <w:b/>
                <w:bCs/>
                <w:kern w:val="0"/>
                <w:lang w:val="uk-UA" w:eastAsia="ru-RU"/>
                <w14:ligatures w14:val="none"/>
              </w:rPr>
              <w:t>Interpretation</w:t>
            </w:r>
          </w:p>
        </w:tc>
      </w:tr>
      <w:tr w:rsidR="003B5892" w:rsidRPr="003B5892" w14:paraId="723746D4" w14:textId="77777777" w:rsidTr="00F918EC">
        <w:tc>
          <w:tcPr>
            <w:tcW w:w="1755" w:type="dxa"/>
            <w:vAlign w:val="center"/>
            <w:hideMark/>
          </w:tcPr>
          <w:p w14:paraId="00CDD8A9"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1. Educational-training</w:t>
            </w:r>
          </w:p>
        </w:tc>
        <w:tc>
          <w:tcPr>
            <w:tcW w:w="934" w:type="dxa"/>
            <w:vAlign w:val="center"/>
            <w:hideMark/>
          </w:tcPr>
          <w:p w14:paraId="73FD71E8"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Green</w:t>
            </w:r>
          </w:p>
        </w:tc>
        <w:tc>
          <w:tcPr>
            <w:tcW w:w="3997" w:type="dxa"/>
            <w:vAlign w:val="center"/>
            <w:hideMark/>
          </w:tcPr>
          <w:p w14:paraId="5D07B90F"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eastAsia="ru-RU"/>
                <w14:ligatures w14:val="none"/>
              </w:rPr>
            </w:pPr>
            <w:r w:rsidRPr="003B5892">
              <w:rPr>
                <w:rFonts w:ascii="Times New Roman" w:eastAsia="Times New Roman" w:hAnsi="Times New Roman" w:cs="Times New Roman"/>
                <w:kern w:val="0"/>
                <w:lang w:eastAsia="ru-RU"/>
                <w14:ligatures w14:val="none"/>
              </w:rPr>
              <w:t>serious games (178), game-based training (108), training (101), tabletop exercises (35)</w:t>
            </w:r>
          </w:p>
        </w:tc>
        <w:tc>
          <w:tcPr>
            <w:tcW w:w="2523" w:type="dxa"/>
            <w:vAlign w:val="center"/>
            <w:hideMark/>
          </w:tcPr>
          <w:p w14:paraId="0C53497F"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Pedagogical focus of PME</w:t>
            </w:r>
          </w:p>
        </w:tc>
      </w:tr>
      <w:tr w:rsidR="003B5892" w:rsidRPr="003B5892" w14:paraId="722013DD" w14:textId="77777777" w:rsidTr="00F918EC">
        <w:tc>
          <w:tcPr>
            <w:tcW w:w="1755" w:type="dxa"/>
            <w:vAlign w:val="center"/>
            <w:hideMark/>
          </w:tcPr>
          <w:p w14:paraId="4DA52DF9"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2. Military-simulation</w:t>
            </w:r>
          </w:p>
        </w:tc>
        <w:tc>
          <w:tcPr>
            <w:tcW w:w="934" w:type="dxa"/>
            <w:vAlign w:val="center"/>
            <w:hideMark/>
          </w:tcPr>
          <w:p w14:paraId="54E18624"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Red</w:t>
            </w:r>
          </w:p>
        </w:tc>
        <w:tc>
          <w:tcPr>
            <w:tcW w:w="3997" w:type="dxa"/>
            <w:vAlign w:val="center"/>
            <w:hideMark/>
          </w:tcPr>
          <w:p w14:paraId="6AE4075D"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eastAsia="ru-RU"/>
                <w14:ligatures w14:val="none"/>
              </w:rPr>
            </w:pPr>
            <w:r w:rsidRPr="003B5892">
              <w:rPr>
                <w:rFonts w:ascii="Times New Roman" w:eastAsia="Times New Roman" w:hAnsi="Times New Roman" w:cs="Times New Roman"/>
                <w:kern w:val="0"/>
                <w:lang w:eastAsia="ru-RU"/>
                <w14:ligatures w14:val="none"/>
              </w:rPr>
              <w:t>wargaming (65), war game (36), military simulation (35), combat simulation (22), kriegsspiel (22)</w:t>
            </w:r>
          </w:p>
        </w:tc>
        <w:tc>
          <w:tcPr>
            <w:tcW w:w="2523" w:type="dxa"/>
            <w:vAlign w:val="center"/>
            <w:hideMark/>
          </w:tcPr>
          <w:p w14:paraId="48FB7764"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Wargaming proper: 123 occurrences combined</w:t>
            </w:r>
          </w:p>
        </w:tc>
      </w:tr>
      <w:tr w:rsidR="003B5892" w:rsidRPr="003B5892" w14:paraId="5CDB76D9" w14:textId="77777777" w:rsidTr="00F918EC">
        <w:tc>
          <w:tcPr>
            <w:tcW w:w="1755" w:type="dxa"/>
            <w:vAlign w:val="center"/>
            <w:hideMark/>
          </w:tcPr>
          <w:p w14:paraId="53A6EBA3"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3. AI methods</w:t>
            </w:r>
          </w:p>
        </w:tc>
        <w:tc>
          <w:tcPr>
            <w:tcW w:w="934" w:type="dxa"/>
            <w:vAlign w:val="center"/>
            <w:hideMark/>
          </w:tcPr>
          <w:p w14:paraId="45AAAAD9"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Yellow</w:t>
            </w:r>
          </w:p>
        </w:tc>
        <w:tc>
          <w:tcPr>
            <w:tcW w:w="3997" w:type="dxa"/>
            <w:vAlign w:val="center"/>
            <w:hideMark/>
          </w:tcPr>
          <w:p w14:paraId="3F69307B"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eastAsia="ru-RU"/>
                <w14:ligatures w14:val="none"/>
              </w:rPr>
            </w:pPr>
            <w:r w:rsidRPr="003B5892">
              <w:rPr>
                <w:rFonts w:ascii="Times New Roman" w:eastAsia="Times New Roman" w:hAnsi="Times New Roman" w:cs="Times New Roman"/>
                <w:kern w:val="0"/>
                <w:lang w:eastAsia="ru-RU"/>
                <w14:ligatures w14:val="none"/>
              </w:rPr>
              <w:t>reinforcement learning (54), deep RL (32), machine learning (23), air combat (16)</w:t>
            </w:r>
          </w:p>
        </w:tc>
        <w:tc>
          <w:tcPr>
            <w:tcW w:w="2523" w:type="dxa"/>
            <w:vAlign w:val="center"/>
            <w:hideMark/>
          </w:tcPr>
          <w:p w14:paraId="4175BCDE"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AI in military modelling</w:t>
            </w:r>
          </w:p>
        </w:tc>
      </w:tr>
      <w:tr w:rsidR="003B5892" w:rsidRPr="003B5892" w14:paraId="3E90764A" w14:textId="77777777" w:rsidTr="00F918EC">
        <w:tc>
          <w:tcPr>
            <w:tcW w:w="1755" w:type="dxa"/>
            <w:vAlign w:val="center"/>
            <w:hideMark/>
          </w:tcPr>
          <w:p w14:paraId="6A6B59BE"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lastRenderedPageBreak/>
              <w:t>4. Immersive learning</w:t>
            </w:r>
          </w:p>
        </w:tc>
        <w:tc>
          <w:tcPr>
            <w:tcW w:w="934" w:type="dxa"/>
            <w:vAlign w:val="center"/>
            <w:hideMark/>
          </w:tcPr>
          <w:p w14:paraId="335EB1FB"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Teal</w:t>
            </w:r>
          </w:p>
        </w:tc>
        <w:tc>
          <w:tcPr>
            <w:tcW w:w="3997" w:type="dxa"/>
            <w:vAlign w:val="center"/>
            <w:hideMark/>
          </w:tcPr>
          <w:p w14:paraId="52DEA97F"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eastAsia="ru-RU"/>
                <w14:ligatures w14:val="none"/>
              </w:rPr>
            </w:pPr>
            <w:r w:rsidRPr="003B5892">
              <w:rPr>
                <w:rFonts w:ascii="Times New Roman" w:eastAsia="Times New Roman" w:hAnsi="Times New Roman" w:cs="Times New Roman"/>
                <w:kern w:val="0"/>
                <w:lang w:eastAsia="ru-RU"/>
                <w14:ligatures w14:val="none"/>
              </w:rPr>
              <w:t>virtual reality (49), game-based learning (43), virtual environment (28)</w:t>
            </w:r>
          </w:p>
        </w:tc>
        <w:tc>
          <w:tcPr>
            <w:tcW w:w="2523" w:type="dxa"/>
            <w:vAlign w:val="center"/>
            <w:hideMark/>
          </w:tcPr>
          <w:p w14:paraId="431959A2"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eastAsia="ru-RU"/>
                <w14:ligatures w14:val="none"/>
              </w:rPr>
            </w:pPr>
            <w:r w:rsidRPr="003B5892">
              <w:rPr>
                <w:rFonts w:ascii="Times New Roman" w:eastAsia="Times New Roman" w:hAnsi="Times New Roman" w:cs="Times New Roman"/>
                <w:kern w:val="0"/>
                <w:lang w:eastAsia="ru-RU"/>
                <w14:ligatures w14:val="none"/>
              </w:rPr>
              <w:t>ETEE subcategory UA-1227 "Modelling and Simulation"</w:t>
            </w:r>
          </w:p>
        </w:tc>
      </w:tr>
      <w:tr w:rsidR="003B5892" w:rsidRPr="003B5892" w14:paraId="1206FD1F" w14:textId="77777777" w:rsidTr="00F918EC">
        <w:tc>
          <w:tcPr>
            <w:tcW w:w="1755" w:type="dxa"/>
            <w:vAlign w:val="center"/>
            <w:hideMark/>
          </w:tcPr>
          <w:p w14:paraId="4716D7F0"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5. Cybersecurity</w:t>
            </w:r>
          </w:p>
        </w:tc>
        <w:tc>
          <w:tcPr>
            <w:tcW w:w="934" w:type="dxa"/>
            <w:vAlign w:val="center"/>
            <w:hideMark/>
          </w:tcPr>
          <w:p w14:paraId="5266F0F9"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Purple</w:t>
            </w:r>
          </w:p>
        </w:tc>
        <w:tc>
          <w:tcPr>
            <w:tcW w:w="3997" w:type="dxa"/>
            <w:vAlign w:val="center"/>
            <w:hideMark/>
          </w:tcPr>
          <w:p w14:paraId="523751AE"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eastAsia="ru-RU"/>
                <w14:ligatures w14:val="none"/>
              </w:rPr>
            </w:pPr>
            <w:r w:rsidRPr="003B5892">
              <w:rPr>
                <w:rFonts w:ascii="Times New Roman" w:eastAsia="Times New Roman" w:hAnsi="Times New Roman" w:cs="Times New Roman"/>
                <w:kern w:val="0"/>
                <w:lang w:eastAsia="ru-RU"/>
                <w14:ligatures w14:val="none"/>
              </w:rPr>
              <w:t>cyber security (31), network security (22), intrusion detection (18)</w:t>
            </w:r>
          </w:p>
        </w:tc>
        <w:tc>
          <w:tcPr>
            <w:tcW w:w="2523" w:type="dxa"/>
            <w:vAlign w:val="center"/>
            <w:hideMark/>
          </w:tcPr>
          <w:p w14:paraId="2F455628"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Infrastructure protection</w:t>
            </w:r>
          </w:p>
        </w:tc>
      </w:tr>
      <w:tr w:rsidR="003B5892" w:rsidRPr="003B5892" w14:paraId="474D5B7C" w14:textId="77777777" w:rsidTr="00F918EC">
        <w:tc>
          <w:tcPr>
            <w:tcW w:w="1755" w:type="dxa"/>
            <w:vAlign w:val="center"/>
            <w:hideMark/>
          </w:tcPr>
          <w:p w14:paraId="312957C5"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6. Autonomous systems</w:t>
            </w:r>
          </w:p>
        </w:tc>
        <w:tc>
          <w:tcPr>
            <w:tcW w:w="934" w:type="dxa"/>
            <w:vAlign w:val="center"/>
            <w:hideMark/>
          </w:tcPr>
          <w:p w14:paraId="1A18DB50"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Orange</w:t>
            </w:r>
          </w:p>
        </w:tc>
        <w:tc>
          <w:tcPr>
            <w:tcW w:w="3997" w:type="dxa"/>
            <w:vAlign w:val="center"/>
            <w:hideMark/>
          </w:tcPr>
          <w:p w14:paraId="46A24F20"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eastAsia="ru-RU"/>
                <w14:ligatures w14:val="none"/>
              </w:rPr>
            </w:pPr>
            <w:r w:rsidRPr="003B5892">
              <w:rPr>
                <w:rFonts w:ascii="Times New Roman" w:eastAsia="Times New Roman" w:hAnsi="Times New Roman" w:cs="Times New Roman"/>
                <w:kern w:val="0"/>
                <w:lang w:eastAsia="ru-RU"/>
                <w14:ligatures w14:val="none"/>
              </w:rPr>
              <w:t>unmanned systems (24), swarm (19), multi-agent (17)</w:t>
            </w:r>
          </w:p>
        </w:tc>
        <w:tc>
          <w:tcPr>
            <w:tcW w:w="2523" w:type="dxa"/>
            <w:vAlign w:val="center"/>
            <w:hideMark/>
          </w:tcPr>
          <w:p w14:paraId="5BC247E7"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Integration with uncrewed platforms</w:t>
            </w:r>
          </w:p>
        </w:tc>
      </w:tr>
      <w:tr w:rsidR="003B5892" w:rsidRPr="003B5892" w14:paraId="00DDE3C7" w14:textId="77777777" w:rsidTr="00F918EC">
        <w:tc>
          <w:tcPr>
            <w:tcW w:w="1755" w:type="dxa"/>
            <w:vAlign w:val="center"/>
            <w:hideMark/>
          </w:tcPr>
          <w:p w14:paraId="7DBB7378"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7. Assessment and analytics</w:t>
            </w:r>
          </w:p>
        </w:tc>
        <w:tc>
          <w:tcPr>
            <w:tcW w:w="934" w:type="dxa"/>
            <w:vAlign w:val="center"/>
            <w:hideMark/>
          </w:tcPr>
          <w:p w14:paraId="1B49B11E"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Grey</w:t>
            </w:r>
          </w:p>
        </w:tc>
        <w:tc>
          <w:tcPr>
            <w:tcW w:w="3997" w:type="dxa"/>
            <w:vAlign w:val="center"/>
            <w:hideMark/>
          </w:tcPr>
          <w:p w14:paraId="751C7C60"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eastAsia="ru-RU"/>
                <w14:ligatures w14:val="none"/>
              </w:rPr>
            </w:pPr>
            <w:r w:rsidRPr="003B5892">
              <w:rPr>
                <w:rFonts w:ascii="Times New Roman" w:eastAsia="Times New Roman" w:hAnsi="Times New Roman" w:cs="Times New Roman"/>
                <w:kern w:val="0"/>
                <w:lang w:eastAsia="ru-RU"/>
                <w14:ligatures w14:val="none"/>
              </w:rPr>
              <w:t>assessment (21), learning analytics (15), after action review (12)</w:t>
            </w:r>
          </w:p>
        </w:tc>
        <w:tc>
          <w:tcPr>
            <w:tcW w:w="2523" w:type="dxa"/>
            <w:vAlign w:val="center"/>
            <w:hideMark/>
          </w:tcPr>
          <w:p w14:paraId="60DC5CB8"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Measuring training effectiveness</w:t>
            </w:r>
          </w:p>
        </w:tc>
      </w:tr>
    </w:tbl>
    <w:p w14:paraId="5B77F01B"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i/>
          <w:iCs/>
          <w:kern w:val="0"/>
          <w:lang w:eastAsia="ru-RU"/>
          <w14:ligatures w14:val="none"/>
        </w:rPr>
      </w:pPr>
      <w:r w:rsidRPr="003B5892">
        <w:rPr>
          <w:rFonts w:ascii="Times New Roman" w:eastAsia="Times New Roman" w:hAnsi="Times New Roman" w:cs="Times New Roman"/>
          <w:i/>
          <w:iCs/>
          <w:kern w:val="0"/>
          <w:lang w:eastAsia="ru-RU"/>
          <w14:ligatures w14:val="none"/>
        </w:rPr>
        <w:t>Source: compiled by the authors based on bibliometric analysis of Scopus data, VOSviewer.</w:t>
      </w:r>
    </w:p>
    <w:p w14:paraId="23431919" w14:textId="77777777" w:rsidR="003B5892" w:rsidRPr="003B5892" w:rsidRDefault="003B5892" w:rsidP="00023291">
      <w:pPr>
        <w:widowControl w:val="0"/>
        <w:tabs>
          <w:tab w:val="left" w:pos="9638"/>
        </w:tabs>
        <w:spacing w:after="0" w:line="240" w:lineRule="auto"/>
        <w:jc w:val="both"/>
        <w:rPr>
          <w:rFonts w:ascii="Times New Roman" w:eastAsia="Times New Roman" w:hAnsi="Times New Roman" w:cs="Times New Roman"/>
          <w:kern w:val="0"/>
          <w:sz w:val="28"/>
          <w:szCs w:val="28"/>
          <w:lang w:eastAsia="ru-RU"/>
          <w14:ligatures w14:val="none"/>
        </w:rPr>
      </w:pPr>
    </w:p>
    <w:p w14:paraId="6026987D"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The spatial distance between clusters 1 and 2 indicates that wargaming and serious games (in the sense of Abt [20]: games designed for purposes beyond entertainment), despite sharing a common subject area, belong to distinct research communities with different traditions and publication channels. For the PME system, this means that serious games and wargaming require different implementation strategies and different specialists.</w:t>
      </w:r>
    </w:p>
    <w:p w14:paraId="43B4ED65"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Cluster 3 (AI methods) is closely connected to cluster 2 (wargaming), confirming the convergence of AI and wargaming at the research front. This convergence already has practical manifestations: the GenWar Lab (JHU APL, 2025) integrates large language models (LLMs) with high-fidelity simulation platforms; Spahr, Mandle, and Stinchfield [14] described an experiment with LLM-adjudication in free Kriegsspiel at the U.S. Army War College. Saastamoinen and Rissanen [15] presented the Finnish edge AI model for tactical simulators — an architecture relevant to the Ukrainian Armed Forces under conditions of limited connectivity.</w:t>
      </w:r>
    </w:p>
    <w:p w14:paraId="29116738"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 xml:space="preserve">The temporal map of the target dataset (Fig. 4) refines the chronology. </w:t>
      </w:r>
    </w:p>
    <w:p w14:paraId="1BB1A4D7" w14:textId="77777777" w:rsidR="003B5892" w:rsidRPr="003B5892" w:rsidRDefault="003B5892" w:rsidP="00023291">
      <w:pPr>
        <w:widowControl w:val="0"/>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noProof/>
          <w:kern w:val="0"/>
          <w:sz w:val="24"/>
          <w:szCs w:val="24"/>
          <w:lang w:val="uk-UA" w:eastAsia="uk-UA"/>
          <w14:ligatures w14:val="none"/>
        </w:rPr>
        <w:drawing>
          <wp:inline distT="0" distB="0" distL="0" distR="0" wp14:anchorId="25E48820" wp14:editId="0A908669">
            <wp:extent cx="5760085" cy="2965837"/>
            <wp:effectExtent l="0" t="0" r="0" b="6350"/>
            <wp:docPr id="812111668" name="Рисунок 81211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4009" cy="2967857"/>
                    </a:xfrm>
                    <a:prstGeom prst="rect">
                      <a:avLst/>
                    </a:prstGeom>
                    <a:noFill/>
                    <a:ln>
                      <a:noFill/>
                    </a:ln>
                  </pic:spPr>
                </pic:pic>
              </a:graphicData>
            </a:graphic>
          </wp:inline>
        </w:drawing>
      </w:r>
    </w:p>
    <w:p w14:paraId="090D8940"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kern w:val="0"/>
          <w:sz w:val="28"/>
          <w:szCs w:val="28"/>
          <w:lang w:val="uk-UA" w:eastAsia="ru-RU"/>
          <w14:ligatures w14:val="none"/>
        </w:rPr>
        <w:t>Fig. 4. Temporal co-occurrence map of the target dataset. VOSviewer, overlay visualization (scale 2016–2022).</w:t>
      </w:r>
    </w:p>
    <w:p w14:paraId="6757181E"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p>
    <w:p w14:paraId="1C559DB1" w14:textId="77777777" w:rsidR="004C5E80" w:rsidRPr="003B5892" w:rsidRDefault="004C5E80" w:rsidP="004C5E80">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 xml:space="preserve">The teal cluster (virtual reality, game-based learning) corresponds to </w:t>
      </w:r>
      <w:r w:rsidRPr="003B5892">
        <w:rPr>
          <w:rFonts w:ascii="Times New Roman" w:eastAsia="Times New Roman" w:hAnsi="Times New Roman" w:cs="Times New Roman"/>
          <w:kern w:val="0"/>
          <w:sz w:val="28"/>
          <w:szCs w:val="28"/>
          <w:lang w:eastAsia="ru-RU"/>
          <w14:ligatures w14:val="none"/>
        </w:rPr>
        <w:lastRenderedPageBreak/>
        <w:t>subcategory UA-1227 "Modelling and Simulation" of the NATO C3 Taxonomy (ETEE) [16] — one of four official subcategories showing a "critical" gap in the higher military educational institutions (HMEIs), according to the content analysis conducted by the authors.</w:t>
      </w:r>
    </w:p>
    <w:p w14:paraId="134515C3"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The oldest nodes (~2016–2017) — training, serious games — are established concepts that took shape before the wargaming renaissance. The middle zone (~2018–2019) — wargaming, military simulation — their activation correlates with the publication of the UK MoD Wargaming Handbook [17] and the growth of NATO institutional attention. The most recent (~2020–2022) — deep reinforcement learning, machine learning, cyber security — register a shift toward AI-enhanced simulations.</w:t>
      </w:r>
    </w:p>
    <w:p w14:paraId="5C608BAA"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kern w:val="0"/>
          <w:sz w:val="28"/>
          <w:szCs w:val="28"/>
          <w:lang w:eastAsia="ru-RU"/>
          <w14:ligatures w14:val="none"/>
        </w:rPr>
        <w:t>The quantitative dynamics confirm the visual pattern: publication activity in the target dataset increased fivefold — from 25 publications per year (average for 2005–2019) to 126 per year (2020–2025), with a peak of 187 publications in 2024 (Table 2). In the contextual dataset, growth is more moderate (from 159 to 226), indicating that it is specifically the wargaming segment that serves as the driver, rather than the broader "gaming" field.</w:t>
      </w:r>
    </w:p>
    <w:p w14:paraId="7EDAF0F0" w14:textId="77777777" w:rsidR="003B5892" w:rsidRPr="003B5892" w:rsidRDefault="003B5892" w:rsidP="00023291">
      <w:pPr>
        <w:widowControl w:val="0"/>
        <w:tabs>
          <w:tab w:val="left" w:pos="9638"/>
        </w:tabs>
        <w:spacing w:after="0" w:line="240" w:lineRule="auto"/>
        <w:ind w:firstLine="567"/>
        <w:jc w:val="right"/>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kern w:val="0"/>
          <w:sz w:val="28"/>
          <w:szCs w:val="28"/>
          <w:lang w:val="uk-UA" w:eastAsia="ru-RU"/>
          <w14:ligatures w14:val="none"/>
        </w:rPr>
        <w:t>Table 1</w:t>
      </w:r>
    </w:p>
    <w:p w14:paraId="305A34E1" w14:textId="77777777" w:rsidR="003B5892" w:rsidRPr="003B5892" w:rsidRDefault="003B5892" w:rsidP="00023291">
      <w:pPr>
        <w:widowControl w:val="0"/>
        <w:tabs>
          <w:tab w:val="left" w:pos="9638"/>
        </w:tabs>
        <w:spacing w:after="0" w:line="240" w:lineRule="auto"/>
        <w:ind w:firstLine="567"/>
        <w:jc w:val="center"/>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kern w:val="0"/>
          <w:sz w:val="28"/>
          <w:szCs w:val="28"/>
          <w:lang w:eastAsia="ru-RU"/>
          <w14:ligatures w14:val="none"/>
        </w:rPr>
        <w:t>Chronological dynamics of publication activity</w:t>
      </w:r>
    </w:p>
    <w:tbl>
      <w:tblPr>
        <w:tblW w:w="96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2830"/>
        <w:gridCol w:w="3368"/>
        <w:gridCol w:w="3456"/>
      </w:tblGrid>
      <w:tr w:rsidR="003B5892" w:rsidRPr="003B5892" w14:paraId="0AAB71F7" w14:textId="77777777" w:rsidTr="00F918EC">
        <w:trPr>
          <w:trHeight w:val="298"/>
          <w:tblHeader/>
        </w:trPr>
        <w:tc>
          <w:tcPr>
            <w:tcW w:w="2830" w:type="dxa"/>
            <w:shd w:val="clear" w:color="auto" w:fill="C6D9F1"/>
            <w:vAlign w:val="center"/>
            <w:hideMark/>
          </w:tcPr>
          <w:p w14:paraId="0FAB61CD" w14:textId="77777777" w:rsidR="003B5892" w:rsidRPr="003B5892" w:rsidRDefault="003B5892" w:rsidP="00023291">
            <w:pPr>
              <w:widowControl w:val="0"/>
              <w:tabs>
                <w:tab w:val="left" w:pos="9638"/>
              </w:tabs>
              <w:spacing w:after="0" w:line="240" w:lineRule="auto"/>
              <w:ind w:left="57"/>
              <w:jc w:val="center"/>
              <w:rPr>
                <w:rFonts w:ascii="Times New Roman" w:eastAsia="Times New Roman" w:hAnsi="Times New Roman" w:cs="Times New Roman"/>
                <w:b/>
                <w:bCs/>
                <w:kern w:val="0"/>
                <w:lang w:val="uk-UA" w:eastAsia="ru-RU"/>
                <w14:ligatures w14:val="none"/>
              </w:rPr>
            </w:pPr>
            <w:r w:rsidRPr="003B5892">
              <w:rPr>
                <w:rFonts w:ascii="Times New Roman" w:eastAsia="Times New Roman" w:hAnsi="Times New Roman" w:cs="Times New Roman"/>
                <w:b/>
                <w:bCs/>
                <w:kern w:val="0"/>
                <w:lang w:val="uk-UA" w:eastAsia="ru-RU"/>
                <w14:ligatures w14:val="none"/>
              </w:rPr>
              <w:t>Indicator</w:t>
            </w:r>
          </w:p>
        </w:tc>
        <w:tc>
          <w:tcPr>
            <w:tcW w:w="3368" w:type="dxa"/>
            <w:shd w:val="clear" w:color="auto" w:fill="C6D9F1"/>
            <w:vAlign w:val="center"/>
            <w:hideMark/>
          </w:tcPr>
          <w:p w14:paraId="3CD3A294" w14:textId="77777777" w:rsidR="003B5892" w:rsidRPr="003B5892" w:rsidRDefault="003B5892" w:rsidP="00023291">
            <w:pPr>
              <w:widowControl w:val="0"/>
              <w:tabs>
                <w:tab w:val="left" w:pos="9638"/>
              </w:tabs>
              <w:spacing w:after="0" w:line="240" w:lineRule="auto"/>
              <w:ind w:left="57"/>
              <w:jc w:val="center"/>
              <w:rPr>
                <w:rFonts w:ascii="Times New Roman" w:eastAsia="Times New Roman" w:hAnsi="Times New Roman" w:cs="Times New Roman"/>
                <w:b/>
                <w:bCs/>
                <w:kern w:val="0"/>
                <w:lang w:val="uk-UA" w:eastAsia="ru-RU"/>
                <w14:ligatures w14:val="none"/>
              </w:rPr>
            </w:pPr>
            <w:r w:rsidRPr="003B5892">
              <w:rPr>
                <w:rFonts w:ascii="Times New Roman" w:eastAsia="Times New Roman" w:hAnsi="Times New Roman" w:cs="Times New Roman"/>
                <w:b/>
                <w:bCs/>
                <w:kern w:val="0"/>
                <w:lang w:val="uk-UA" w:eastAsia="ru-RU"/>
                <w14:ligatures w14:val="none"/>
              </w:rPr>
              <w:t>Contextual dataset (n=3,962)</w:t>
            </w:r>
          </w:p>
        </w:tc>
        <w:tc>
          <w:tcPr>
            <w:tcW w:w="3456" w:type="dxa"/>
            <w:shd w:val="clear" w:color="auto" w:fill="C6D9F1"/>
            <w:vAlign w:val="center"/>
            <w:hideMark/>
          </w:tcPr>
          <w:p w14:paraId="1E10EEF2" w14:textId="77777777" w:rsidR="003B5892" w:rsidRPr="003B5892" w:rsidRDefault="003B5892" w:rsidP="00023291">
            <w:pPr>
              <w:widowControl w:val="0"/>
              <w:tabs>
                <w:tab w:val="left" w:pos="9638"/>
              </w:tabs>
              <w:spacing w:after="0" w:line="240" w:lineRule="auto"/>
              <w:ind w:left="57"/>
              <w:jc w:val="center"/>
              <w:rPr>
                <w:rFonts w:ascii="Times New Roman" w:eastAsia="Times New Roman" w:hAnsi="Times New Roman" w:cs="Times New Roman"/>
                <w:b/>
                <w:bCs/>
                <w:kern w:val="0"/>
                <w:lang w:val="uk-UA" w:eastAsia="ru-RU"/>
                <w14:ligatures w14:val="none"/>
              </w:rPr>
            </w:pPr>
            <w:r w:rsidRPr="003B5892">
              <w:rPr>
                <w:rFonts w:ascii="Times New Roman" w:eastAsia="Times New Roman" w:hAnsi="Times New Roman" w:cs="Times New Roman"/>
                <w:b/>
                <w:bCs/>
                <w:kern w:val="0"/>
                <w:lang w:val="uk-UA" w:eastAsia="ru-RU"/>
                <w14:ligatures w14:val="none"/>
              </w:rPr>
              <w:t>Target dataset (n=1,954)</w:t>
            </w:r>
          </w:p>
        </w:tc>
      </w:tr>
      <w:tr w:rsidR="003B5892" w:rsidRPr="003B5892" w14:paraId="2224EA97" w14:textId="77777777" w:rsidTr="00F918EC">
        <w:tc>
          <w:tcPr>
            <w:tcW w:w="2830" w:type="dxa"/>
            <w:vAlign w:val="center"/>
            <w:hideMark/>
          </w:tcPr>
          <w:p w14:paraId="6E3FBF1C"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Annual average, 2005–2019</w:t>
            </w:r>
          </w:p>
        </w:tc>
        <w:tc>
          <w:tcPr>
            <w:tcW w:w="3368" w:type="dxa"/>
            <w:vAlign w:val="center"/>
            <w:hideMark/>
          </w:tcPr>
          <w:p w14:paraId="1E937FB9" w14:textId="77777777" w:rsidR="003B5892" w:rsidRPr="003B5892" w:rsidRDefault="003B5892" w:rsidP="00023291">
            <w:pPr>
              <w:widowControl w:val="0"/>
              <w:tabs>
                <w:tab w:val="left" w:pos="9638"/>
              </w:tabs>
              <w:spacing w:after="0" w:line="240" w:lineRule="auto"/>
              <w:ind w:left="57"/>
              <w:jc w:val="center"/>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159</w:t>
            </w:r>
          </w:p>
        </w:tc>
        <w:tc>
          <w:tcPr>
            <w:tcW w:w="3456" w:type="dxa"/>
            <w:vAlign w:val="center"/>
            <w:hideMark/>
          </w:tcPr>
          <w:p w14:paraId="1B979B13" w14:textId="77777777" w:rsidR="003B5892" w:rsidRPr="003B5892" w:rsidRDefault="003B5892" w:rsidP="00023291">
            <w:pPr>
              <w:widowControl w:val="0"/>
              <w:tabs>
                <w:tab w:val="left" w:pos="9638"/>
              </w:tabs>
              <w:spacing w:after="0" w:line="240" w:lineRule="auto"/>
              <w:ind w:left="57"/>
              <w:jc w:val="center"/>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25</w:t>
            </w:r>
          </w:p>
        </w:tc>
      </w:tr>
      <w:tr w:rsidR="003B5892" w:rsidRPr="003B5892" w14:paraId="4ADA37CC" w14:textId="77777777" w:rsidTr="00F918EC">
        <w:tc>
          <w:tcPr>
            <w:tcW w:w="2830" w:type="dxa"/>
            <w:vAlign w:val="center"/>
            <w:hideMark/>
          </w:tcPr>
          <w:p w14:paraId="7D486FA7"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Annual average, 2020–2025</w:t>
            </w:r>
          </w:p>
        </w:tc>
        <w:tc>
          <w:tcPr>
            <w:tcW w:w="3368" w:type="dxa"/>
            <w:vAlign w:val="center"/>
            <w:hideMark/>
          </w:tcPr>
          <w:p w14:paraId="5EF060D6" w14:textId="77777777" w:rsidR="003B5892" w:rsidRPr="003B5892" w:rsidRDefault="003B5892" w:rsidP="00023291">
            <w:pPr>
              <w:widowControl w:val="0"/>
              <w:tabs>
                <w:tab w:val="left" w:pos="9638"/>
              </w:tabs>
              <w:spacing w:after="0" w:line="240" w:lineRule="auto"/>
              <w:ind w:left="57"/>
              <w:jc w:val="center"/>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226</w:t>
            </w:r>
          </w:p>
        </w:tc>
        <w:tc>
          <w:tcPr>
            <w:tcW w:w="3456" w:type="dxa"/>
            <w:vAlign w:val="center"/>
            <w:hideMark/>
          </w:tcPr>
          <w:p w14:paraId="46BFE5A8" w14:textId="77777777" w:rsidR="003B5892" w:rsidRPr="003B5892" w:rsidRDefault="003B5892" w:rsidP="00023291">
            <w:pPr>
              <w:widowControl w:val="0"/>
              <w:tabs>
                <w:tab w:val="left" w:pos="9638"/>
              </w:tabs>
              <w:spacing w:after="0" w:line="240" w:lineRule="auto"/>
              <w:ind w:left="57"/>
              <w:jc w:val="center"/>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126</w:t>
            </w:r>
          </w:p>
        </w:tc>
      </w:tr>
      <w:tr w:rsidR="003B5892" w:rsidRPr="003B5892" w14:paraId="55B5CD63" w14:textId="77777777" w:rsidTr="00F918EC">
        <w:tc>
          <w:tcPr>
            <w:tcW w:w="2830" w:type="dxa"/>
            <w:vAlign w:val="center"/>
            <w:hideMark/>
          </w:tcPr>
          <w:p w14:paraId="309B57D0"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Growth</w:t>
            </w:r>
          </w:p>
        </w:tc>
        <w:tc>
          <w:tcPr>
            <w:tcW w:w="3368" w:type="dxa"/>
            <w:vAlign w:val="center"/>
            <w:hideMark/>
          </w:tcPr>
          <w:p w14:paraId="5284A412" w14:textId="77777777" w:rsidR="003B5892" w:rsidRPr="003B5892" w:rsidRDefault="003B5892" w:rsidP="00023291">
            <w:pPr>
              <w:widowControl w:val="0"/>
              <w:tabs>
                <w:tab w:val="left" w:pos="9638"/>
              </w:tabs>
              <w:spacing w:after="0" w:line="240" w:lineRule="auto"/>
              <w:ind w:left="57"/>
              <w:jc w:val="center"/>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×1,4</w:t>
            </w:r>
          </w:p>
        </w:tc>
        <w:tc>
          <w:tcPr>
            <w:tcW w:w="3456" w:type="dxa"/>
            <w:vAlign w:val="center"/>
            <w:hideMark/>
          </w:tcPr>
          <w:p w14:paraId="45973AC1" w14:textId="77777777" w:rsidR="003B5892" w:rsidRPr="003B5892" w:rsidRDefault="003B5892" w:rsidP="00023291">
            <w:pPr>
              <w:widowControl w:val="0"/>
              <w:tabs>
                <w:tab w:val="left" w:pos="9638"/>
              </w:tabs>
              <w:spacing w:after="0" w:line="240" w:lineRule="auto"/>
              <w:ind w:left="57"/>
              <w:jc w:val="center"/>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×5,0</w:t>
            </w:r>
          </w:p>
        </w:tc>
      </w:tr>
      <w:tr w:rsidR="003B5892" w:rsidRPr="003B5892" w14:paraId="759629DF" w14:textId="77777777" w:rsidTr="00F918EC">
        <w:tc>
          <w:tcPr>
            <w:tcW w:w="2830" w:type="dxa"/>
            <w:vAlign w:val="center"/>
            <w:hideMark/>
          </w:tcPr>
          <w:p w14:paraId="3A952F8C" w14:textId="77777777" w:rsidR="003B5892" w:rsidRPr="003B5892" w:rsidRDefault="003B5892" w:rsidP="00023291">
            <w:pPr>
              <w:widowControl w:val="0"/>
              <w:tabs>
                <w:tab w:val="left" w:pos="9638"/>
              </w:tabs>
              <w:spacing w:after="0" w:line="240" w:lineRule="auto"/>
              <w:ind w:left="57"/>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Peak</w:t>
            </w:r>
          </w:p>
        </w:tc>
        <w:tc>
          <w:tcPr>
            <w:tcW w:w="3368" w:type="dxa"/>
            <w:vAlign w:val="center"/>
            <w:hideMark/>
          </w:tcPr>
          <w:p w14:paraId="084DECDF" w14:textId="77777777" w:rsidR="003B5892" w:rsidRPr="003B5892" w:rsidRDefault="003B5892" w:rsidP="00023291">
            <w:pPr>
              <w:widowControl w:val="0"/>
              <w:tabs>
                <w:tab w:val="left" w:pos="9638"/>
              </w:tabs>
              <w:spacing w:after="0" w:line="240" w:lineRule="auto"/>
              <w:ind w:left="57"/>
              <w:jc w:val="center"/>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2024 (274)</w:t>
            </w:r>
          </w:p>
        </w:tc>
        <w:tc>
          <w:tcPr>
            <w:tcW w:w="3456" w:type="dxa"/>
            <w:vAlign w:val="center"/>
            <w:hideMark/>
          </w:tcPr>
          <w:p w14:paraId="3084E6C7" w14:textId="77777777" w:rsidR="003B5892" w:rsidRPr="003B5892" w:rsidRDefault="003B5892" w:rsidP="00023291">
            <w:pPr>
              <w:widowControl w:val="0"/>
              <w:tabs>
                <w:tab w:val="left" w:pos="9638"/>
              </w:tabs>
              <w:spacing w:after="0" w:line="240" w:lineRule="auto"/>
              <w:ind w:left="57"/>
              <w:jc w:val="center"/>
              <w:rPr>
                <w:rFonts w:ascii="Times New Roman" w:eastAsia="Times New Roman" w:hAnsi="Times New Roman" w:cs="Times New Roman"/>
                <w:kern w:val="0"/>
                <w:lang w:val="uk-UA" w:eastAsia="ru-RU"/>
                <w14:ligatures w14:val="none"/>
              </w:rPr>
            </w:pPr>
            <w:r w:rsidRPr="003B5892">
              <w:rPr>
                <w:rFonts w:ascii="Times New Roman" w:eastAsia="Times New Roman" w:hAnsi="Times New Roman" w:cs="Times New Roman"/>
                <w:kern w:val="0"/>
                <w:lang w:val="uk-UA" w:eastAsia="ru-RU"/>
                <w14:ligatures w14:val="none"/>
              </w:rPr>
              <w:t>2024 (187)</w:t>
            </w:r>
          </w:p>
        </w:tc>
      </w:tr>
    </w:tbl>
    <w:p w14:paraId="1CD13817"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lang w:eastAsia="ru-RU"/>
          <w14:ligatures w14:val="none"/>
        </w:rPr>
      </w:pPr>
      <w:r w:rsidRPr="003B5892">
        <w:rPr>
          <w:rFonts w:ascii="Times New Roman" w:eastAsia="Times New Roman" w:hAnsi="Times New Roman" w:cs="Times New Roman"/>
          <w:i/>
          <w:iCs/>
          <w:kern w:val="0"/>
          <w:lang w:val="uk-UA" w:eastAsia="ru-RU"/>
          <w14:ligatures w14:val="none"/>
        </w:rPr>
        <w:t>Source: compiled by the authors based on Scopus data</w:t>
      </w:r>
    </w:p>
    <w:p w14:paraId="2161895F"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p>
    <w:p w14:paraId="35DFD223"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val="uk-UA" w:eastAsia="ru-RU"/>
          <w14:ligatures w14:val="none"/>
        </w:rPr>
        <w:t>The growth correlates with three events of 2022–2023: the publication of the NATO Wargaming Handbook [1], Russia's full-scale invasion of Ukraine, and the emergence of generative AI. The cumulative effect of these events accounts for the exponential character of the dynamics</w:t>
      </w:r>
      <w:r w:rsidRPr="003B5892">
        <w:rPr>
          <w:rFonts w:ascii="Times New Roman" w:eastAsia="Times New Roman" w:hAnsi="Times New Roman" w:cs="Times New Roman"/>
          <w:kern w:val="0"/>
          <w:sz w:val="28"/>
          <w:szCs w:val="28"/>
          <w:lang w:eastAsia="ru-RU"/>
          <w14:ligatures w14:val="none"/>
        </w:rPr>
        <w:t>.</w:t>
      </w:r>
    </w:p>
    <w:p w14:paraId="668D4D46" w14:textId="77777777" w:rsidR="003B5892" w:rsidRPr="003B5892" w:rsidRDefault="003B5892" w:rsidP="00023291">
      <w:pPr>
        <w:widowControl w:val="0"/>
        <w:tabs>
          <w:tab w:val="left" w:pos="9638"/>
        </w:tabs>
        <w:spacing w:after="0" w:line="240" w:lineRule="auto"/>
        <w:ind w:left="567"/>
        <w:contextualSpacing/>
        <w:jc w:val="both"/>
        <w:rPr>
          <w:rFonts w:ascii="Times New Roman" w:eastAsia="Times New Roman" w:hAnsi="Times New Roman" w:cs="Times New Roman"/>
          <w:b/>
          <w:bCs/>
          <w:kern w:val="0"/>
          <w:sz w:val="28"/>
          <w:szCs w:val="28"/>
          <w:lang w:val="uk-UA" w:eastAsia="ru-RU"/>
          <w14:ligatures w14:val="none"/>
        </w:rPr>
      </w:pPr>
      <w:r w:rsidRPr="003B5892">
        <w:rPr>
          <w:rFonts w:ascii="Times New Roman" w:eastAsia="Times New Roman" w:hAnsi="Times New Roman" w:cs="Times New Roman"/>
          <w:b/>
          <w:bCs/>
          <w:kern w:val="0"/>
          <w:sz w:val="28"/>
          <w:szCs w:val="28"/>
          <w:lang w:val="uk-UA" w:eastAsia="ru-RU"/>
          <w14:ligatures w14:val="none"/>
        </w:rPr>
        <w:t xml:space="preserve">3. Geography: the international co-authorship network. </w:t>
      </w:r>
    </w:p>
    <w:p w14:paraId="55DA57FC" w14:textId="77777777" w:rsidR="003B5892" w:rsidRPr="003B5892" w:rsidRDefault="003B5892" w:rsidP="004C5E80">
      <w:pPr>
        <w:widowControl w:val="0"/>
        <w:tabs>
          <w:tab w:val="left" w:pos="9638"/>
        </w:tabs>
        <w:spacing w:after="0" w:line="240" w:lineRule="auto"/>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val="uk-UA" w:eastAsia="ru-RU"/>
          <w14:ligatures w14:val="none"/>
        </w:rPr>
        <w:t>The co-authorship map by country (Fig. 5) reveals a concentration of research in NATO member states and their strategic partners</w:t>
      </w:r>
      <w:r w:rsidRPr="003B5892">
        <w:rPr>
          <w:rFonts w:ascii="Times New Roman" w:eastAsia="Times New Roman" w:hAnsi="Times New Roman" w:cs="Times New Roman"/>
          <w:kern w:val="0"/>
          <w:sz w:val="28"/>
          <w:szCs w:val="28"/>
          <w:lang w:eastAsia="ru-RU"/>
          <w14:ligatures w14:val="none"/>
        </w:rPr>
        <w:t xml:space="preserve">. </w:t>
      </w:r>
    </w:p>
    <w:p w14:paraId="346E4B6B" w14:textId="77777777" w:rsidR="003B5892" w:rsidRPr="003B5892" w:rsidRDefault="003B5892" w:rsidP="00023291">
      <w:pPr>
        <w:widowControl w:val="0"/>
        <w:tabs>
          <w:tab w:val="left" w:pos="9638"/>
        </w:tabs>
        <w:spacing w:after="0" w:line="240" w:lineRule="auto"/>
        <w:jc w:val="center"/>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noProof/>
          <w:kern w:val="0"/>
          <w:sz w:val="24"/>
          <w:szCs w:val="24"/>
          <w:lang w:val="uk-UA" w:eastAsia="uk-UA"/>
          <w14:ligatures w14:val="none"/>
        </w:rPr>
        <w:drawing>
          <wp:inline distT="0" distB="0" distL="0" distR="0" wp14:anchorId="7E55717D" wp14:editId="4B512321">
            <wp:extent cx="3983604" cy="2110156"/>
            <wp:effectExtent l="0" t="0" r="4445" b="0"/>
            <wp:docPr id="175238260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62107" cy="2151740"/>
                    </a:xfrm>
                    <a:prstGeom prst="rect">
                      <a:avLst/>
                    </a:prstGeom>
                    <a:noFill/>
                    <a:ln>
                      <a:noFill/>
                    </a:ln>
                  </pic:spPr>
                </pic:pic>
              </a:graphicData>
            </a:graphic>
          </wp:inline>
        </w:drawing>
      </w:r>
    </w:p>
    <w:p w14:paraId="06501ECB"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kern w:val="0"/>
          <w:sz w:val="28"/>
          <w:szCs w:val="28"/>
          <w:lang w:val="uk-UA" w:eastAsia="ru-RU"/>
          <w14:ligatures w14:val="none"/>
        </w:rPr>
        <w:t>Fig. 5. Country-level co-authorship map, target Scopus dataset (n=1,954) VOSviewer, threshold — 3 documents. Ukraine is absent.</w:t>
      </w:r>
    </w:p>
    <w:p w14:paraId="4AB9F9D5"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p>
    <w:p w14:paraId="5BB24109"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The United States dominates as the largest node by publication count and strength of international ties, with concentration at the Naval War College, RAND, CGSC, and JHU APL. China is the second largest, reflecting substantial investment in military modelling. Among European states, the United Kingdom (King's College London, Cranfield, DCDC), Germany, Sweden, and Finland stand out — all with well-established wargaming traditions in PME.</w:t>
      </w:r>
    </w:p>
    <w:p w14:paraId="6075DC3F"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The temporal version adds a chronological dimension: the United States and the United Kingdom are the oldest participants (~2016–2017), while Lithuania, Estonia, and Türkiye joined more recently (~2020–2022). The appearance of the Baltic states signals growing research interest among NATO members that face a direct security threat. Finland, which shares a comparable security context (border with Russia, NATO accession in 2023), is present on the map owing to the systematic integration of simulations into Defence Forces training [15].</w:t>
      </w:r>
    </w:p>
    <w:p w14:paraId="248F3EE5"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Ukraine is absent from the map — no Ukrainian affiliation reached the entry threshold (3 documents). This academic isolation is not coincidental: according to the content analysis conducted by the authors, the PME system does not employ wargaming, and consequently generates neither practice nor research. The longer the system remains outside the research process, the wider not only the institutional but also the intellectual gap becomes: the NATO PME community is shaping new concepts, standards, and practices in whose development Ukraine takes no part.</w:t>
      </w:r>
    </w:p>
    <w:p w14:paraId="266CA126" w14:textId="77777777" w:rsidR="003B5892" w:rsidRPr="003B5892" w:rsidRDefault="003B5892" w:rsidP="00023291">
      <w:pPr>
        <w:widowControl w:val="0"/>
        <w:tabs>
          <w:tab w:val="left" w:pos="9638"/>
        </w:tabs>
        <w:spacing w:after="0" w:line="240" w:lineRule="auto"/>
        <w:ind w:left="720" w:hanging="153"/>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b/>
          <w:bCs/>
          <w:kern w:val="0"/>
          <w:sz w:val="28"/>
          <w:szCs w:val="28"/>
          <w:lang w:val="uk-UA" w:eastAsia="ru-RU"/>
          <w14:ligatures w14:val="none"/>
        </w:rPr>
        <w:t>4. Implications for Ukraine's PME system</w:t>
      </w:r>
      <w:r w:rsidRPr="003B5892">
        <w:rPr>
          <w:rFonts w:ascii="Times New Roman" w:eastAsia="Times New Roman" w:hAnsi="Times New Roman" w:cs="Times New Roman"/>
          <w:b/>
          <w:bCs/>
          <w:kern w:val="0"/>
          <w:sz w:val="28"/>
          <w:szCs w:val="28"/>
          <w:lang w:eastAsia="ru-RU"/>
          <w14:ligatures w14:val="none"/>
        </w:rPr>
        <w:t>.</w:t>
      </w:r>
      <w:r w:rsidRPr="003B5892">
        <w:rPr>
          <w:rFonts w:ascii="Times New Roman" w:eastAsia="Times New Roman" w:hAnsi="Times New Roman" w:cs="Times New Roman"/>
          <w:kern w:val="0"/>
          <w:sz w:val="28"/>
          <w:szCs w:val="28"/>
          <w:lang w:eastAsia="ru-RU"/>
          <w14:ligatures w14:val="none"/>
        </w:rPr>
        <w:t xml:space="preserve"> </w:t>
      </w:r>
    </w:p>
    <w:p w14:paraId="306EECFF"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3B5892">
        <w:rPr>
          <w:rFonts w:ascii="Times New Roman" w:eastAsia="Times New Roman" w:hAnsi="Times New Roman" w:cs="Times New Roman"/>
          <w:kern w:val="0"/>
          <w:sz w:val="28"/>
          <w:szCs w:val="28"/>
          <w:lang w:val="uk-UA" w:eastAsia="ru-RU"/>
          <w14:ligatures w14:val="none"/>
        </w:rPr>
        <w:t>The bibliometric analysis reveals five structural characteristics of the research field, each carrying implications for the PME system</w:t>
      </w:r>
      <w:r w:rsidRPr="003B5892">
        <w:rPr>
          <w:rFonts w:ascii="Times New Roman" w:eastAsia="Times New Roman" w:hAnsi="Times New Roman" w:cs="Times New Roman"/>
          <w:kern w:val="0"/>
          <w:sz w:val="28"/>
          <w:szCs w:val="28"/>
          <w:lang w:eastAsia="ru-RU"/>
          <w14:ligatures w14:val="none"/>
        </w:rPr>
        <w:t>.</w:t>
      </w:r>
    </w:p>
    <w:p w14:paraId="2A86C356"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Wargaming is an autonomous domain, not a subset of serious games. After filtering, wargaming forms a separate cluster with military simulation, spatially distinct from serious games (Fig. 3). For the PME system, this means that introducing serious games (gamification, game-based learning) does not substitute for introducing wargaming — these are different instruments with different pedagogical architectures, different facilitators, and different learning outcomes. The NATO Wargaming Handbook [1] identifies three constitutive elements of wargaming (player decisions, friction, adjudication) that are absent from typical serious games.</w:t>
      </w:r>
    </w:p>
    <w:p w14:paraId="0F0085C6"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The convergence of AI and wargaming creates a leapfrogging window. The close connection between clusters 2 and 3 (Fig. 3) and the shift of the most recent nodes toward AI methods (Fig. 4) indicate that AI-enhanced wargaming is not a forecast but a current research front. For HMEIs where wargaming has not yet been operationalized (according to the authors' content analysis), this opens the possibility of anticipatory adoption. Wargaming can be integrated with AI support from the outset, bypassing the stage of costly legacy systems. The Finnish edge AI model wargaming with AI support from the outset, bypassing the stage of costly legacy systems. The Finnish edge AI model [15] demonstrates the technical feasibility of autonomous AI support even under conditions of limited connectivity — conditions directly relevant to the Ukrainian Armed Forces.</w:t>
      </w:r>
    </w:p>
    <w:p w14:paraId="2218B401"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 xml:space="preserve">The Baltic states demonstrate the speed of entry. The appearance of Lithuania </w:t>
      </w:r>
      <w:r w:rsidRPr="003B5892">
        <w:rPr>
          <w:rFonts w:ascii="Times New Roman" w:eastAsia="Times New Roman" w:hAnsi="Times New Roman" w:cs="Times New Roman"/>
          <w:kern w:val="0"/>
          <w:sz w:val="28"/>
          <w:szCs w:val="28"/>
          <w:lang w:eastAsia="ru-RU"/>
          <w14:ligatures w14:val="none"/>
        </w:rPr>
        <w:lastRenderedPageBreak/>
        <w:t>and Estonia on the co-authorship map (~2020–2022, Fig. 5) shows that a small state is capable of entering the wargaming research space within a few years. Toci [19] described the experience of the Baltic Defence College, where wargaming is conducted for officers from all three Baltic states. For Ukraine, which has a considerably larger PME system and unprecedented combat experience, absence from the map is not an objective constraint but a consequence of an institutional vacuum.</w:t>
      </w:r>
    </w:p>
    <w:p w14:paraId="28BE513F"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The combat experience of the Ukrainian Armed Forces is an untapped resource. The node "Ukraine" is present in the geopolitical cluster of the contextual dataset (Fig. 1), but as an object of other countries' research rather than as a subject. The international community — the U.S. Marine Corps University, RAND, WIN conferences — draws on Ukrainian combat experience for wargaming scenarios more actively than Ukraine's own PME system does. Transforming this experience into wargaming scenarios is not merely an educational task: structured scenarios of contemporary combat are of value to the NATO PME community and can serve as the basis for joint publications — a mechanism for entering the Scopus map.</w:t>
      </w:r>
    </w:p>
    <w:p w14:paraId="283FB149"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Three recommendations. Based on the identified structural characteristics, three recommendations for the PME system are formulated. First, include wargaming in PME course catalogues by order of the Ministry of Defence of Ukraine, specifying methodology, facilitator qualification requirements, and the requirement for structured debriefing. Without regulatory codification, wargaming will remain an initiative of individual instructors — a risk identified by RAND Europe [6] as the principal threat to the sustainability of wargaming programmes. Second, prepare a cohort of 10–15 wargaming facilitators through the DEEP programme or NSO courses, with subsequent scaling via a train-the-trainer model. A three-level integration framework (tabletop wargaming → CAX → AI-assisted) is described in detail by the authors in a separate study. Third, launch joint research projects with wargaming centres in NATO member states (King's College London Wargaming Network, NATO M&amp;S Centre of Excellence) and publish in specialized journals (Journal of Defense Modeling and Simulation, Scandinavian Journal of Military Studies) — this constitutes the sole mechanism for Ukraine's entry onto the international co-authorship map (Fig. 5).</w:t>
      </w:r>
    </w:p>
    <w:p w14:paraId="2E80F75E" w14:textId="77777777" w:rsidR="003B5892" w:rsidRPr="003B5892" w:rsidRDefault="003B5892" w:rsidP="00023291">
      <w:pPr>
        <w:widowControl w:val="0"/>
        <w:tabs>
          <w:tab w:val="left" w:pos="9638"/>
        </w:tabs>
        <w:spacing w:after="0" w:line="240" w:lineRule="auto"/>
        <w:ind w:firstLine="567"/>
        <w:jc w:val="both"/>
        <w:rPr>
          <w:rFonts w:ascii="Times New Roman" w:eastAsia="Calibri" w:hAnsi="Times New Roman" w:cs="Times New Roman"/>
          <w:bCs/>
          <w:kern w:val="0"/>
          <w:sz w:val="28"/>
          <w:szCs w:val="28"/>
          <w14:ligatures w14:val="none"/>
        </w:rPr>
      </w:pPr>
      <w:r w:rsidRPr="003B5892">
        <w:rPr>
          <w:rFonts w:ascii="Times New Roman" w:eastAsia="Calibri" w:hAnsi="Times New Roman" w:cs="Times New Roman"/>
          <w:b/>
          <w:kern w:val="0"/>
          <w:sz w:val="28"/>
          <w:szCs w:val="28"/>
          <w14:ligatures w14:val="none"/>
        </w:rPr>
        <w:t>Conclusions.</w:t>
      </w:r>
      <w:r w:rsidRPr="003B5892">
        <w:rPr>
          <w:rFonts w:ascii="Times New Roman" w:eastAsia="Calibri" w:hAnsi="Times New Roman" w:cs="Times New Roman"/>
          <w:bCs/>
          <w:kern w:val="0"/>
          <w:sz w:val="28"/>
          <w:szCs w:val="28"/>
          <w14:ligatures w14:val="none"/>
        </w:rPr>
        <w:t xml:space="preserve"> A bibliometric analysis of two Scopus datasets (contextual n=3,962, target n=1,954) with VOSviewer visualization revealed five structural characteristics of the global wargaming research field in military education. Mathematical game theory dominates the broad dataset quantitatively (233 occurrences versus wargaming — 27), necessitating two-stage filtering for a correct analysis of the wargaming discourse. After filtering, wargaming forms an autonomous cluster with military simulation (123 occurrences combined), spatially separated from serious games — confirming its status as a distinct PME instrument that requires its own implementation strategy. The convergence of AI methods and wargaming at the research front (Figs. 3–4) corresponds to practical developments at NATO PME institutions (GenWar Lab, CGSC Vantage, the Finnish edge AI model) and creates a leapfrogging window for states starting from scratch. Publication </w:t>
      </w:r>
      <w:r w:rsidRPr="003B5892">
        <w:rPr>
          <w:rFonts w:ascii="Times New Roman" w:eastAsia="Calibri" w:hAnsi="Times New Roman" w:cs="Times New Roman"/>
          <w:bCs/>
          <w:kern w:val="0"/>
          <w:sz w:val="28"/>
          <w:szCs w:val="28"/>
          <w14:ligatures w14:val="none"/>
        </w:rPr>
        <w:lastRenderedPageBreak/>
        <w:t>activity increased fivefold after 2020 (from 25 to 126 publications per year), signalling the transition of wargaming from a niche practice to the mainstream of NATO PME. Ukraine is absent from the international co-authorship map (Fig. 5) — no Ukrainian affiliation reached the threshold of 3 documents. This academic isolation corresponds with an institutional one: wargaming terminology is present in 8 of 79 regulatory acts (10%) but operationalized in none; PME course catalogues (over 13,000 entries) contain no course with a wargaming component. Bridging the gap requires simultaneous action in three directions: regulatory codification of wargaming in course catalogues, facilitator training through NATO programmes, and joint research projects as the mechanism for entering the Scopus map.</w:t>
      </w:r>
    </w:p>
    <w:p w14:paraId="249E8D51"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The scientific novelty of this study lies in two contributions. It is the first bibliometric analysis of wargaming in the PME context that employs two-stage filtering to separate wargaming discourse from the broader "military games" field dominated by mathematical game theory. It also provides the first empirical evidence of Ukraine’s absence from the international wargaming research network, corroborated by a parallel content analysis of national regulatory acts.</w:t>
      </w:r>
    </w:p>
    <w:p w14:paraId="71A030CB" w14:textId="77777777" w:rsidR="003B5892" w:rsidRPr="003B5892" w:rsidRDefault="003B5892"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eastAsia="ru-RU"/>
          <w14:ligatures w14:val="none"/>
        </w:rPr>
      </w:pPr>
      <w:r w:rsidRPr="003B5892">
        <w:rPr>
          <w:rFonts w:ascii="Times New Roman" w:eastAsia="Times New Roman" w:hAnsi="Times New Roman" w:cs="Times New Roman"/>
          <w:kern w:val="0"/>
          <w:sz w:val="28"/>
          <w:szCs w:val="28"/>
          <w:lang w:eastAsia="ru-RU"/>
          <w14:ligatures w14:val="none"/>
        </w:rPr>
        <w:t>Several limitations should be noted. The analysis relies on a single database (Scopus); departmental publications and restricted military reports, which may contain relevant wargaming research, are not captured. The co-occurrence method maps the field through author-assigned keywords, which may not fully reflect the substantive content of publications. The co-authorship map measures formal collaboration at the publication level and does not account for informal knowledge exchange through conferences, exercises, or bilateral programmes.</w:t>
      </w:r>
    </w:p>
    <w:p w14:paraId="297CC9D1" w14:textId="77777777" w:rsidR="003B5892" w:rsidRPr="003B5892" w:rsidRDefault="003B5892" w:rsidP="00023291">
      <w:pPr>
        <w:widowControl w:val="0"/>
        <w:tabs>
          <w:tab w:val="left" w:pos="9638"/>
        </w:tabs>
        <w:spacing w:after="0" w:line="240" w:lineRule="auto"/>
        <w:ind w:firstLine="567"/>
        <w:jc w:val="both"/>
        <w:rPr>
          <w:rFonts w:ascii="Times New Roman" w:eastAsia="Calibri" w:hAnsi="Times New Roman" w:cs="Times New Roman"/>
          <w:bCs/>
          <w:kern w:val="0"/>
          <w:sz w:val="28"/>
          <w:szCs w:val="28"/>
          <w:lang w:val="uk-UA"/>
          <w14:ligatures w14:val="none"/>
        </w:rPr>
      </w:pPr>
      <w:r w:rsidRPr="003B5892">
        <w:rPr>
          <w:rFonts w:ascii="Times New Roman" w:eastAsia="Calibri" w:hAnsi="Times New Roman" w:cs="Times New Roman"/>
          <w:bCs/>
          <w:kern w:val="0"/>
          <w:sz w:val="28"/>
          <w:szCs w:val="28"/>
          <w14:ligatures w14:val="none"/>
        </w:rPr>
        <w:t>Directions for further research. Extending the bibliometric analysis to include Web of Science and restricted military publications would allow verification of the identified structural characteristics. Pilot implementation of wargaming at two HMEIs of different profiles would provide an empirical basis for assessing the learning effect in the Ukrainian context. Research into the effectiveness of LLM-adjudication in the free Kriegsspiel format under wartime information security constraints would determine the feasibility of transitioning to AI-assisted wargaming.</w:t>
      </w:r>
    </w:p>
    <w:p w14:paraId="33572A52" w14:textId="77777777" w:rsidR="003B5892" w:rsidRPr="003B5892" w:rsidRDefault="003B5892" w:rsidP="00023291">
      <w:pPr>
        <w:tabs>
          <w:tab w:val="left" w:pos="9638"/>
        </w:tabs>
        <w:spacing w:after="120" w:line="240" w:lineRule="auto"/>
        <w:rPr>
          <w:rFonts w:ascii="Times New Roman" w:eastAsia="Times New Roman" w:hAnsi="Times New Roman" w:cs="Times New Roman"/>
          <w:kern w:val="0"/>
          <w:sz w:val="24"/>
          <w:szCs w:val="24"/>
          <w:lang w:val="uk-UA"/>
          <w14:ligatures w14:val="none"/>
        </w:rPr>
      </w:pPr>
    </w:p>
    <w:p w14:paraId="31FF6C00" w14:textId="77777777" w:rsidR="003B5892" w:rsidRPr="003B5892" w:rsidRDefault="003B5892" w:rsidP="004C5E80">
      <w:pPr>
        <w:tabs>
          <w:tab w:val="left" w:pos="2552"/>
          <w:tab w:val="left" w:pos="9638"/>
        </w:tabs>
        <w:spacing w:after="0" w:line="240" w:lineRule="auto"/>
        <w:jc w:val="center"/>
        <w:rPr>
          <w:rFonts w:ascii="Times New Roman" w:eastAsia="Times New Roman" w:hAnsi="Times New Roman" w:cs="Times New Roman"/>
          <w:b/>
          <w:kern w:val="0"/>
          <w:sz w:val="24"/>
          <w:szCs w:val="24"/>
          <w:lang w:val="uk-UA"/>
          <w14:ligatures w14:val="none"/>
        </w:rPr>
      </w:pPr>
      <w:r w:rsidRPr="003B5892">
        <w:rPr>
          <w:rFonts w:ascii="Times New Roman" w:eastAsia="Times New Roman" w:hAnsi="Times New Roman" w:cs="Times New Roman"/>
          <w:b/>
          <w:kern w:val="0"/>
          <w:sz w:val="24"/>
          <w:szCs w:val="24"/>
          <w:lang w:val="uk-UA"/>
          <w14:ligatures w14:val="none"/>
        </w:rPr>
        <w:t>REFERENCES</w:t>
      </w:r>
    </w:p>
    <w:p w14:paraId="2EDEF82B" w14:textId="77777777" w:rsidR="003B5892" w:rsidRPr="003B5892" w:rsidRDefault="003B5892" w:rsidP="00D0575C">
      <w:pPr>
        <w:numPr>
          <w:ilvl w:val="0"/>
          <w:numId w:val="22"/>
        </w:numPr>
        <w:spacing w:after="0" w:line="240" w:lineRule="auto"/>
        <w:ind w:left="0" w:firstLine="709"/>
        <w:jc w:val="both"/>
        <w:rPr>
          <w:rFonts w:ascii="Times New Roman" w:eastAsia="Times New Roman" w:hAnsi="Times New Roman" w:cs="Times New Roman"/>
          <w:kern w:val="0"/>
          <w:sz w:val="24"/>
          <w:szCs w:val="24"/>
          <w14:ligatures w14:val="none"/>
        </w:rPr>
      </w:pPr>
      <w:r w:rsidRPr="003B5892">
        <w:rPr>
          <w:rFonts w:ascii="Times New Roman" w:eastAsia="Times New Roman" w:hAnsi="Times New Roman" w:cs="Times New Roman"/>
          <w:kern w:val="0"/>
          <w:sz w:val="24"/>
          <w:szCs w:val="24"/>
          <w14:ligatures w14:val="none"/>
        </w:rPr>
        <w:t xml:space="preserve">NATO Wargaming Handbook / Headquarters Supreme Allied Commander Transformation. NATO, 2023. 64 p. URL: </w:t>
      </w:r>
      <w:hyperlink r:id="rId28" w:history="1">
        <w:r w:rsidRPr="003B5892">
          <w:rPr>
            <w:rFonts w:ascii="Times New Roman" w:eastAsia="Times New Roman" w:hAnsi="Times New Roman" w:cs="Times New Roman"/>
            <w:color w:val="0000CC"/>
            <w:kern w:val="0"/>
            <w:sz w:val="24"/>
            <w:szCs w:val="24"/>
            <w:u w:val="single"/>
            <w14:ligatures w14:val="none"/>
          </w:rPr>
          <w:t>https://paxsims.wordpress.com/wp-content/uploads/2023/09/nato-wargaming-handbook-202309.pdf</w:t>
        </w:r>
      </w:hyperlink>
      <w:r w:rsidRPr="003B5892">
        <w:rPr>
          <w:rFonts w:ascii="Times New Roman" w:eastAsia="Times New Roman" w:hAnsi="Times New Roman" w:cs="Times New Roman"/>
          <w:kern w:val="0"/>
          <w:sz w:val="24"/>
          <w:szCs w:val="24"/>
          <w14:ligatures w14:val="none"/>
        </w:rPr>
        <w:t xml:space="preserve"> (accessed: 15.03.2026).</w:t>
      </w:r>
    </w:p>
    <w:p w14:paraId="3AE35DFE"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14:ligatures w14:val="none"/>
        </w:rPr>
      </w:pPr>
      <w:r w:rsidRPr="003B5892">
        <w:rPr>
          <w:rFonts w:ascii="Times New Roman" w:eastAsia="Times New Roman" w:hAnsi="Times New Roman" w:cs="Times New Roman"/>
          <w:kern w:val="0"/>
          <w:sz w:val="24"/>
          <w:szCs w:val="24"/>
          <w14:ligatures w14:val="none"/>
        </w:rPr>
        <w:t xml:space="preserve">Perla, P. P. The Art of Wargaming: A Guide for Professionals and Hobbyists. 1990. URL: </w:t>
      </w:r>
      <w:hyperlink r:id="rId29" w:history="1">
        <w:r w:rsidRPr="003B5892">
          <w:rPr>
            <w:rFonts w:ascii="Times New Roman" w:eastAsia="Times New Roman" w:hAnsi="Times New Roman" w:cs="Times New Roman"/>
            <w:color w:val="0000CC"/>
            <w:kern w:val="0"/>
            <w:sz w:val="24"/>
            <w:szCs w:val="24"/>
            <w:u w:val="single"/>
            <w14:ligatures w14:val="none"/>
          </w:rPr>
          <w:t>https://www.semanticscholar.org/paper/The-Art-of-Wargaming%3A-A-Guide-for-Professionals-and-Perla/f9856747da2bb06c7d25aae20af3e744aede69db</w:t>
        </w:r>
      </w:hyperlink>
      <w:r w:rsidRPr="003B5892">
        <w:rPr>
          <w:rFonts w:ascii="Times New Roman" w:eastAsia="Times New Roman" w:hAnsi="Times New Roman" w:cs="Times New Roman"/>
          <w:kern w:val="0"/>
          <w:sz w:val="24"/>
          <w:szCs w:val="24"/>
          <w14:ligatures w14:val="none"/>
        </w:rPr>
        <w:t xml:space="preserve"> (accessed: 15.03.2026).</w:t>
      </w:r>
    </w:p>
    <w:p w14:paraId="3F99A0FB"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14:ligatures w14:val="none"/>
        </w:rPr>
      </w:pPr>
      <w:r w:rsidRPr="003B5892">
        <w:rPr>
          <w:rFonts w:ascii="Times New Roman" w:eastAsia="Times New Roman" w:hAnsi="Times New Roman" w:cs="Times New Roman"/>
          <w:kern w:val="0"/>
          <w:sz w:val="24"/>
          <w:szCs w:val="24"/>
          <w14:ligatures w14:val="none"/>
        </w:rPr>
        <w:t xml:space="preserve">Thieme, D. J., Appleget, J., Burks, R., &amp; Cameron, F. The Craft of Wargaming: A Detailed Planning Guide for Defense Planners and Analysts. </w:t>
      </w:r>
      <w:r w:rsidRPr="003B5892">
        <w:rPr>
          <w:rFonts w:ascii="Times New Roman" w:eastAsia="Times New Roman" w:hAnsi="Times New Roman" w:cs="Times New Roman"/>
          <w:i/>
          <w:iCs/>
          <w:kern w:val="0"/>
          <w:sz w:val="24"/>
          <w:szCs w:val="24"/>
          <w14:ligatures w14:val="none"/>
        </w:rPr>
        <w:t>Naval War College Review</w:t>
      </w:r>
      <w:r w:rsidRPr="003B5892">
        <w:rPr>
          <w:rFonts w:ascii="Times New Roman" w:eastAsia="Times New Roman" w:hAnsi="Times New Roman" w:cs="Times New Roman"/>
          <w:kern w:val="0"/>
          <w:sz w:val="24"/>
          <w:szCs w:val="24"/>
          <w14:ligatures w14:val="none"/>
        </w:rPr>
        <w:t xml:space="preserve">, 2022, vol. 75, no. 1, article 14. URL: </w:t>
      </w:r>
      <w:hyperlink r:id="rId30" w:history="1">
        <w:r w:rsidRPr="003B5892">
          <w:rPr>
            <w:rFonts w:ascii="Times New Roman" w:eastAsia="Times New Roman" w:hAnsi="Times New Roman" w:cs="Times New Roman"/>
            <w:color w:val="0000CC"/>
            <w:kern w:val="0"/>
            <w:sz w:val="24"/>
            <w:szCs w:val="24"/>
            <w:u w:val="single"/>
            <w14:ligatures w14:val="none"/>
          </w:rPr>
          <w:t>https://digital-commons.usnwc.edu/nwc-review/vol75/iss1/14</w:t>
        </w:r>
      </w:hyperlink>
      <w:r w:rsidRPr="003B5892">
        <w:rPr>
          <w:rFonts w:ascii="Times New Roman" w:eastAsia="Times New Roman" w:hAnsi="Times New Roman" w:cs="Times New Roman"/>
          <w:kern w:val="0"/>
          <w:sz w:val="24"/>
          <w:szCs w:val="24"/>
          <w14:ligatures w14:val="none"/>
        </w:rPr>
        <w:t xml:space="preserve"> (accessed: 15.03.2026).</w:t>
      </w:r>
    </w:p>
    <w:p w14:paraId="03C19082"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4"/>
          <w:szCs w:val="24"/>
          <w14:ligatures w14:val="none"/>
        </w:rPr>
        <w:t xml:space="preserve">Curry, J. Professional wargaming: A flawed but useful tool. </w:t>
      </w:r>
      <w:r w:rsidRPr="003B5892">
        <w:rPr>
          <w:rFonts w:ascii="Times New Roman" w:eastAsia="Times New Roman" w:hAnsi="Times New Roman" w:cs="Times New Roman"/>
          <w:i/>
          <w:iCs/>
          <w:kern w:val="0"/>
          <w:sz w:val="24"/>
          <w:szCs w:val="24"/>
          <w14:ligatures w14:val="none"/>
        </w:rPr>
        <w:t>Simulation &amp; Gaming</w:t>
      </w:r>
      <w:r w:rsidRPr="003B5892">
        <w:rPr>
          <w:rFonts w:ascii="Times New Roman" w:eastAsia="Times New Roman" w:hAnsi="Times New Roman" w:cs="Times New Roman"/>
          <w:kern w:val="0"/>
          <w:sz w:val="24"/>
          <w:szCs w:val="24"/>
          <w14:ligatures w14:val="none"/>
        </w:rPr>
        <w:t xml:space="preserve">, 2020, vol. 51, no. 5, pp. 612–631. </w:t>
      </w:r>
      <w:r w:rsidRPr="003B5892">
        <w:rPr>
          <w:rFonts w:ascii="Times New Roman" w:eastAsia="Times New Roman" w:hAnsi="Times New Roman" w:cs="Times New Roman"/>
          <w:kern w:val="0"/>
          <w:sz w:val="24"/>
          <w:szCs w:val="24"/>
          <w:lang w:val="uk-UA"/>
          <w14:ligatures w14:val="none"/>
        </w:rPr>
        <w:t>DOI: 10.1177/1046878120901852.</w:t>
      </w:r>
    </w:p>
    <w:p w14:paraId="33D17E1B"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4"/>
          <w:szCs w:val="24"/>
          <w14:ligatures w14:val="none"/>
        </w:rPr>
        <w:lastRenderedPageBreak/>
        <w:t xml:space="preserve">Defense Analysis: Additional Actions Could Enhance DOD's Wargaming Efforts. GAO-23-105351. Published: Apr 24, 2023 / U.S. Government Accountability Office. Washington: GAO, 2023. </w:t>
      </w:r>
      <w:r w:rsidRPr="003B5892">
        <w:rPr>
          <w:rFonts w:ascii="Times New Roman" w:eastAsia="Times New Roman" w:hAnsi="Times New Roman" w:cs="Times New Roman"/>
          <w:kern w:val="0"/>
          <w:sz w:val="24"/>
          <w:szCs w:val="24"/>
          <w:lang w:val="uk-UA"/>
          <w14:ligatures w14:val="none"/>
        </w:rPr>
        <w:t xml:space="preserve">URL: </w:t>
      </w:r>
      <w:hyperlink r:id="rId31" w:history="1">
        <w:r w:rsidRPr="003B5892">
          <w:rPr>
            <w:rFonts w:ascii="Times New Roman" w:eastAsia="Times New Roman" w:hAnsi="Times New Roman" w:cs="Times New Roman"/>
            <w:color w:val="0000CC"/>
            <w:kern w:val="0"/>
            <w:sz w:val="24"/>
            <w:szCs w:val="24"/>
            <w:u w:val="single"/>
            <w:lang w:val="uk-UA"/>
            <w14:ligatures w14:val="none"/>
          </w:rPr>
          <w:t>https://www.gao.gov/products/gao-23-105351</w:t>
        </w:r>
      </w:hyperlink>
      <w:r w:rsidRPr="003B5892">
        <w:rPr>
          <w:rFonts w:ascii="Times New Roman" w:eastAsia="Times New Roman" w:hAnsi="Times New Roman" w:cs="Times New Roman"/>
          <w:kern w:val="0"/>
          <w:sz w:val="24"/>
          <w:szCs w:val="24"/>
          <w:lang w:val="uk-UA"/>
          <w14:ligatures w14:val="none"/>
        </w:rPr>
        <w:t xml:space="preserve"> (accessed: 15.03.2026).</w:t>
      </w:r>
    </w:p>
    <w:p w14:paraId="06DF921A"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14:ligatures w14:val="none"/>
        </w:rPr>
      </w:pPr>
      <w:r w:rsidRPr="003B5892">
        <w:rPr>
          <w:rFonts w:ascii="Times New Roman" w:eastAsia="Times New Roman" w:hAnsi="Times New Roman" w:cs="Times New Roman"/>
          <w:kern w:val="0"/>
          <w:sz w:val="24"/>
          <w:szCs w:val="24"/>
          <w14:ligatures w14:val="none"/>
        </w:rPr>
        <w:t xml:space="preserve">Bojor, L. Game-based learning in modern military education: Digital wargaming as a tool for tactical training. </w:t>
      </w:r>
      <w:r w:rsidRPr="003B5892">
        <w:rPr>
          <w:rFonts w:ascii="Times New Roman" w:eastAsia="Times New Roman" w:hAnsi="Times New Roman" w:cs="Times New Roman"/>
          <w:i/>
          <w:iCs/>
          <w:kern w:val="0"/>
          <w:sz w:val="24"/>
          <w:szCs w:val="24"/>
          <w14:ligatures w14:val="none"/>
        </w:rPr>
        <w:t>International Conference Knowledge-Based Organization</w:t>
      </w:r>
      <w:r w:rsidRPr="003B5892">
        <w:rPr>
          <w:rFonts w:ascii="Times New Roman" w:eastAsia="Times New Roman" w:hAnsi="Times New Roman" w:cs="Times New Roman"/>
          <w:kern w:val="0"/>
          <w:sz w:val="24"/>
          <w:szCs w:val="24"/>
          <w14:ligatures w14:val="none"/>
        </w:rPr>
        <w:t>, 2024, vol. 30, no. 2, pp. 1–7. DOI: 10.2478/kbo-2024-0060.</w:t>
      </w:r>
    </w:p>
    <w:p w14:paraId="49F49D14"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4"/>
          <w:szCs w:val="24"/>
          <w14:ligatures w14:val="none"/>
        </w:rPr>
        <w:t xml:space="preserve">Davis, P. K., &amp; Bracken, P. Artificial intelligence for wargaming and modeling. </w:t>
      </w:r>
      <w:r w:rsidRPr="003B5892">
        <w:rPr>
          <w:rFonts w:ascii="Times New Roman" w:eastAsia="Times New Roman" w:hAnsi="Times New Roman" w:cs="Times New Roman"/>
          <w:i/>
          <w:iCs/>
          <w:kern w:val="0"/>
          <w:sz w:val="24"/>
          <w:szCs w:val="24"/>
          <w14:ligatures w14:val="none"/>
        </w:rPr>
        <w:t>Journal of Defense Modeling and Simulation: Applications, Methodology, Technology</w:t>
      </w:r>
      <w:r w:rsidRPr="003B5892">
        <w:rPr>
          <w:rFonts w:ascii="Times New Roman" w:eastAsia="Times New Roman" w:hAnsi="Times New Roman" w:cs="Times New Roman"/>
          <w:kern w:val="0"/>
          <w:sz w:val="24"/>
          <w:szCs w:val="24"/>
          <w14:ligatures w14:val="none"/>
        </w:rPr>
        <w:t xml:space="preserve">, 2022, pp. 1–16. </w:t>
      </w:r>
      <w:r w:rsidRPr="003B5892">
        <w:rPr>
          <w:rFonts w:ascii="Times New Roman" w:eastAsia="Times New Roman" w:hAnsi="Times New Roman" w:cs="Times New Roman"/>
          <w:kern w:val="0"/>
          <w:sz w:val="24"/>
          <w:szCs w:val="24"/>
          <w:lang w:val="uk-UA"/>
          <w14:ligatures w14:val="none"/>
        </w:rPr>
        <w:t>DOI: 10.1177/15485129211073126.</w:t>
      </w:r>
    </w:p>
    <w:p w14:paraId="483AD37E"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14:ligatures w14:val="none"/>
        </w:rPr>
      </w:pPr>
      <w:r w:rsidRPr="003B5892">
        <w:rPr>
          <w:rFonts w:ascii="Times New Roman" w:eastAsia="Times New Roman" w:hAnsi="Times New Roman" w:cs="Times New Roman"/>
          <w:kern w:val="0"/>
          <w:sz w:val="24"/>
          <w:szCs w:val="24"/>
          <w14:ligatures w14:val="none"/>
        </w:rPr>
        <w:t xml:space="preserve">Roennfeldt, C. F., Helgesen, D. E., &amp; Reutz, B. A. H. Developing strategic mindsets with matrix games. </w:t>
      </w:r>
      <w:r w:rsidRPr="003B5892">
        <w:rPr>
          <w:rFonts w:ascii="Times New Roman" w:eastAsia="Times New Roman" w:hAnsi="Times New Roman" w:cs="Times New Roman"/>
          <w:i/>
          <w:iCs/>
          <w:kern w:val="0"/>
          <w:sz w:val="24"/>
          <w:szCs w:val="24"/>
          <w14:ligatures w14:val="none"/>
        </w:rPr>
        <w:t>Scandinavian Journal of Military Studies</w:t>
      </w:r>
      <w:r w:rsidRPr="003B5892">
        <w:rPr>
          <w:rFonts w:ascii="Times New Roman" w:eastAsia="Times New Roman" w:hAnsi="Times New Roman" w:cs="Times New Roman"/>
          <w:kern w:val="0"/>
          <w:sz w:val="24"/>
          <w:szCs w:val="24"/>
          <w14:ligatures w14:val="none"/>
        </w:rPr>
        <w:t>, 2022, vol. 5, no. 1, pp. 257–268. DOI: 10.31374/sjms.132.</w:t>
      </w:r>
    </w:p>
    <w:p w14:paraId="13D070B4"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14:ligatures w14:val="none"/>
        </w:rPr>
      </w:pPr>
      <w:r w:rsidRPr="003B5892">
        <w:rPr>
          <w:rFonts w:ascii="Times New Roman" w:eastAsia="Times New Roman" w:hAnsi="Times New Roman" w:cs="Times New Roman"/>
          <w:kern w:val="0"/>
          <w:sz w:val="24"/>
          <w:szCs w:val="24"/>
          <w14:ligatures w14:val="none"/>
        </w:rPr>
        <w:t xml:space="preserve">Enstad, K. Professional knowledge through wargames and exercises. </w:t>
      </w:r>
      <w:r w:rsidRPr="003B5892">
        <w:rPr>
          <w:rFonts w:ascii="Times New Roman" w:eastAsia="Times New Roman" w:hAnsi="Times New Roman" w:cs="Times New Roman"/>
          <w:i/>
          <w:iCs/>
          <w:kern w:val="0"/>
          <w:sz w:val="24"/>
          <w:szCs w:val="24"/>
          <w14:ligatures w14:val="none"/>
        </w:rPr>
        <w:t>Scandinavian Journal of Military Studies</w:t>
      </w:r>
      <w:r w:rsidRPr="003B5892">
        <w:rPr>
          <w:rFonts w:ascii="Times New Roman" w:eastAsia="Times New Roman" w:hAnsi="Times New Roman" w:cs="Times New Roman"/>
          <w:kern w:val="0"/>
          <w:sz w:val="24"/>
          <w:szCs w:val="24"/>
          <w14:ligatures w14:val="none"/>
        </w:rPr>
        <w:t>, 2022, vol. 5, no. 1, pp. 233–243. DOI: 10.31374/sjms.130.</w:t>
      </w:r>
    </w:p>
    <w:p w14:paraId="3E805A65"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4"/>
          <w:szCs w:val="24"/>
          <w14:ligatures w14:val="none"/>
        </w:rPr>
        <w:t xml:space="preserve">Hagen, A. M. Learning (better) from stories: Wargames, narratives, and rhetoric in military education. </w:t>
      </w:r>
      <w:r w:rsidRPr="003B5892">
        <w:rPr>
          <w:rFonts w:ascii="Times New Roman" w:eastAsia="Times New Roman" w:hAnsi="Times New Roman" w:cs="Times New Roman"/>
          <w:i/>
          <w:iCs/>
          <w:kern w:val="0"/>
          <w:sz w:val="24"/>
          <w:szCs w:val="24"/>
          <w:lang w:val="uk-UA"/>
          <w14:ligatures w14:val="none"/>
        </w:rPr>
        <w:t>Scandinavian Journal of Military Studies</w:t>
      </w:r>
      <w:r w:rsidRPr="003B5892">
        <w:rPr>
          <w:rFonts w:ascii="Times New Roman" w:eastAsia="Times New Roman" w:hAnsi="Times New Roman" w:cs="Times New Roman"/>
          <w:kern w:val="0"/>
          <w:sz w:val="24"/>
          <w:szCs w:val="24"/>
          <w:lang w:val="uk-UA"/>
          <w14:ligatures w14:val="none"/>
        </w:rPr>
        <w:t>, 2022, vol. 5, no. 1. DOI: 10.31374/sjms.120.</w:t>
      </w:r>
    </w:p>
    <w:p w14:paraId="5D18A696"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4"/>
          <w:szCs w:val="24"/>
          <w14:ligatures w14:val="none"/>
        </w:rPr>
        <w:t xml:space="preserve">van Eck, N. J., &amp; Waltman, L. Software survey: VOSviewer, a computer program for bibliometric mapping. </w:t>
      </w:r>
      <w:r w:rsidRPr="003B5892">
        <w:rPr>
          <w:rFonts w:ascii="Times New Roman" w:eastAsia="Times New Roman" w:hAnsi="Times New Roman" w:cs="Times New Roman"/>
          <w:i/>
          <w:iCs/>
          <w:kern w:val="0"/>
          <w:sz w:val="24"/>
          <w:szCs w:val="24"/>
          <w:lang w:val="uk-UA"/>
          <w14:ligatures w14:val="none"/>
        </w:rPr>
        <w:t>Scientometrics</w:t>
      </w:r>
      <w:r w:rsidRPr="003B5892">
        <w:rPr>
          <w:rFonts w:ascii="Times New Roman" w:eastAsia="Times New Roman" w:hAnsi="Times New Roman" w:cs="Times New Roman"/>
          <w:kern w:val="0"/>
          <w:sz w:val="24"/>
          <w:szCs w:val="24"/>
          <w:lang w:val="uk-UA"/>
          <w14:ligatures w14:val="none"/>
        </w:rPr>
        <w:t>, 2010, vol. 84, no. 2, pp. 523–538. DOI: 10.1007/s11192-009-0146-3.</w:t>
      </w:r>
    </w:p>
    <w:p w14:paraId="15BBB6CA"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4"/>
          <w:szCs w:val="24"/>
          <w14:ligatures w14:val="none"/>
        </w:rPr>
        <w:t xml:space="preserve">Bondarenko, S. A., &amp; Hupalo, A. Yu. Integration of AI in military education: Bibliometric analysis of global trends and Ukraine's priorities [Intehratsiia AI u viiskovu osvitu: bibliometrychnyi analiz hlobalnykh tendentsii ta priorytety Ukrainy]. </w:t>
      </w:r>
      <w:r w:rsidRPr="003B5892">
        <w:rPr>
          <w:rFonts w:ascii="Times New Roman" w:eastAsia="Times New Roman" w:hAnsi="Times New Roman" w:cs="Times New Roman"/>
          <w:i/>
          <w:iCs/>
          <w:kern w:val="0"/>
          <w:sz w:val="24"/>
          <w:szCs w:val="24"/>
          <w:lang w:val="uk-UA"/>
          <w14:ligatures w14:val="none"/>
        </w:rPr>
        <w:t>Military Education</w:t>
      </w:r>
      <w:r w:rsidRPr="003B5892">
        <w:rPr>
          <w:rFonts w:ascii="Times New Roman" w:eastAsia="Times New Roman" w:hAnsi="Times New Roman" w:cs="Times New Roman"/>
          <w:kern w:val="0"/>
          <w:sz w:val="24"/>
          <w:szCs w:val="24"/>
          <w:lang w:val="uk-UA"/>
          <w14:ligatures w14:val="none"/>
        </w:rPr>
        <w:t xml:space="preserve"> [Viiskova osvita], 2025, no. 2 (52), pp. 9–31. DOI: 10.33099/2617-1783/2025-52/9-31.</w:t>
      </w:r>
    </w:p>
    <w:p w14:paraId="5D60253E"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4"/>
          <w:szCs w:val="24"/>
          <w14:ligatures w14:val="none"/>
        </w:rPr>
        <w:t xml:space="preserve">Hurochkina, V., Bondarenko, S., &amp; Szapiro, T. The implementation of artificial intelligence technologies in the military domain: Opportunities and risks. </w:t>
      </w:r>
      <w:r w:rsidRPr="003B5892">
        <w:rPr>
          <w:rFonts w:ascii="Times New Roman" w:eastAsia="Times New Roman" w:hAnsi="Times New Roman" w:cs="Times New Roman"/>
          <w:i/>
          <w:iCs/>
          <w:kern w:val="0"/>
          <w:sz w:val="24"/>
          <w:szCs w:val="24"/>
          <w14:ligatures w14:val="none"/>
        </w:rPr>
        <w:t>2025 15th International Conference on Advanced Computer Information Technologies (ACIT)</w:t>
      </w:r>
      <w:r w:rsidRPr="003B5892">
        <w:rPr>
          <w:rFonts w:ascii="Times New Roman" w:eastAsia="Times New Roman" w:hAnsi="Times New Roman" w:cs="Times New Roman"/>
          <w:kern w:val="0"/>
          <w:sz w:val="24"/>
          <w:szCs w:val="24"/>
          <w14:ligatures w14:val="none"/>
        </w:rPr>
        <w:t xml:space="preserve">, 2025, pp. 965–974. </w:t>
      </w:r>
      <w:r w:rsidRPr="003B5892">
        <w:rPr>
          <w:rFonts w:ascii="Times New Roman" w:eastAsia="Times New Roman" w:hAnsi="Times New Roman" w:cs="Times New Roman"/>
          <w:kern w:val="0"/>
          <w:sz w:val="24"/>
          <w:szCs w:val="24"/>
          <w:lang w:val="uk-UA"/>
          <w14:ligatures w14:val="none"/>
        </w:rPr>
        <w:t>DOI: 10.1109/ACIT65614.2025.11185755.</w:t>
      </w:r>
    </w:p>
    <w:p w14:paraId="4C81AEC3"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14:ligatures w14:val="none"/>
        </w:rPr>
      </w:pPr>
      <w:r w:rsidRPr="003B5892">
        <w:rPr>
          <w:rFonts w:ascii="Times New Roman" w:eastAsia="Times New Roman" w:hAnsi="Times New Roman" w:cs="Times New Roman"/>
          <w:kern w:val="0"/>
          <w:sz w:val="24"/>
          <w:szCs w:val="24"/>
          <w14:ligatures w14:val="none"/>
        </w:rPr>
        <w:t xml:space="preserve">Spahr, T., Mandle, L., &amp; Stinchfield, M. Back to the basics in wargaming — with a little help from AI. </w:t>
      </w:r>
      <w:r w:rsidRPr="003B5892">
        <w:rPr>
          <w:rFonts w:ascii="Times New Roman" w:eastAsia="Times New Roman" w:hAnsi="Times New Roman" w:cs="Times New Roman"/>
          <w:i/>
          <w:iCs/>
          <w:kern w:val="0"/>
          <w:sz w:val="24"/>
          <w:szCs w:val="24"/>
          <w14:ligatures w14:val="none"/>
        </w:rPr>
        <w:t>War Room: Online Journal</w:t>
      </w:r>
      <w:r w:rsidRPr="003B5892">
        <w:rPr>
          <w:rFonts w:ascii="Times New Roman" w:eastAsia="Times New Roman" w:hAnsi="Times New Roman" w:cs="Times New Roman"/>
          <w:kern w:val="0"/>
          <w:sz w:val="24"/>
          <w:szCs w:val="24"/>
          <w14:ligatures w14:val="none"/>
        </w:rPr>
        <w:t xml:space="preserve">, 2025, September 11. URL: </w:t>
      </w:r>
      <w:hyperlink r:id="rId32" w:history="1">
        <w:r w:rsidRPr="003B5892">
          <w:rPr>
            <w:rFonts w:ascii="Times New Roman" w:eastAsia="Times New Roman" w:hAnsi="Times New Roman" w:cs="Times New Roman"/>
            <w:color w:val="0000CC"/>
            <w:kern w:val="0"/>
            <w:sz w:val="24"/>
            <w:szCs w:val="24"/>
            <w:u w:val="single"/>
            <w14:ligatures w14:val="none"/>
          </w:rPr>
          <w:t>https://warroom.armywarcollege.edu/articles/back-to-the-basics/</w:t>
        </w:r>
      </w:hyperlink>
      <w:r w:rsidRPr="003B5892">
        <w:rPr>
          <w:rFonts w:ascii="Times New Roman" w:eastAsia="Times New Roman" w:hAnsi="Times New Roman" w:cs="Times New Roman"/>
          <w:kern w:val="0"/>
          <w:sz w:val="24"/>
          <w:szCs w:val="24"/>
          <w14:ligatures w14:val="none"/>
        </w:rPr>
        <w:t xml:space="preserve"> (accessed: 21.03.2026).</w:t>
      </w:r>
    </w:p>
    <w:p w14:paraId="261A569E"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4"/>
          <w:szCs w:val="24"/>
          <w14:ligatures w14:val="none"/>
        </w:rPr>
        <w:t xml:space="preserve">Saastamoinen, K., &amp; Nuutinen, J. Next-generation readiness: Applying AI to military simulators and wargaming in Finland. </w:t>
      </w:r>
      <w:r w:rsidRPr="003B5892">
        <w:rPr>
          <w:rFonts w:ascii="Times New Roman" w:eastAsia="Times New Roman" w:hAnsi="Times New Roman" w:cs="Times New Roman"/>
          <w:i/>
          <w:iCs/>
          <w:kern w:val="0"/>
          <w:sz w:val="24"/>
          <w:szCs w:val="24"/>
          <w:lang w:val="uk-UA"/>
          <w14:ligatures w14:val="none"/>
        </w:rPr>
        <w:t>Procedia Computer Science</w:t>
      </w:r>
      <w:r w:rsidRPr="003B5892">
        <w:rPr>
          <w:rFonts w:ascii="Times New Roman" w:eastAsia="Times New Roman" w:hAnsi="Times New Roman" w:cs="Times New Roman"/>
          <w:kern w:val="0"/>
          <w:sz w:val="24"/>
          <w:szCs w:val="24"/>
          <w:lang w:val="uk-UA"/>
          <w14:ligatures w14:val="none"/>
        </w:rPr>
        <w:t>, 2025. DOI: 10.1016/j.procs.2025.09.473.</w:t>
      </w:r>
    </w:p>
    <w:p w14:paraId="5B79B4D4"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4"/>
          <w:szCs w:val="24"/>
          <w14:ligatures w14:val="none"/>
        </w:rPr>
        <w:t xml:space="preserve">Hannay, J. E., &amp; Gjørven, E. Leveraging network-centric strategic goals in capabilities. </w:t>
      </w:r>
      <w:r w:rsidRPr="003B5892">
        <w:rPr>
          <w:rFonts w:ascii="Times New Roman" w:eastAsia="Times New Roman" w:hAnsi="Times New Roman" w:cs="Times New Roman"/>
          <w:i/>
          <w:iCs/>
          <w:kern w:val="0"/>
          <w:sz w:val="24"/>
          <w:szCs w:val="24"/>
          <w:lang w:val="uk-UA"/>
          <w14:ligatures w14:val="none"/>
        </w:rPr>
        <w:t>Journal of Military Studies</w:t>
      </w:r>
      <w:r w:rsidRPr="003B5892">
        <w:rPr>
          <w:rFonts w:ascii="Times New Roman" w:eastAsia="Times New Roman" w:hAnsi="Times New Roman" w:cs="Times New Roman"/>
          <w:kern w:val="0"/>
          <w:sz w:val="24"/>
          <w:szCs w:val="24"/>
          <w:lang w:val="uk-UA"/>
          <w14:ligatures w14:val="none"/>
        </w:rPr>
        <w:t>, 2021, vol. 10, no. 1. DOI: 10.2478/jms-2021-0001.</w:t>
      </w:r>
    </w:p>
    <w:p w14:paraId="671B0327"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14:ligatures w14:val="none"/>
        </w:rPr>
      </w:pPr>
      <w:r w:rsidRPr="003B5892">
        <w:rPr>
          <w:rFonts w:ascii="Times New Roman" w:eastAsia="Times New Roman" w:hAnsi="Times New Roman" w:cs="Times New Roman"/>
          <w:kern w:val="0"/>
          <w:sz w:val="24"/>
          <w:szCs w:val="24"/>
          <w14:ligatures w14:val="none"/>
        </w:rPr>
        <w:t xml:space="preserve">Wargaming Handbook / Development, Concepts and Doctrine Centre. Shrivenham: UK Ministry of Defence, 2017. URL: </w:t>
      </w:r>
      <w:hyperlink r:id="rId33" w:history="1">
        <w:r w:rsidRPr="003B5892">
          <w:rPr>
            <w:rFonts w:ascii="Times New Roman" w:eastAsia="Times New Roman" w:hAnsi="Times New Roman" w:cs="Times New Roman"/>
            <w:color w:val="0000CC"/>
            <w:kern w:val="0"/>
            <w:sz w:val="24"/>
            <w:szCs w:val="24"/>
            <w:u w:val="single"/>
            <w14:ligatures w14:val="none"/>
          </w:rPr>
          <w:t>https://www.goodreads.com/book/show/52843829-wargaming-handbook</w:t>
        </w:r>
      </w:hyperlink>
      <w:r w:rsidRPr="003B5892">
        <w:rPr>
          <w:rFonts w:ascii="Times New Roman" w:eastAsia="Times New Roman" w:hAnsi="Times New Roman" w:cs="Times New Roman"/>
          <w:kern w:val="0"/>
          <w:sz w:val="24"/>
          <w:szCs w:val="24"/>
          <w14:ligatures w14:val="none"/>
        </w:rPr>
        <w:t xml:space="preserve"> (accessed: 21.03.2026).</w:t>
      </w:r>
    </w:p>
    <w:p w14:paraId="1254DCB7"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14:ligatures w14:val="none"/>
        </w:rPr>
      </w:pPr>
      <w:r w:rsidRPr="003B5892">
        <w:rPr>
          <w:rFonts w:ascii="Times New Roman" w:eastAsia="Times New Roman" w:hAnsi="Times New Roman" w:cs="Times New Roman"/>
          <w:kern w:val="0"/>
          <w:sz w:val="24"/>
          <w:szCs w:val="24"/>
          <w14:ligatures w14:val="none"/>
        </w:rPr>
        <w:t xml:space="preserve">Williams, T. J., Joyce, A. A., Lavenski, S., Colton, J., Ebell, R., &amp; Meadows, T. AI-enabled wargaming at the U.S. Army Command and General Staff College: Its implications for PME and operational planning. </w:t>
      </w:r>
      <w:r w:rsidRPr="003B5892">
        <w:rPr>
          <w:rFonts w:ascii="Times New Roman" w:eastAsia="Times New Roman" w:hAnsi="Times New Roman" w:cs="Times New Roman"/>
          <w:i/>
          <w:iCs/>
          <w:kern w:val="0"/>
          <w:sz w:val="24"/>
          <w:szCs w:val="24"/>
          <w14:ligatures w14:val="none"/>
        </w:rPr>
        <w:t>Small Wars Journal</w:t>
      </w:r>
      <w:r w:rsidRPr="003B5892">
        <w:rPr>
          <w:rFonts w:ascii="Times New Roman" w:eastAsia="Times New Roman" w:hAnsi="Times New Roman" w:cs="Times New Roman"/>
          <w:kern w:val="0"/>
          <w:sz w:val="24"/>
          <w:szCs w:val="24"/>
          <w14:ligatures w14:val="none"/>
        </w:rPr>
        <w:t xml:space="preserve">, 2026, January 16. URL: </w:t>
      </w:r>
      <w:hyperlink r:id="rId34" w:history="1">
        <w:r w:rsidRPr="003B5892">
          <w:rPr>
            <w:rFonts w:ascii="Times New Roman" w:eastAsia="Times New Roman" w:hAnsi="Times New Roman" w:cs="Times New Roman"/>
            <w:color w:val="0000CC"/>
            <w:kern w:val="0"/>
            <w:sz w:val="24"/>
            <w:szCs w:val="24"/>
            <w:u w:val="single"/>
            <w14:ligatures w14:val="none"/>
          </w:rPr>
          <w:t>https://smallwarsjournal.com/2026/01/16/ai-enabled-wargaming-cgsc/</w:t>
        </w:r>
      </w:hyperlink>
      <w:r w:rsidRPr="003B5892">
        <w:rPr>
          <w:rFonts w:ascii="Times New Roman" w:eastAsia="Times New Roman" w:hAnsi="Times New Roman" w:cs="Times New Roman"/>
          <w:kern w:val="0"/>
          <w:sz w:val="24"/>
          <w:szCs w:val="24"/>
          <w14:ligatures w14:val="none"/>
        </w:rPr>
        <w:t xml:space="preserve"> (accessed: 21.03.2026).</w:t>
      </w:r>
    </w:p>
    <w:p w14:paraId="5CA42162"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4"/>
          <w:szCs w:val="24"/>
          <w14:ligatures w14:val="none"/>
        </w:rPr>
        <w:t xml:space="preserve">Toci, Ç. Teaching defence management to senior-level professional military education at the Baltic Defence College. </w:t>
      </w:r>
      <w:r w:rsidRPr="003B5892">
        <w:rPr>
          <w:rFonts w:ascii="Times New Roman" w:eastAsia="Times New Roman" w:hAnsi="Times New Roman" w:cs="Times New Roman"/>
          <w:i/>
          <w:iCs/>
          <w:kern w:val="0"/>
          <w:sz w:val="24"/>
          <w:szCs w:val="24"/>
          <w14:ligatures w14:val="none"/>
        </w:rPr>
        <w:t>Challenges to National Defence in a Contemporary Geopolitical Situation</w:t>
      </w:r>
      <w:r w:rsidRPr="003B5892">
        <w:rPr>
          <w:rFonts w:ascii="Times New Roman" w:eastAsia="Times New Roman" w:hAnsi="Times New Roman" w:cs="Times New Roman"/>
          <w:kern w:val="0"/>
          <w:sz w:val="24"/>
          <w:szCs w:val="24"/>
          <w14:ligatures w14:val="none"/>
        </w:rPr>
        <w:t xml:space="preserve">, 2024, vol. 1, no. 1. </w:t>
      </w:r>
      <w:r w:rsidRPr="003B5892">
        <w:rPr>
          <w:rFonts w:ascii="Times New Roman" w:eastAsia="Times New Roman" w:hAnsi="Times New Roman" w:cs="Times New Roman"/>
          <w:kern w:val="0"/>
          <w:sz w:val="24"/>
          <w:szCs w:val="24"/>
          <w:lang w:val="uk-UA"/>
          <w14:ligatures w14:val="none"/>
        </w:rPr>
        <w:t>DOI: 10.3849/cndcgs.2024.185.</w:t>
      </w:r>
    </w:p>
    <w:p w14:paraId="1FA1A2B1"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8"/>
          <w:szCs w:val="28"/>
          <w:lang w:eastAsia="ru-RU"/>
          <w14:ligatures w14:val="none"/>
        </w:rPr>
        <w:t>Abt, C. C. Serious Games. New York: Viking Press, 1970. 176 p.</w:t>
      </w:r>
    </w:p>
    <w:p w14:paraId="16EB1DF8" w14:textId="77777777" w:rsidR="003B5892" w:rsidRPr="003B5892" w:rsidRDefault="003B5892" w:rsidP="00D0575C">
      <w:pPr>
        <w:numPr>
          <w:ilvl w:val="0"/>
          <w:numId w:val="22"/>
        </w:numPr>
        <w:tabs>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8"/>
          <w:szCs w:val="28"/>
          <w:lang w:eastAsia="ru-RU"/>
          <w14:ligatures w14:val="none"/>
        </w:rPr>
        <w:t>NATO Bi-Strategic Command. Bi-SC Directive 075-007: Education and Training Directive. Brussels: NATO, 2015.</w:t>
      </w:r>
    </w:p>
    <w:p w14:paraId="54E97960" w14:textId="77777777" w:rsidR="003B5892" w:rsidRDefault="003B5892" w:rsidP="00D0575C">
      <w:pPr>
        <w:tabs>
          <w:tab w:val="left" w:pos="9638"/>
        </w:tabs>
        <w:spacing w:after="0" w:line="240" w:lineRule="auto"/>
        <w:jc w:val="both"/>
        <w:rPr>
          <w:rFonts w:ascii="Times New Roman" w:eastAsia="Times New Roman" w:hAnsi="Times New Roman" w:cs="Times New Roman"/>
          <w:kern w:val="0"/>
          <w:sz w:val="28"/>
          <w:szCs w:val="28"/>
          <w:lang w:val="uk-UA" w:eastAsia="ru-RU"/>
          <w14:ligatures w14:val="none"/>
        </w:rPr>
      </w:pPr>
    </w:p>
    <w:p w14:paraId="1775AE65" w14:textId="77777777" w:rsidR="004C5E80" w:rsidRPr="004C5E80" w:rsidRDefault="004C5E80" w:rsidP="00D0575C">
      <w:pPr>
        <w:tabs>
          <w:tab w:val="left" w:pos="9638"/>
        </w:tabs>
        <w:spacing w:after="0" w:line="240" w:lineRule="auto"/>
        <w:jc w:val="both"/>
        <w:rPr>
          <w:rFonts w:ascii="Times New Roman" w:eastAsia="Times New Roman" w:hAnsi="Times New Roman" w:cs="Times New Roman"/>
          <w:kern w:val="0"/>
          <w:sz w:val="28"/>
          <w:szCs w:val="28"/>
          <w:lang w:val="uk-UA" w:eastAsia="ru-RU"/>
          <w14:ligatures w14:val="none"/>
        </w:rPr>
      </w:pPr>
    </w:p>
    <w:p w14:paraId="692CD303" w14:textId="77777777" w:rsidR="003B5892" w:rsidRPr="003B5892" w:rsidRDefault="003B5892" w:rsidP="006C23BB">
      <w:pPr>
        <w:tabs>
          <w:tab w:val="left" w:pos="9638"/>
        </w:tabs>
        <w:spacing w:after="0" w:line="240" w:lineRule="auto"/>
        <w:jc w:val="center"/>
        <w:rPr>
          <w:rFonts w:ascii="Times New Roman" w:eastAsia="Times New Roman" w:hAnsi="Times New Roman" w:cs="Times New Roman"/>
          <w:b/>
          <w:kern w:val="0"/>
          <w:sz w:val="24"/>
          <w:szCs w:val="24"/>
          <w:lang w:eastAsia="ru-RU"/>
          <w14:ligatures w14:val="none"/>
        </w:rPr>
      </w:pPr>
      <w:r w:rsidRPr="003B5892">
        <w:rPr>
          <w:rFonts w:ascii="Times New Roman" w:eastAsia="Times New Roman" w:hAnsi="Times New Roman" w:cs="Times New Roman"/>
          <w:b/>
          <w:kern w:val="0"/>
          <w:sz w:val="24"/>
          <w:szCs w:val="24"/>
          <w:lang w:val="uk-UA" w:eastAsia="ru-RU"/>
          <w14:ligatures w14:val="none"/>
        </w:rPr>
        <w:lastRenderedPageBreak/>
        <w:t>АНОТАЦІЯ</w:t>
      </w:r>
    </w:p>
    <w:p w14:paraId="3C4E4786" w14:textId="77777777" w:rsidR="00A30FB0" w:rsidRDefault="00A30FB0" w:rsidP="00023291">
      <w:pPr>
        <w:widowControl w:val="0"/>
        <w:tabs>
          <w:tab w:val="left" w:pos="9638"/>
        </w:tabs>
        <w:spacing w:after="0" w:line="240" w:lineRule="auto"/>
        <w:ind w:firstLine="567"/>
        <w:jc w:val="right"/>
        <w:rPr>
          <w:rFonts w:ascii="Times New Roman" w:eastAsia="Times New Roman" w:hAnsi="Times New Roman" w:cs="Times New Roman"/>
          <w:b/>
          <w:bCs/>
          <w:spacing w:val="-4"/>
          <w:kern w:val="0"/>
          <w:sz w:val="24"/>
          <w:szCs w:val="24"/>
          <w:lang w:val="uk-UA" w:eastAsia="ru-RU"/>
          <w14:ligatures w14:val="none"/>
        </w:rPr>
      </w:pPr>
    </w:p>
    <w:p w14:paraId="77A804DC" w14:textId="45E9FAFB" w:rsidR="003B5892" w:rsidRPr="003B5892" w:rsidRDefault="003B5892" w:rsidP="00023291">
      <w:pPr>
        <w:widowControl w:val="0"/>
        <w:tabs>
          <w:tab w:val="left" w:pos="9638"/>
        </w:tabs>
        <w:spacing w:after="0" w:line="240" w:lineRule="auto"/>
        <w:ind w:firstLine="567"/>
        <w:jc w:val="right"/>
        <w:rPr>
          <w:rFonts w:ascii="Times New Roman" w:eastAsia="Times New Roman" w:hAnsi="Times New Roman" w:cs="Times New Roman"/>
          <w:b/>
          <w:bCs/>
          <w:spacing w:val="-4"/>
          <w:kern w:val="0"/>
          <w:sz w:val="24"/>
          <w:szCs w:val="24"/>
          <w:lang w:val="uk-UA" w:eastAsia="ru-RU"/>
          <w14:ligatures w14:val="none"/>
        </w:rPr>
      </w:pPr>
      <w:r w:rsidRPr="003B5892">
        <w:rPr>
          <w:rFonts w:ascii="Times New Roman" w:eastAsia="Times New Roman" w:hAnsi="Times New Roman" w:cs="Times New Roman"/>
          <w:b/>
          <w:bCs/>
          <w:spacing w:val="-4"/>
          <w:kern w:val="0"/>
          <w:sz w:val="24"/>
          <w:szCs w:val="24"/>
          <w:lang w:val="uk-UA" w:eastAsia="ru-RU"/>
          <w14:ligatures w14:val="none"/>
        </w:rPr>
        <w:t xml:space="preserve">Вадим Машталір, </w:t>
      </w:r>
    </w:p>
    <w:p w14:paraId="03CF65E9" w14:textId="77777777" w:rsidR="003B5892" w:rsidRPr="003B5892" w:rsidRDefault="003B5892" w:rsidP="00023291">
      <w:pPr>
        <w:widowControl w:val="0"/>
        <w:tabs>
          <w:tab w:val="left" w:pos="9638"/>
        </w:tabs>
        <w:spacing w:after="0" w:line="240" w:lineRule="auto"/>
        <w:ind w:firstLine="567"/>
        <w:jc w:val="right"/>
        <w:rPr>
          <w:rFonts w:ascii="Times New Roman" w:eastAsia="Times New Roman" w:hAnsi="Times New Roman" w:cs="Times New Roman"/>
          <w:spacing w:val="-4"/>
          <w:kern w:val="0"/>
          <w:sz w:val="24"/>
          <w:szCs w:val="24"/>
          <w:lang w:val="uk-UA" w:eastAsia="ru-RU"/>
          <w14:ligatures w14:val="none"/>
        </w:rPr>
      </w:pPr>
      <w:r w:rsidRPr="003B5892">
        <w:rPr>
          <w:rFonts w:ascii="Times New Roman" w:eastAsia="Times New Roman" w:hAnsi="Times New Roman" w:cs="Times New Roman"/>
          <w:spacing w:val="-4"/>
          <w:kern w:val="0"/>
          <w:sz w:val="24"/>
          <w:szCs w:val="24"/>
          <w:lang w:val="uk-UA" w:eastAsia="ru-RU"/>
          <w14:ligatures w14:val="none"/>
        </w:rPr>
        <w:t xml:space="preserve">доктор історичних наук, професор </w:t>
      </w:r>
    </w:p>
    <w:p w14:paraId="46854408" w14:textId="77777777" w:rsidR="003B5892" w:rsidRPr="003B5892" w:rsidRDefault="003B5892" w:rsidP="00023291">
      <w:pPr>
        <w:widowControl w:val="0"/>
        <w:tabs>
          <w:tab w:val="left" w:pos="9638"/>
        </w:tabs>
        <w:spacing w:after="0" w:line="240" w:lineRule="auto"/>
        <w:ind w:firstLine="567"/>
        <w:jc w:val="right"/>
        <w:rPr>
          <w:rFonts w:ascii="Times New Roman" w:eastAsia="Times New Roman" w:hAnsi="Times New Roman" w:cs="Times New Roman"/>
          <w:b/>
          <w:kern w:val="0"/>
          <w:sz w:val="24"/>
          <w:szCs w:val="24"/>
          <w:lang w:val="uk-UA" w:eastAsia="ru-RU"/>
          <w14:ligatures w14:val="none"/>
        </w:rPr>
      </w:pPr>
      <w:r w:rsidRPr="003B5892">
        <w:rPr>
          <w:rFonts w:ascii="Times New Roman" w:eastAsia="Times New Roman" w:hAnsi="Times New Roman" w:cs="Times New Roman"/>
          <w:spacing w:val="-4"/>
          <w:kern w:val="0"/>
          <w:sz w:val="24"/>
          <w:szCs w:val="24"/>
          <w:lang w:val="uk-UA" w:eastAsia="ru-RU"/>
          <w14:ligatures w14:val="none"/>
        </w:rPr>
        <w:t xml:space="preserve">Національний університет оборони України, м. Київ </w:t>
      </w:r>
    </w:p>
    <w:p w14:paraId="018FBD14" w14:textId="77777777" w:rsidR="003B5892" w:rsidRPr="003B5892" w:rsidRDefault="003B5892" w:rsidP="00023291">
      <w:pPr>
        <w:widowControl w:val="0"/>
        <w:tabs>
          <w:tab w:val="left" w:pos="9638"/>
        </w:tabs>
        <w:spacing w:after="0" w:line="240" w:lineRule="auto"/>
        <w:ind w:firstLine="567"/>
        <w:jc w:val="right"/>
        <w:rPr>
          <w:rFonts w:ascii="Times New Roman" w:eastAsia="Times New Roman" w:hAnsi="Times New Roman" w:cs="Times New Roman"/>
          <w:b/>
          <w:bCs/>
          <w:spacing w:val="-4"/>
          <w:kern w:val="0"/>
          <w:sz w:val="24"/>
          <w:szCs w:val="24"/>
          <w:lang w:val="uk-UA" w:eastAsia="ru-RU"/>
          <w14:ligatures w14:val="none"/>
        </w:rPr>
      </w:pPr>
      <w:r w:rsidRPr="003B5892">
        <w:rPr>
          <w:rFonts w:ascii="Times New Roman" w:eastAsia="Times New Roman" w:hAnsi="Times New Roman" w:cs="Times New Roman"/>
          <w:b/>
          <w:bCs/>
          <w:spacing w:val="-4"/>
          <w:kern w:val="0"/>
          <w:sz w:val="24"/>
          <w:szCs w:val="24"/>
          <w:lang w:val="uk-UA" w:eastAsia="ru-RU"/>
          <w14:ligatures w14:val="none"/>
        </w:rPr>
        <w:t xml:space="preserve">Андрій Гупало, </w:t>
      </w:r>
    </w:p>
    <w:p w14:paraId="02555766" w14:textId="77777777" w:rsidR="003B5892" w:rsidRPr="003B5892" w:rsidRDefault="003B5892" w:rsidP="00023291">
      <w:pPr>
        <w:widowControl w:val="0"/>
        <w:tabs>
          <w:tab w:val="left" w:pos="9638"/>
        </w:tabs>
        <w:spacing w:after="0" w:line="240" w:lineRule="auto"/>
        <w:ind w:firstLine="567"/>
        <w:jc w:val="right"/>
        <w:rPr>
          <w:rFonts w:ascii="Times New Roman" w:eastAsia="Times New Roman" w:hAnsi="Times New Roman" w:cs="Times New Roman"/>
          <w:spacing w:val="-4"/>
          <w:kern w:val="0"/>
          <w:sz w:val="24"/>
          <w:szCs w:val="24"/>
          <w:lang w:val="uk-UA" w:eastAsia="ru-RU"/>
          <w14:ligatures w14:val="none"/>
        </w:rPr>
      </w:pPr>
      <w:r w:rsidRPr="003B5892">
        <w:rPr>
          <w:rFonts w:ascii="Times New Roman" w:eastAsia="Times New Roman" w:hAnsi="Times New Roman" w:cs="Times New Roman"/>
          <w:spacing w:val="-4"/>
          <w:kern w:val="0"/>
          <w:sz w:val="24"/>
          <w:szCs w:val="24"/>
          <w:lang w:val="uk-UA" w:eastAsia="ru-RU"/>
          <w14:ligatures w14:val="none"/>
        </w:rPr>
        <w:t xml:space="preserve">кандидат технічних наук, старший науковий співробітник </w:t>
      </w:r>
    </w:p>
    <w:p w14:paraId="1F06A133" w14:textId="77777777" w:rsidR="003B5892" w:rsidRPr="003B5892" w:rsidRDefault="003B5892" w:rsidP="00023291">
      <w:pPr>
        <w:tabs>
          <w:tab w:val="left" w:pos="9638"/>
        </w:tabs>
        <w:spacing w:after="0" w:line="240" w:lineRule="auto"/>
        <w:jc w:val="right"/>
        <w:rPr>
          <w:rFonts w:ascii="Times New Roman" w:eastAsia="Times New Roman" w:hAnsi="Times New Roman" w:cs="Times New Roman"/>
          <w:kern w:val="0"/>
          <w:sz w:val="24"/>
          <w:szCs w:val="24"/>
          <w:lang w:val="ru-RU" w:eastAsia="ru-RU"/>
          <w14:ligatures w14:val="none"/>
        </w:rPr>
      </w:pPr>
      <w:r w:rsidRPr="003B5892">
        <w:rPr>
          <w:rFonts w:ascii="Times New Roman" w:eastAsia="Times New Roman" w:hAnsi="Times New Roman" w:cs="Times New Roman"/>
          <w:spacing w:val="-4"/>
          <w:kern w:val="0"/>
          <w:sz w:val="24"/>
          <w:szCs w:val="24"/>
          <w:lang w:val="uk-UA" w:eastAsia="ru-RU"/>
          <w14:ligatures w14:val="none"/>
        </w:rPr>
        <w:t>Національний університет оборони України, м. Київ</w:t>
      </w:r>
    </w:p>
    <w:p w14:paraId="5C62E8E5" w14:textId="77777777" w:rsidR="003B5892" w:rsidRPr="003B5892" w:rsidRDefault="003B5892" w:rsidP="00023291">
      <w:pPr>
        <w:widowControl w:val="0"/>
        <w:tabs>
          <w:tab w:val="left" w:pos="9638"/>
        </w:tabs>
        <w:spacing w:after="0" w:line="240" w:lineRule="auto"/>
        <w:ind w:firstLine="567"/>
        <w:jc w:val="right"/>
        <w:rPr>
          <w:rFonts w:ascii="Times New Roman" w:eastAsia="Times New Roman" w:hAnsi="Times New Roman" w:cs="Times New Roman"/>
          <w:b/>
          <w:bCs/>
          <w:spacing w:val="-4"/>
          <w:kern w:val="0"/>
          <w:sz w:val="24"/>
          <w:szCs w:val="24"/>
          <w:lang w:val="uk-UA" w:eastAsia="ru-RU"/>
          <w14:ligatures w14:val="none"/>
        </w:rPr>
      </w:pPr>
      <w:r w:rsidRPr="003B5892">
        <w:rPr>
          <w:rFonts w:ascii="Times New Roman" w:eastAsia="Times New Roman" w:hAnsi="Times New Roman" w:cs="Times New Roman"/>
          <w:b/>
          <w:bCs/>
          <w:spacing w:val="-4"/>
          <w:kern w:val="0"/>
          <w:sz w:val="24"/>
          <w:szCs w:val="24"/>
          <w:lang w:val="uk-UA" w:eastAsia="ru-RU"/>
          <w14:ligatures w14:val="none"/>
        </w:rPr>
        <w:t xml:space="preserve">Світлана Бондаренко, </w:t>
      </w:r>
    </w:p>
    <w:p w14:paraId="598D6FB2" w14:textId="77777777" w:rsidR="003B5892" w:rsidRPr="003B5892" w:rsidRDefault="003B5892" w:rsidP="00023291">
      <w:pPr>
        <w:widowControl w:val="0"/>
        <w:tabs>
          <w:tab w:val="left" w:pos="9638"/>
        </w:tabs>
        <w:spacing w:after="0" w:line="240" w:lineRule="auto"/>
        <w:ind w:firstLine="567"/>
        <w:jc w:val="right"/>
        <w:rPr>
          <w:rFonts w:ascii="Times New Roman" w:eastAsia="Times New Roman" w:hAnsi="Times New Roman" w:cs="Times New Roman"/>
          <w:spacing w:val="-4"/>
          <w:kern w:val="0"/>
          <w:sz w:val="24"/>
          <w:szCs w:val="24"/>
          <w:lang w:val="uk-UA" w:eastAsia="ru-RU"/>
          <w14:ligatures w14:val="none"/>
        </w:rPr>
      </w:pPr>
      <w:r w:rsidRPr="003B5892">
        <w:rPr>
          <w:rFonts w:ascii="Times New Roman" w:eastAsia="Times New Roman" w:hAnsi="Times New Roman" w:cs="Times New Roman"/>
          <w:spacing w:val="-4"/>
          <w:kern w:val="0"/>
          <w:sz w:val="24"/>
          <w:szCs w:val="24"/>
          <w:lang w:val="uk-UA" w:eastAsia="ru-RU"/>
          <w14:ligatures w14:val="none"/>
        </w:rPr>
        <w:t xml:space="preserve">доктор економічних наук, професор </w:t>
      </w:r>
    </w:p>
    <w:p w14:paraId="2202E15F" w14:textId="77777777" w:rsidR="003B5892" w:rsidRPr="003B5892" w:rsidRDefault="003B5892" w:rsidP="00023291">
      <w:pPr>
        <w:widowControl w:val="0"/>
        <w:tabs>
          <w:tab w:val="left" w:pos="9638"/>
        </w:tabs>
        <w:spacing w:after="0" w:line="240" w:lineRule="auto"/>
        <w:ind w:firstLine="567"/>
        <w:jc w:val="right"/>
        <w:rPr>
          <w:rFonts w:ascii="Times New Roman" w:eastAsia="Times New Roman" w:hAnsi="Times New Roman" w:cs="Times New Roman"/>
          <w:spacing w:val="-4"/>
          <w:kern w:val="0"/>
          <w:sz w:val="24"/>
          <w:szCs w:val="24"/>
          <w:lang w:val="uk-UA" w:eastAsia="ru-RU"/>
          <w14:ligatures w14:val="none"/>
        </w:rPr>
      </w:pPr>
      <w:r w:rsidRPr="003B5892">
        <w:rPr>
          <w:rFonts w:ascii="Times New Roman" w:eastAsia="Times New Roman" w:hAnsi="Times New Roman" w:cs="Times New Roman"/>
          <w:spacing w:val="-4"/>
          <w:kern w:val="0"/>
          <w:sz w:val="24"/>
          <w:szCs w:val="24"/>
          <w:lang w:val="uk-UA" w:eastAsia="ru-RU"/>
          <w14:ligatures w14:val="none"/>
        </w:rPr>
        <w:t xml:space="preserve">Національний університет оборони України, м. Київ </w:t>
      </w:r>
    </w:p>
    <w:p w14:paraId="638CCDF4" w14:textId="77777777" w:rsidR="003B5892" w:rsidRPr="003B5892" w:rsidRDefault="003B5892" w:rsidP="00023291">
      <w:pPr>
        <w:tabs>
          <w:tab w:val="left" w:pos="9638"/>
        </w:tabs>
        <w:spacing w:after="0" w:line="240" w:lineRule="auto"/>
        <w:jc w:val="right"/>
        <w:rPr>
          <w:rFonts w:ascii="Times New Roman" w:eastAsia="Times New Roman" w:hAnsi="Times New Roman" w:cs="Times New Roman"/>
          <w:kern w:val="0"/>
          <w:sz w:val="24"/>
          <w:szCs w:val="24"/>
          <w:lang w:val="ru-RU" w:eastAsia="ru-RU"/>
          <w14:ligatures w14:val="none"/>
        </w:rPr>
      </w:pPr>
    </w:p>
    <w:p w14:paraId="2BC5FEAE" w14:textId="77777777" w:rsidR="003B5892" w:rsidRPr="003B5892" w:rsidRDefault="003B5892" w:rsidP="00023291">
      <w:pPr>
        <w:widowControl w:val="0"/>
        <w:shd w:val="clear" w:color="auto" w:fill="FFFFFF"/>
        <w:tabs>
          <w:tab w:val="left" w:pos="2338"/>
          <w:tab w:val="left" w:pos="4003"/>
          <w:tab w:val="left" w:pos="9638"/>
        </w:tabs>
        <w:spacing w:after="0" w:line="240" w:lineRule="auto"/>
        <w:jc w:val="center"/>
        <w:rPr>
          <w:rFonts w:ascii="Times New Roman" w:eastAsia="Times New Roman" w:hAnsi="Times New Roman" w:cs="Times New Roman"/>
          <w:b/>
          <w:kern w:val="0"/>
          <w:sz w:val="24"/>
          <w:szCs w:val="24"/>
          <w:lang w:val="uk-UA" w:eastAsia="ru-RU"/>
          <w14:ligatures w14:val="none"/>
        </w:rPr>
      </w:pPr>
      <w:r w:rsidRPr="003B5892">
        <w:rPr>
          <w:rFonts w:ascii="Times New Roman" w:eastAsia="Times New Roman" w:hAnsi="Times New Roman" w:cs="Times New Roman"/>
          <w:b/>
          <w:kern w:val="0"/>
          <w:sz w:val="24"/>
          <w:szCs w:val="24"/>
          <w:lang w:val="uk-UA" w:eastAsia="ru-RU"/>
          <w14:ligatures w14:val="none"/>
        </w:rPr>
        <w:t>Глобальні тенденції досліджень wargaming у військовій освіті: бібліометричний аналіз масивів Scopus та імплікації для України</w:t>
      </w:r>
    </w:p>
    <w:p w14:paraId="65C82868" w14:textId="77777777" w:rsidR="003B5892" w:rsidRPr="003B5892" w:rsidRDefault="003B5892" w:rsidP="00023291">
      <w:pPr>
        <w:widowControl w:val="0"/>
        <w:shd w:val="clear" w:color="auto" w:fill="FFFFFF"/>
        <w:tabs>
          <w:tab w:val="left" w:pos="2338"/>
          <w:tab w:val="left" w:pos="4003"/>
          <w:tab w:val="left" w:pos="9638"/>
        </w:tabs>
        <w:spacing w:after="0" w:line="240" w:lineRule="auto"/>
        <w:ind w:firstLine="709"/>
        <w:rPr>
          <w:rFonts w:ascii="Times New Roman" w:eastAsia="Times New Roman" w:hAnsi="Times New Roman" w:cs="Times New Roman"/>
          <w:b/>
          <w:kern w:val="0"/>
          <w:sz w:val="28"/>
          <w:szCs w:val="28"/>
          <w:lang w:val="uk-UA" w:eastAsia="ru-RU"/>
          <w14:ligatures w14:val="none"/>
        </w:rPr>
      </w:pPr>
    </w:p>
    <w:p w14:paraId="4AC31DC2" w14:textId="77777777" w:rsidR="003B5892" w:rsidRPr="003B5892" w:rsidRDefault="003B5892" w:rsidP="00023291">
      <w:pPr>
        <w:tabs>
          <w:tab w:val="left" w:pos="9638"/>
        </w:tabs>
        <w:spacing w:after="0" w:line="240" w:lineRule="auto"/>
        <w:ind w:firstLine="709"/>
        <w:jc w:val="both"/>
        <w:rPr>
          <w:rFonts w:ascii="Times New Roman" w:eastAsia="Times New Roman" w:hAnsi="Times New Roman" w:cs="Times New Roman"/>
          <w:i/>
          <w:kern w:val="0"/>
          <w:sz w:val="24"/>
          <w:szCs w:val="24"/>
          <w:lang w:val="uk-UA" w:eastAsia="ru-RU"/>
          <w14:ligatures w14:val="none"/>
        </w:rPr>
      </w:pPr>
      <w:r w:rsidRPr="003B5892">
        <w:rPr>
          <w:rFonts w:ascii="Times New Roman" w:eastAsia="Times New Roman" w:hAnsi="Times New Roman" w:cs="Times New Roman"/>
          <w:i/>
          <w:kern w:val="0"/>
          <w:sz w:val="24"/>
          <w:szCs w:val="24"/>
          <w:lang w:val="uk-UA" w:eastAsia="ru-RU"/>
          <w14:ligatures w14:val="none"/>
        </w:rPr>
        <w:t xml:space="preserve">У статті подано бібліометричний аналіз досліджень варгеймінгу в контексті професійної військової освіти (ПВО) із застосуванням двоетапної стратегії фільтрації бази даних Scopus. Сформовано два масиви даних: контекстний (n=3962, 2005–2026), що охоплює всю сферу «військових ігор», виключно з математичною теорією ігор, і цільовий (n=1954, 1915–2026), з якого вилучено публікації з теорії ігор та залишено варгеймінг, військову симуляцію та серйозні ігри в освітньо-тренувальному контексті. Візуалізація виконана у VOSviewer 1.6.20 з картуванням спільної зустрічальності авторських ключових слів та аналізом співавторства на рівнях країни. </w:t>
      </w:r>
    </w:p>
    <w:p w14:paraId="3A597E9B" w14:textId="77777777" w:rsidR="003B5892" w:rsidRPr="003B5892" w:rsidRDefault="003B5892" w:rsidP="00023291">
      <w:pPr>
        <w:tabs>
          <w:tab w:val="left" w:pos="9638"/>
        </w:tabs>
        <w:spacing w:after="0" w:line="240" w:lineRule="auto"/>
        <w:ind w:firstLine="709"/>
        <w:jc w:val="both"/>
        <w:rPr>
          <w:rFonts w:ascii="Times New Roman" w:eastAsia="Times New Roman" w:hAnsi="Times New Roman" w:cs="Times New Roman"/>
          <w:i/>
          <w:kern w:val="0"/>
          <w:sz w:val="24"/>
          <w:szCs w:val="24"/>
          <w:lang w:val="uk-UA" w:eastAsia="ru-RU"/>
          <w14:ligatures w14:val="none"/>
        </w:rPr>
      </w:pPr>
      <w:r w:rsidRPr="003B5892">
        <w:rPr>
          <w:rFonts w:ascii="Times New Roman" w:eastAsia="Times New Roman" w:hAnsi="Times New Roman" w:cs="Times New Roman"/>
          <w:i/>
          <w:kern w:val="0"/>
          <w:sz w:val="24"/>
          <w:szCs w:val="24"/>
          <w:lang w:val="uk-UA" w:eastAsia="ru-RU"/>
          <w14:ligatures w14:val="none"/>
        </w:rPr>
        <w:t xml:space="preserve">Мета дослідження — виявити тематичну структуру, хронологічну динаміку та географію глобальних досліджень варгеймінгу, а також визначити </w:t>
      </w:r>
      <w:r w:rsidRPr="003B5892">
        <w:rPr>
          <w:rFonts w:ascii="Times New Roman" w:eastAsia="Times New Roman" w:hAnsi="Times New Roman" w:cs="Times New Roman"/>
          <w:i/>
          <w:kern w:val="0"/>
          <w:sz w:val="24"/>
          <w:szCs w:val="24"/>
          <w:lang w:val="uk-UA" w:eastAsia="uk-UA"/>
          <w14:ligatures w14:val="none"/>
        </w:rPr>
        <w:t xml:space="preserve">місце (позицію) </w:t>
      </w:r>
      <w:r w:rsidRPr="003B5892">
        <w:rPr>
          <w:rFonts w:ascii="Times New Roman" w:eastAsia="Times New Roman" w:hAnsi="Times New Roman" w:cs="Times New Roman"/>
          <w:i/>
          <w:kern w:val="0"/>
          <w:sz w:val="24"/>
          <w:szCs w:val="24"/>
          <w:lang w:val="uk-UA" w:eastAsia="ru-RU"/>
          <w14:ligatures w14:val="none"/>
        </w:rPr>
        <w:t xml:space="preserve">України в цьому дослідницькому ландшафті. </w:t>
      </w:r>
    </w:p>
    <w:p w14:paraId="165AE610" w14:textId="77777777" w:rsidR="003B5892" w:rsidRPr="003B5892" w:rsidRDefault="003B5892" w:rsidP="00023291">
      <w:pPr>
        <w:tabs>
          <w:tab w:val="left" w:pos="9638"/>
        </w:tabs>
        <w:spacing w:after="0" w:line="240" w:lineRule="auto"/>
        <w:ind w:firstLine="709"/>
        <w:jc w:val="both"/>
        <w:rPr>
          <w:rFonts w:ascii="Times New Roman" w:eastAsia="Times New Roman" w:hAnsi="Times New Roman" w:cs="Times New Roman"/>
          <w:i/>
          <w:kern w:val="0"/>
          <w:sz w:val="24"/>
          <w:szCs w:val="24"/>
          <w:lang w:val="uk-UA" w:eastAsia="ru-RU"/>
          <w14:ligatures w14:val="none"/>
        </w:rPr>
      </w:pPr>
      <w:r w:rsidRPr="003B5892">
        <w:rPr>
          <w:rFonts w:ascii="Times New Roman" w:eastAsia="Times New Roman" w:hAnsi="Times New Roman" w:cs="Times New Roman"/>
          <w:i/>
          <w:kern w:val="0"/>
          <w:sz w:val="24"/>
          <w:szCs w:val="24"/>
          <w:lang w:val="uk-UA" w:eastAsia="ru-RU"/>
          <w14:ligatures w14:val="none"/>
        </w:rPr>
        <w:t xml:space="preserve">Побудовано та проаналізовано п'ять мережевих карт. Карта контекстного масиву показала кількаразове домінування математичної теорії ігор (233 згадування проти 27 для варгеймінгу), що зумовило потребу в двоетапній фільтрації. Після фільтрації варгеймінг створює автономний кластер разом із військовою симуляцією (123 згадування сумарно), просторово відокремлений від серйозних ігор, що підтверджує його статус самостійного інструменту ПВО. Конвергенція кластерів методів ШІ та варгеймінгу на фронті досліджень відповідає практичним напрацюванням в установах ПВО НАТО (GenWar Lab, платформа CGSC Vantage, фінська модель edge-AI). Публікаційна активність зросла після 2020 року вп’ятеро — з 25 до 126 публікацій на рік, із піком у 187 публікацій у 2024 році. Карта співавторства засвідчила вихід України в мережу міжнародної наукової співпраці (поріг — 3 документи на країну). Академічна ізольованість корелює з інституційними результатами: контент-аналіз 79 українських нормативних актів з ПВО виявив термінологію варгеймінгу лише у 8 документах (10%), причому в жодному не конкретизовано методологію, стандарти чи кваліфікаційні вимоги до викладача; суцільний огляд каталогів курсів ПВО (понад 13 000 позицій) не виявив жодного курсу з компонентом варгеймінгу. </w:t>
      </w:r>
    </w:p>
    <w:p w14:paraId="3838C0EA" w14:textId="77777777" w:rsidR="003B5892" w:rsidRPr="003B5892" w:rsidRDefault="003B5892" w:rsidP="00023291">
      <w:pPr>
        <w:tabs>
          <w:tab w:val="left" w:pos="9638"/>
        </w:tabs>
        <w:spacing w:after="0" w:line="240" w:lineRule="auto"/>
        <w:ind w:firstLine="709"/>
        <w:jc w:val="both"/>
        <w:rPr>
          <w:rFonts w:ascii="Times New Roman" w:eastAsia="Times New Roman" w:hAnsi="Times New Roman" w:cs="Times New Roman"/>
          <w:i/>
          <w:kern w:val="0"/>
          <w:sz w:val="24"/>
          <w:szCs w:val="24"/>
          <w:lang w:val="uk-UA" w:eastAsia="ru-RU"/>
          <w14:ligatures w14:val="none"/>
        </w:rPr>
      </w:pPr>
      <w:r w:rsidRPr="003B5892">
        <w:rPr>
          <w:rFonts w:ascii="Times New Roman" w:eastAsia="Times New Roman" w:hAnsi="Times New Roman" w:cs="Times New Roman"/>
          <w:i/>
          <w:kern w:val="0"/>
          <w:sz w:val="24"/>
          <w:szCs w:val="24"/>
          <w:lang w:val="uk-UA" w:eastAsia="ru-RU"/>
          <w14:ligatures w14:val="none"/>
        </w:rPr>
        <w:t>Обмеження дослідження — операція на одну базу даних (Scopus) та вимкнення публікацій з обмеженим військовим доступом. Сформульовано три рекомендації: нормативне включення варгеймінгу до каталогів курсів ПВО; підготовка когорти фасілітаторів через програми NATO DEEP/NSO; спільні дослідницькі проекти з варгеймінговими центрами НАТО як механізм появи України на карті співавторства Scopus.</w:t>
      </w:r>
    </w:p>
    <w:p w14:paraId="744DA753" w14:textId="77777777" w:rsidR="003B5892" w:rsidRPr="003B5892" w:rsidRDefault="003B5892" w:rsidP="00023291">
      <w:pPr>
        <w:tabs>
          <w:tab w:val="left" w:pos="9638"/>
        </w:tabs>
        <w:spacing w:after="0" w:line="240" w:lineRule="auto"/>
        <w:ind w:firstLine="709"/>
        <w:jc w:val="both"/>
        <w:rPr>
          <w:rFonts w:ascii="Times New Roman" w:eastAsia="Times New Roman" w:hAnsi="Times New Roman" w:cs="Times New Roman"/>
          <w:i/>
          <w:kern w:val="0"/>
          <w:sz w:val="24"/>
          <w:szCs w:val="24"/>
          <w:lang w:val="uk-UA" w:eastAsia="ru-RU"/>
          <w14:ligatures w14:val="none"/>
        </w:rPr>
      </w:pPr>
      <w:r w:rsidRPr="003B5892">
        <w:rPr>
          <w:rFonts w:ascii="Times New Roman" w:eastAsia="Times New Roman" w:hAnsi="Times New Roman" w:cs="Times New Roman"/>
          <w:b/>
          <w:i/>
          <w:kern w:val="0"/>
          <w:sz w:val="24"/>
          <w:szCs w:val="24"/>
          <w:lang w:val="uk-UA" w:eastAsia="ru-RU"/>
          <w14:ligatures w14:val="none"/>
        </w:rPr>
        <w:t>Ключові слова:</w:t>
      </w:r>
      <w:r w:rsidRPr="003B5892">
        <w:rPr>
          <w:rFonts w:ascii="Times New Roman" w:eastAsia="Times New Roman" w:hAnsi="Times New Roman" w:cs="Times New Roman"/>
          <w:i/>
          <w:kern w:val="0"/>
          <w:sz w:val="24"/>
          <w:szCs w:val="24"/>
          <w:lang w:val="uk-UA" w:eastAsia="ru-RU"/>
          <w14:ligatures w14:val="none"/>
        </w:rPr>
        <w:t xml:space="preserve"> військові ігри, військові ігри, бібліометричний аналіз, VOSviewer, Scopus, професійна військова освіта, штучний інтелект, НАТО.</w:t>
      </w:r>
    </w:p>
    <w:p w14:paraId="6218FE95" w14:textId="77777777" w:rsidR="003B5892" w:rsidRPr="003B5892" w:rsidRDefault="003B5892" w:rsidP="00023291">
      <w:pPr>
        <w:widowControl w:val="0"/>
        <w:shd w:val="clear" w:color="auto" w:fill="FFFFFF"/>
        <w:tabs>
          <w:tab w:val="left" w:pos="9638"/>
        </w:tabs>
        <w:spacing w:after="0" w:line="274" w:lineRule="exact"/>
        <w:ind w:firstLine="709"/>
        <w:jc w:val="center"/>
        <w:rPr>
          <w:rFonts w:ascii="Times New Roman" w:eastAsia="Times New Roman" w:hAnsi="Times New Roman" w:cs="Times New Roman"/>
          <w:b/>
          <w:bCs/>
          <w:color w:val="000000"/>
          <w:spacing w:val="-2"/>
          <w:kern w:val="0"/>
          <w:sz w:val="24"/>
          <w:szCs w:val="24"/>
          <w:lang w:val="uk-UA" w:eastAsia="ru-RU"/>
          <w14:ligatures w14:val="none"/>
        </w:rPr>
      </w:pPr>
    </w:p>
    <w:p w14:paraId="73EB7577" w14:textId="77777777" w:rsidR="003B5892" w:rsidRPr="003B5892" w:rsidRDefault="003B5892" w:rsidP="00023291">
      <w:pPr>
        <w:widowControl w:val="0"/>
        <w:shd w:val="clear" w:color="auto" w:fill="FFFFFF"/>
        <w:tabs>
          <w:tab w:val="left" w:pos="9638"/>
        </w:tabs>
        <w:spacing w:after="0" w:line="274" w:lineRule="exact"/>
        <w:ind w:firstLine="709"/>
        <w:jc w:val="center"/>
        <w:rPr>
          <w:rFonts w:ascii="Times New Roman" w:eastAsia="Times New Roman" w:hAnsi="Times New Roman" w:cs="Times New Roman"/>
          <w:b/>
          <w:bCs/>
          <w:color w:val="000000"/>
          <w:spacing w:val="-2"/>
          <w:kern w:val="0"/>
          <w:sz w:val="24"/>
          <w:szCs w:val="24"/>
          <w:lang w:val="uk-UA" w:eastAsia="ru-RU"/>
          <w14:ligatures w14:val="none"/>
        </w:rPr>
      </w:pPr>
    </w:p>
    <w:p w14:paraId="1C783711" w14:textId="18B0092C" w:rsidR="00815545" w:rsidRPr="003B5892" w:rsidRDefault="004C5E80" w:rsidP="00023291">
      <w:pPr>
        <w:shd w:val="clear" w:color="auto" w:fill="FFFFFF"/>
        <w:tabs>
          <w:tab w:val="left" w:pos="9638"/>
        </w:tabs>
        <w:spacing w:after="0" w:line="240" w:lineRule="auto"/>
        <w:rPr>
          <w:rFonts w:ascii="Times New Roman" w:eastAsia="Times New Roman" w:hAnsi="Times New Roman" w:cs="Times New Roman"/>
          <w:b/>
          <w:bCs/>
          <w:kern w:val="0"/>
          <w:sz w:val="24"/>
          <w:szCs w:val="24"/>
          <w:lang w:val="uk-UA"/>
          <w14:ligatures w14:val="none"/>
        </w:rPr>
      </w:pPr>
      <w:r>
        <w:rPr>
          <w:rFonts w:ascii="Times New Roman" w:eastAsia="Times New Roman" w:hAnsi="Times New Roman" w:cs="Times New Roman"/>
          <w:b/>
          <w:bCs/>
          <w:kern w:val="0"/>
          <w:sz w:val="24"/>
          <w:szCs w:val="24"/>
          <w:lang w:val="uk-UA" w:eastAsia="uk-UA"/>
          <w14:ligatures w14:val="none"/>
        </w:rPr>
        <w:br w:type="column"/>
      </w:r>
      <w:r w:rsidR="00F06025" w:rsidRPr="00B44B71">
        <w:rPr>
          <w:rFonts w:ascii="Times New Roman" w:eastAsia="Times New Roman" w:hAnsi="Times New Roman" w:cs="Times New Roman"/>
          <w:kern w:val="0"/>
          <w:sz w:val="23"/>
          <w:szCs w:val="23"/>
          <w:lang w:val="uk-UA" w:eastAsia="ru-RU"/>
          <w14:ligatures w14:val="none"/>
        </w:rPr>
        <w:lastRenderedPageBreak/>
        <w:t>ISSN: 2617-1775</w:t>
      </w:r>
      <w:r w:rsidR="00F06025" w:rsidRPr="00E4040F">
        <w:rPr>
          <w:rFonts w:ascii="Times New Roman" w:eastAsia="Calibri" w:hAnsi="Times New Roman" w:cs="Times New Roman"/>
          <w:b/>
          <w:kern w:val="0"/>
          <w:sz w:val="24"/>
          <w:szCs w:val="24"/>
          <w:lang w:val="uk-UA"/>
          <w14:ligatures w14:val="none"/>
        </w:rPr>
        <w:t xml:space="preserve"> </w:t>
      </w:r>
      <w:r w:rsidR="00F06025" w:rsidRPr="00F06025">
        <w:rPr>
          <w:rFonts w:ascii="Times New Roman" w:eastAsia="Calibri" w:hAnsi="Times New Roman" w:cs="Times New Roman"/>
          <w:b/>
          <w:kern w:val="0"/>
          <w:sz w:val="24"/>
          <w:szCs w:val="24"/>
          <w14:ligatures w14:val="none"/>
        </w:rPr>
        <w:t xml:space="preserve">                                                                 </w:t>
      </w:r>
      <w:r w:rsidR="00A33FA5">
        <w:rPr>
          <w:rFonts w:ascii="Times New Roman" w:eastAsia="Calibri" w:hAnsi="Times New Roman" w:cs="Times New Roman"/>
          <w:b/>
          <w:kern w:val="0"/>
          <w:sz w:val="24"/>
          <w:szCs w:val="24"/>
          <w:lang w:val="uk-UA"/>
          <w14:ligatures w14:val="none"/>
        </w:rPr>
        <w:t xml:space="preserve">                    </w:t>
      </w:r>
      <w:r w:rsidR="00815545">
        <w:rPr>
          <w:rFonts w:ascii="Times New Roman" w:eastAsia="Times New Roman" w:hAnsi="Times New Roman" w:cs="Times New Roman"/>
          <w:b/>
          <w:bCs/>
          <w:kern w:val="0"/>
          <w:sz w:val="24"/>
          <w:szCs w:val="24"/>
          <w:lang w:val="uk-UA"/>
          <w14:ligatures w14:val="none"/>
        </w:rPr>
        <w:t xml:space="preserve">УДК </w:t>
      </w:r>
      <w:r w:rsidR="00815545" w:rsidRPr="003B5892">
        <w:rPr>
          <w:rFonts w:ascii="Times New Roman" w:eastAsia="Times New Roman" w:hAnsi="Times New Roman" w:cs="Times New Roman"/>
          <w:b/>
          <w:bCs/>
          <w:kern w:val="0"/>
          <w:sz w:val="24"/>
          <w:szCs w:val="24"/>
          <w:lang w:val="uk-UA"/>
          <w14:ligatures w14:val="none"/>
        </w:rPr>
        <w:t>355.078.2:001.89(477)</w:t>
      </w:r>
    </w:p>
    <w:p w14:paraId="703D343F" w14:textId="093EFDCD" w:rsidR="00F06025" w:rsidRPr="004E1190" w:rsidRDefault="00F06025" w:rsidP="00023291">
      <w:pPr>
        <w:tabs>
          <w:tab w:val="left" w:pos="9638"/>
        </w:tabs>
        <w:spacing w:after="0" w:line="240" w:lineRule="auto"/>
        <w:rPr>
          <w:rFonts w:ascii="Times New Roman" w:eastAsia="Calibri" w:hAnsi="Times New Roman" w:cs="Times New Roman"/>
          <w:b/>
          <w:kern w:val="0"/>
          <w:sz w:val="24"/>
          <w:szCs w:val="24"/>
          <w14:ligatures w14:val="none"/>
        </w:rPr>
      </w:pPr>
      <w:r w:rsidRPr="00B44B71">
        <w:rPr>
          <w:rFonts w:ascii="Times New Roman" w:eastAsia="Times New Roman" w:hAnsi="Times New Roman" w:cs="Times New Roman"/>
          <w:kern w:val="0"/>
          <w:sz w:val="23"/>
          <w:szCs w:val="23"/>
          <w:lang w:val="uk-UA" w:eastAsia="ru-RU"/>
          <w14:ligatures w14:val="none"/>
        </w:rPr>
        <w:t>ISSN: 2617-1783 (online)</w:t>
      </w:r>
      <w:r>
        <w:rPr>
          <w:rFonts w:ascii="Times New Roman" w:eastAsia="Times New Roman" w:hAnsi="Times New Roman" w:cs="Times New Roman"/>
          <w:kern w:val="0"/>
          <w:sz w:val="23"/>
          <w:szCs w:val="23"/>
          <w:lang w:eastAsia="ru-RU"/>
          <w14:ligatures w14:val="none"/>
        </w:rPr>
        <w:t xml:space="preserve">                                                        </w:t>
      </w:r>
      <w:r w:rsidRPr="004E1190">
        <w:rPr>
          <w:rFonts w:ascii="Times New Roman" w:eastAsia="Times New Roman" w:hAnsi="Times New Roman" w:cs="Times New Roman"/>
          <w:bCs/>
          <w:smallCaps/>
          <w:color w:val="000000"/>
          <w:kern w:val="0"/>
          <w:sz w:val="24"/>
          <w:szCs w:val="24"/>
          <w:lang w:eastAsia="ru-RU"/>
          <w14:ligatures w14:val="none"/>
        </w:rPr>
        <w:t>DOI</w:t>
      </w:r>
      <w:r w:rsidRPr="004E1190">
        <w:rPr>
          <w:rFonts w:ascii="Times New Roman" w:eastAsia="Times New Roman" w:hAnsi="Times New Roman" w:cs="Times New Roman"/>
          <w:bCs/>
          <w:smallCaps/>
          <w:color w:val="000000"/>
          <w:kern w:val="0"/>
          <w:sz w:val="24"/>
          <w:szCs w:val="24"/>
          <w:lang w:val="uk-UA" w:eastAsia="ru-RU"/>
          <w14:ligatures w14:val="none"/>
        </w:rPr>
        <w:t>:10.33099/2617-1775/2026-01/</w:t>
      </w:r>
      <w:r w:rsidR="00BF1208">
        <w:rPr>
          <w:rFonts w:ascii="Times New Roman" w:eastAsia="Times New Roman" w:hAnsi="Times New Roman" w:cs="Times New Roman"/>
          <w:bCs/>
          <w:smallCaps/>
          <w:color w:val="000000"/>
          <w:kern w:val="0"/>
          <w:sz w:val="24"/>
          <w:szCs w:val="24"/>
          <w:lang w:val="uk-UA" w:eastAsia="ru-RU"/>
          <w14:ligatures w14:val="none"/>
        </w:rPr>
        <w:t>42-56</w:t>
      </w:r>
    </w:p>
    <w:p w14:paraId="770A3B3C" w14:textId="77777777" w:rsidR="00F06025" w:rsidRPr="00B44B71" w:rsidRDefault="00F06025" w:rsidP="00023291">
      <w:pPr>
        <w:tabs>
          <w:tab w:val="left" w:pos="9638"/>
        </w:tabs>
        <w:spacing w:after="0" w:line="240" w:lineRule="auto"/>
        <w:jc w:val="both"/>
        <w:rPr>
          <w:rFonts w:ascii="Times New Roman" w:eastAsia="Calibri" w:hAnsi="Times New Roman" w:cs="Times New Roman"/>
          <w:b/>
          <w:kern w:val="0"/>
          <w:sz w:val="28"/>
          <w:szCs w:val="28"/>
          <w:lang w:val="uk-UA"/>
          <w14:ligatures w14:val="none"/>
        </w:rPr>
      </w:pPr>
    </w:p>
    <w:p w14:paraId="3BE52895" w14:textId="77777777" w:rsidR="000F5770" w:rsidRPr="003B5892" w:rsidRDefault="000F5770" w:rsidP="00023291">
      <w:pPr>
        <w:tabs>
          <w:tab w:val="left" w:pos="9638"/>
        </w:tabs>
        <w:spacing w:after="0" w:line="240" w:lineRule="auto"/>
        <w:ind w:left="1134"/>
        <w:jc w:val="right"/>
        <w:rPr>
          <w:rFonts w:ascii="Times New Roman" w:eastAsia="Times New Roman" w:hAnsi="Times New Roman" w:cs="Times New Roman"/>
          <w:b/>
          <w:bCs/>
          <w:color w:val="000000"/>
          <w:kern w:val="0"/>
          <w:sz w:val="24"/>
          <w:szCs w:val="24"/>
          <w:lang w:val="uk-UA" w:eastAsia="ru-RU"/>
          <w14:ligatures w14:val="none"/>
        </w:rPr>
      </w:pPr>
      <w:r w:rsidRPr="003B5892">
        <w:rPr>
          <w:rFonts w:ascii="Times New Roman" w:eastAsia="Times New Roman" w:hAnsi="Times New Roman" w:cs="Times New Roman"/>
          <w:b/>
          <w:bCs/>
          <w:color w:val="000000"/>
          <w:kern w:val="0"/>
          <w:sz w:val="24"/>
          <w:szCs w:val="24"/>
          <w:lang w:val="uk-UA" w:eastAsia="ru-RU"/>
          <w14:ligatures w14:val="none"/>
        </w:rPr>
        <w:t>Аркадій Атрохов,</w:t>
      </w:r>
    </w:p>
    <w:p w14:paraId="6152C268" w14:textId="77777777" w:rsidR="000F5770" w:rsidRPr="003B5892" w:rsidRDefault="000F5770" w:rsidP="00023291">
      <w:pPr>
        <w:tabs>
          <w:tab w:val="left" w:pos="9638"/>
        </w:tabs>
        <w:spacing w:after="0" w:line="240" w:lineRule="auto"/>
        <w:ind w:left="1134"/>
        <w:jc w:val="right"/>
        <w:rPr>
          <w:rFonts w:ascii="Times New Roman" w:eastAsia="Times New Roman" w:hAnsi="Times New Roman" w:cs="Times New Roman"/>
          <w:color w:val="000000"/>
          <w:kern w:val="0"/>
          <w:sz w:val="24"/>
          <w:szCs w:val="24"/>
          <w:lang w:val="uk-UA" w:eastAsia="ru-RU"/>
          <w14:ligatures w14:val="none"/>
        </w:rPr>
      </w:pPr>
      <w:r w:rsidRPr="003B5892">
        <w:rPr>
          <w:rFonts w:ascii="Times New Roman" w:eastAsia="Times New Roman" w:hAnsi="Times New Roman" w:cs="Times New Roman"/>
          <w:color w:val="000000"/>
          <w:kern w:val="0"/>
          <w:sz w:val="24"/>
          <w:szCs w:val="24"/>
          <w:lang w:val="uk-UA" w:eastAsia="ru-RU"/>
          <w14:ligatures w14:val="none"/>
        </w:rPr>
        <w:t>кандидат технічних наук, старший науковий співробітник</w:t>
      </w:r>
    </w:p>
    <w:p w14:paraId="3EF8E74C" w14:textId="77777777" w:rsidR="000F5770" w:rsidRPr="003B5892" w:rsidRDefault="000F5770" w:rsidP="00023291">
      <w:pPr>
        <w:tabs>
          <w:tab w:val="left" w:pos="9638"/>
        </w:tabs>
        <w:spacing w:after="0" w:line="240" w:lineRule="auto"/>
        <w:ind w:left="1134"/>
        <w:jc w:val="right"/>
        <w:rPr>
          <w:rFonts w:ascii="Times New Roman" w:eastAsia="Times New Roman" w:hAnsi="Times New Roman" w:cs="Times New Roman"/>
          <w:color w:val="000000"/>
          <w:kern w:val="0"/>
          <w:sz w:val="24"/>
          <w:szCs w:val="24"/>
          <w:lang w:val="uk-UA" w:eastAsia="ru-RU"/>
          <w14:ligatures w14:val="none"/>
        </w:rPr>
      </w:pPr>
      <w:r w:rsidRPr="003B5892">
        <w:rPr>
          <w:rFonts w:ascii="Times New Roman" w:eastAsia="Times New Roman" w:hAnsi="Times New Roman" w:cs="Times New Roman"/>
          <w:color w:val="000000"/>
          <w:kern w:val="0"/>
          <w:sz w:val="24"/>
          <w:szCs w:val="24"/>
          <w:lang w:val="uk-UA" w:eastAsia="ru-RU"/>
          <w14:ligatures w14:val="none"/>
        </w:rPr>
        <w:t xml:space="preserve">Національний університет оборони України, м. Київ </w:t>
      </w:r>
    </w:p>
    <w:p w14:paraId="6DCE2E71" w14:textId="77777777" w:rsidR="000F5770" w:rsidRPr="003B5892" w:rsidRDefault="000F5770" w:rsidP="00023291">
      <w:pPr>
        <w:tabs>
          <w:tab w:val="left" w:pos="9638"/>
        </w:tabs>
        <w:spacing w:after="0" w:line="240" w:lineRule="auto"/>
        <w:ind w:firstLine="709"/>
        <w:jc w:val="right"/>
        <w:rPr>
          <w:rFonts w:ascii="Times New Roman" w:eastAsia="Times New Roman" w:hAnsi="Times New Roman" w:cs="Times New Roman"/>
          <w:color w:val="000000"/>
          <w:kern w:val="0"/>
          <w:sz w:val="24"/>
          <w:szCs w:val="24"/>
          <w:lang w:val="uk-UA"/>
          <w14:ligatures w14:val="none"/>
        </w:rPr>
      </w:pPr>
      <w:hyperlink r:id="rId35" w:history="1">
        <w:r w:rsidRPr="003B5892">
          <w:rPr>
            <w:rFonts w:ascii="Times New Roman" w:eastAsia="Times New Roman" w:hAnsi="Times New Roman" w:cs="Times New Roman"/>
            <w:color w:val="000000"/>
            <w:kern w:val="0"/>
            <w:sz w:val="24"/>
            <w:szCs w:val="24"/>
            <w:u w:val="single"/>
            <w:lang w:val="uk-UA"/>
            <w14:ligatures w14:val="none"/>
          </w:rPr>
          <w:t>https://orcid.org/0000-0001-7162-1638</w:t>
        </w:r>
      </w:hyperlink>
    </w:p>
    <w:p w14:paraId="19D88B1B" w14:textId="77777777" w:rsidR="000F5770" w:rsidRPr="003B5892" w:rsidRDefault="000F5770" w:rsidP="00023291">
      <w:pPr>
        <w:tabs>
          <w:tab w:val="left" w:pos="9638"/>
        </w:tabs>
        <w:spacing w:after="0" w:line="240" w:lineRule="auto"/>
        <w:ind w:firstLine="709"/>
        <w:jc w:val="right"/>
        <w:rPr>
          <w:rFonts w:ascii="Times New Roman" w:eastAsia="Times New Roman" w:hAnsi="Times New Roman" w:cs="Times New Roman"/>
          <w:b/>
          <w:bCs/>
          <w:color w:val="000000"/>
          <w:kern w:val="0"/>
          <w:sz w:val="24"/>
          <w:szCs w:val="24"/>
          <w:lang w:val="uk-UA"/>
          <w14:ligatures w14:val="none"/>
        </w:rPr>
      </w:pPr>
      <w:r w:rsidRPr="003B5892">
        <w:rPr>
          <w:rFonts w:ascii="Times New Roman" w:eastAsia="Times New Roman" w:hAnsi="Times New Roman" w:cs="Times New Roman"/>
          <w:b/>
          <w:bCs/>
          <w:color w:val="000000"/>
          <w:kern w:val="0"/>
          <w:sz w:val="24"/>
          <w:szCs w:val="24"/>
          <w:lang w:val="uk-UA"/>
          <w14:ligatures w14:val="none"/>
        </w:rPr>
        <w:t>Юрій Сокоринський,</w:t>
      </w:r>
    </w:p>
    <w:p w14:paraId="235D4D92" w14:textId="77777777" w:rsidR="000F5770" w:rsidRPr="003B5892" w:rsidRDefault="000F5770" w:rsidP="00023291">
      <w:pPr>
        <w:tabs>
          <w:tab w:val="left" w:pos="9638"/>
        </w:tabs>
        <w:spacing w:after="0" w:line="240" w:lineRule="auto"/>
        <w:ind w:firstLine="709"/>
        <w:jc w:val="right"/>
        <w:rPr>
          <w:rFonts w:ascii="Times New Roman" w:eastAsia="Times New Roman" w:hAnsi="Times New Roman" w:cs="Times New Roman"/>
          <w:color w:val="000000"/>
          <w:kern w:val="0"/>
          <w:sz w:val="24"/>
          <w:szCs w:val="24"/>
          <w:lang w:val="uk-UA"/>
          <w14:ligatures w14:val="none"/>
        </w:rPr>
      </w:pPr>
      <w:r w:rsidRPr="003B5892">
        <w:rPr>
          <w:rFonts w:ascii="Times New Roman" w:eastAsia="Times New Roman" w:hAnsi="Times New Roman" w:cs="Times New Roman"/>
          <w:color w:val="000000"/>
          <w:kern w:val="0"/>
          <w:sz w:val="24"/>
          <w:szCs w:val="24"/>
          <w:lang w:val="uk-UA"/>
          <w14:ligatures w14:val="none"/>
        </w:rPr>
        <w:t>доктор юридичних наук, доцент</w:t>
      </w:r>
    </w:p>
    <w:p w14:paraId="4D75ADCF" w14:textId="77777777" w:rsidR="000F5770" w:rsidRPr="003B5892" w:rsidRDefault="000F5770" w:rsidP="00023291">
      <w:pPr>
        <w:tabs>
          <w:tab w:val="left" w:pos="9638"/>
        </w:tabs>
        <w:spacing w:after="0" w:line="240" w:lineRule="auto"/>
        <w:ind w:firstLine="709"/>
        <w:jc w:val="right"/>
        <w:rPr>
          <w:rFonts w:ascii="Times New Roman" w:eastAsia="Times New Roman" w:hAnsi="Times New Roman" w:cs="Times New Roman"/>
          <w:color w:val="000000"/>
          <w:kern w:val="0"/>
          <w:sz w:val="24"/>
          <w:szCs w:val="24"/>
          <w:lang w:val="uk-UA"/>
          <w14:ligatures w14:val="none"/>
        </w:rPr>
      </w:pPr>
      <w:r w:rsidRPr="003B5892">
        <w:rPr>
          <w:rFonts w:ascii="Times New Roman" w:eastAsia="Times New Roman" w:hAnsi="Times New Roman" w:cs="Times New Roman"/>
          <w:color w:val="000000"/>
          <w:kern w:val="0"/>
          <w:sz w:val="24"/>
          <w:szCs w:val="24"/>
          <w:lang w:val="uk-UA"/>
          <w14:ligatures w14:val="none"/>
        </w:rPr>
        <w:t>Служба безпеки України, м. Київ</w:t>
      </w:r>
    </w:p>
    <w:p w14:paraId="3699BAE3" w14:textId="77777777" w:rsidR="000F5770" w:rsidRPr="003B5892" w:rsidRDefault="000F5770" w:rsidP="00023291">
      <w:pPr>
        <w:shd w:val="clear" w:color="auto" w:fill="FFFFFF"/>
        <w:tabs>
          <w:tab w:val="left" w:pos="9638"/>
        </w:tabs>
        <w:spacing w:after="0" w:line="240" w:lineRule="auto"/>
        <w:ind w:firstLine="709"/>
        <w:jc w:val="right"/>
        <w:rPr>
          <w:rFonts w:ascii="Times New Roman" w:eastAsia="Times New Roman" w:hAnsi="Times New Roman" w:cs="Times New Roman"/>
          <w:color w:val="000000"/>
          <w:kern w:val="0"/>
          <w:sz w:val="24"/>
          <w:szCs w:val="24"/>
          <w:u w:val="single"/>
          <w:lang w:val="uk-UA"/>
          <w14:ligatures w14:val="none"/>
        </w:rPr>
      </w:pPr>
      <w:hyperlink r:id="rId36" w:history="1">
        <w:r w:rsidRPr="003B5892">
          <w:rPr>
            <w:rFonts w:ascii="Times New Roman" w:eastAsia="Times New Roman" w:hAnsi="Times New Roman" w:cs="Times New Roman"/>
            <w:color w:val="000000"/>
            <w:kern w:val="0"/>
            <w:sz w:val="24"/>
            <w:szCs w:val="24"/>
            <w:u w:val="single"/>
            <w:lang w:val="en-GB" w:eastAsia="ru-RU"/>
            <w14:ligatures w14:val="none"/>
          </w:rPr>
          <w:t>https</w:t>
        </w:r>
        <w:r w:rsidRPr="003B5892">
          <w:rPr>
            <w:rFonts w:ascii="Times New Roman" w:eastAsia="Times New Roman" w:hAnsi="Times New Roman" w:cs="Times New Roman"/>
            <w:color w:val="000000"/>
            <w:kern w:val="0"/>
            <w:sz w:val="24"/>
            <w:szCs w:val="24"/>
            <w:u w:val="single"/>
            <w:lang w:val="uk-UA" w:eastAsia="ru-RU"/>
            <w14:ligatures w14:val="none"/>
          </w:rPr>
          <w:t>://</w:t>
        </w:r>
        <w:r w:rsidRPr="003B5892">
          <w:rPr>
            <w:rFonts w:ascii="Times New Roman" w:eastAsia="Times New Roman" w:hAnsi="Times New Roman" w:cs="Times New Roman"/>
            <w:color w:val="000000"/>
            <w:kern w:val="0"/>
            <w:sz w:val="24"/>
            <w:szCs w:val="24"/>
            <w:u w:val="single"/>
            <w:lang w:val="en-GB" w:eastAsia="ru-RU"/>
            <w14:ligatures w14:val="none"/>
          </w:rPr>
          <w:t>orcid</w:t>
        </w:r>
        <w:r w:rsidRPr="003B5892">
          <w:rPr>
            <w:rFonts w:ascii="Times New Roman" w:eastAsia="Times New Roman" w:hAnsi="Times New Roman" w:cs="Times New Roman"/>
            <w:color w:val="000000"/>
            <w:kern w:val="0"/>
            <w:sz w:val="24"/>
            <w:szCs w:val="24"/>
            <w:u w:val="single"/>
            <w:lang w:val="uk-UA" w:eastAsia="ru-RU"/>
            <w14:ligatures w14:val="none"/>
          </w:rPr>
          <w:t>.</w:t>
        </w:r>
        <w:r w:rsidRPr="003B5892">
          <w:rPr>
            <w:rFonts w:ascii="Times New Roman" w:eastAsia="Times New Roman" w:hAnsi="Times New Roman" w:cs="Times New Roman"/>
            <w:color w:val="000000"/>
            <w:kern w:val="0"/>
            <w:sz w:val="24"/>
            <w:szCs w:val="24"/>
            <w:u w:val="single"/>
            <w:lang w:val="en-GB" w:eastAsia="ru-RU"/>
            <w14:ligatures w14:val="none"/>
          </w:rPr>
          <w:t>org</w:t>
        </w:r>
        <w:r w:rsidRPr="003B5892">
          <w:rPr>
            <w:rFonts w:ascii="Times New Roman" w:eastAsia="Times New Roman" w:hAnsi="Times New Roman" w:cs="Times New Roman"/>
            <w:color w:val="000000"/>
            <w:kern w:val="0"/>
            <w:sz w:val="24"/>
            <w:szCs w:val="24"/>
            <w:u w:val="single"/>
            <w:lang w:val="uk-UA" w:eastAsia="ru-RU"/>
            <w14:ligatures w14:val="none"/>
          </w:rPr>
          <w:t>/0000- 0002-8907- 98803</w:t>
        </w:r>
      </w:hyperlink>
    </w:p>
    <w:p w14:paraId="42A36464" w14:textId="77777777" w:rsidR="000F5770" w:rsidRPr="003B5892" w:rsidRDefault="000F5770" w:rsidP="00023291">
      <w:pPr>
        <w:tabs>
          <w:tab w:val="left" w:pos="9638"/>
        </w:tabs>
        <w:spacing w:after="0" w:line="240" w:lineRule="auto"/>
        <w:ind w:left="1134"/>
        <w:jc w:val="right"/>
        <w:rPr>
          <w:rFonts w:ascii="Times New Roman" w:eastAsia="Times New Roman" w:hAnsi="Times New Roman" w:cs="Times New Roman"/>
          <w:color w:val="000000"/>
          <w:kern w:val="0"/>
          <w:sz w:val="24"/>
          <w:szCs w:val="24"/>
          <w:u w:val="single"/>
          <w:lang w:val="uk-UA" w:eastAsia="ru-RU"/>
          <w14:ligatures w14:val="none"/>
        </w:rPr>
      </w:pPr>
      <w:r w:rsidRPr="003B5892">
        <w:rPr>
          <w:rFonts w:ascii="Times New Roman" w:eastAsia="Times New Roman" w:hAnsi="Times New Roman" w:cs="Times New Roman"/>
          <w:b/>
          <w:bCs/>
          <w:color w:val="000000"/>
          <w:kern w:val="0"/>
          <w:sz w:val="24"/>
          <w:szCs w:val="24"/>
          <w:lang w:val="uk-UA" w:eastAsia="ru-RU"/>
          <w14:ligatures w14:val="none"/>
        </w:rPr>
        <w:t xml:space="preserve">Андрій Наливайко, </w:t>
      </w:r>
    </w:p>
    <w:p w14:paraId="114F2693" w14:textId="77777777" w:rsidR="000F5770" w:rsidRPr="003B5892" w:rsidRDefault="000F5770" w:rsidP="00023291">
      <w:pPr>
        <w:tabs>
          <w:tab w:val="left" w:pos="9638"/>
        </w:tabs>
        <w:spacing w:after="0" w:line="240" w:lineRule="auto"/>
        <w:ind w:left="1134"/>
        <w:jc w:val="right"/>
        <w:rPr>
          <w:rFonts w:ascii="Times New Roman" w:eastAsia="Times New Roman" w:hAnsi="Times New Roman" w:cs="Times New Roman"/>
          <w:color w:val="000000"/>
          <w:kern w:val="0"/>
          <w:sz w:val="24"/>
          <w:szCs w:val="24"/>
          <w:lang w:val="uk-UA" w:eastAsia="ru-RU"/>
          <w14:ligatures w14:val="none"/>
        </w:rPr>
      </w:pPr>
      <w:r w:rsidRPr="003B5892">
        <w:rPr>
          <w:rFonts w:ascii="Times New Roman" w:eastAsia="Times New Roman" w:hAnsi="Times New Roman" w:cs="Times New Roman"/>
          <w:color w:val="000000"/>
          <w:kern w:val="0"/>
          <w:sz w:val="24"/>
          <w:szCs w:val="24"/>
          <w:lang w:val="uk-UA" w:eastAsia="ru-RU"/>
          <w14:ligatures w14:val="none"/>
        </w:rPr>
        <w:t>кандидат технічних наук, доцент</w:t>
      </w:r>
    </w:p>
    <w:p w14:paraId="24878B81" w14:textId="77777777" w:rsidR="000F5770" w:rsidRPr="003B5892" w:rsidRDefault="000F5770" w:rsidP="00023291">
      <w:pPr>
        <w:tabs>
          <w:tab w:val="left" w:pos="9638"/>
        </w:tabs>
        <w:spacing w:after="0" w:line="240" w:lineRule="auto"/>
        <w:ind w:left="1134"/>
        <w:jc w:val="right"/>
        <w:rPr>
          <w:rFonts w:ascii="Times New Roman" w:eastAsia="Times New Roman" w:hAnsi="Times New Roman" w:cs="Times New Roman"/>
          <w:color w:val="000000"/>
          <w:kern w:val="0"/>
          <w:sz w:val="24"/>
          <w:szCs w:val="24"/>
          <w:lang w:val="uk-UA" w:eastAsia="ru-RU"/>
          <w14:ligatures w14:val="none"/>
        </w:rPr>
      </w:pPr>
      <w:r w:rsidRPr="003B5892">
        <w:rPr>
          <w:rFonts w:ascii="Times New Roman" w:eastAsia="Times New Roman" w:hAnsi="Times New Roman" w:cs="Times New Roman"/>
          <w:color w:val="000000"/>
          <w:kern w:val="0"/>
          <w:sz w:val="24"/>
          <w:szCs w:val="24"/>
          <w:lang w:val="uk-UA" w:eastAsia="ru-RU"/>
          <w14:ligatures w14:val="none"/>
        </w:rPr>
        <w:t xml:space="preserve">Національний університет оборони України, м. Київ </w:t>
      </w:r>
    </w:p>
    <w:p w14:paraId="7EFF8CE1" w14:textId="77777777" w:rsidR="000F5770" w:rsidRDefault="000F5770" w:rsidP="00023291">
      <w:pPr>
        <w:shd w:val="clear" w:color="auto" w:fill="FFFFFF"/>
        <w:tabs>
          <w:tab w:val="left" w:pos="9638"/>
        </w:tabs>
        <w:spacing w:after="0" w:line="240" w:lineRule="auto"/>
        <w:ind w:firstLine="709"/>
        <w:jc w:val="right"/>
        <w:rPr>
          <w:lang w:val="uk-UA"/>
        </w:rPr>
      </w:pPr>
      <w:hyperlink r:id="rId37" w:history="1">
        <w:r w:rsidRPr="003B5892">
          <w:rPr>
            <w:rFonts w:ascii="Times New Roman" w:eastAsia="Times New Roman" w:hAnsi="Times New Roman" w:cs="Times New Roman"/>
            <w:color w:val="000000"/>
            <w:kern w:val="0"/>
            <w:sz w:val="24"/>
            <w:szCs w:val="24"/>
            <w:u w:val="single"/>
            <w:lang w:val="en-GB" w:eastAsia="ru-RU"/>
            <w14:ligatures w14:val="none"/>
          </w:rPr>
          <w:t>https</w:t>
        </w:r>
        <w:r w:rsidRPr="003B5892">
          <w:rPr>
            <w:rFonts w:ascii="Times New Roman" w:eastAsia="Times New Roman" w:hAnsi="Times New Roman" w:cs="Times New Roman"/>
            <w:color w:val="000000"/>
            <w:kern w:val="0"/>
            <w:sz w:val="24"/>
            <w:szCs w:val="24"/>
            <w:u w:val="single"/>
            <w:lang w:val="uk-UA" w:eastAsia="ru-RU"/>
            <w14:ligatures w14:val="none"/>
          </w:rPr>
          <w:t>://</w:t>
        </w:r>
        <w:r w:rsidRPr="003B5892">
          <w:rPr>
            <w:rFonts w:ascii="Times New Roman" w:eastAsia="Times New Roman" w:hAnsi="Times New Roman" w:cs="Times New Roman"/>
            <w:color w:val="000000"/>
            <w:kern w:val="0"/>
            <w:sz w:val="24"/>
            <w:szCs w:val="24"/>
            <w:u w:val="single"/>
            <w:lang w:val="en-GB" w:eastAsia="ru-RU"/>
            <w14:ligatures w14:val="none"/>
          </w:rPr>
          <w:t>orcid</w:t>
        </w:r>
        <w:r w:rsidRPr="003B5892">
          <w:rPr>
            <w:rFonts w:ascii="Times New Roman" w:eastAsia="Times New Roman" w:hAnsi="Times New Roman" w:cs="Times New Roman"/>
            <w:color w:val="000000"/>
            <w:kern w:val="0"/>
            <w:sz w:val="24"/>
            <w:szCs w:val="24"/>
            <w:u w:val="single"/>
            <w:lang w:val="uk-UA" w:eastAsia="ru-RU"/>
            <w14:ligatures w14:val="none"/>
          </w:rPr>
          <w:t>.</w:t>
        </w:r>
        <w:r w:rsidRPr="003B5892">
          <w:rPr>
            <w:rFonts w:ascii="Times New Roman" w:eastAsia="Times New Roman" w:hAnsi="Times New Roman" w:cs="Times New Roman"/>
            <w:color w:val="000000"/>
            <w:kern w:val="0"/>
            <w:sz w:val="24"/>
            <w:szCs w:val="24"/>
            <w:u w:val="single"/>
            <w:lang w:val="en-GB" w:eastAsia="ru-RU"/>
            <w14:ligatures w14:val="none"/>
          </w:rPr>
          <w:t>org</w:t>
        </w:r>
        <w:r w:rsidRPr="003B5892">
          <w:rPr>
            <w:rFonts w:ascii="Times New Roman" w:eastAsia="Times New Roman" w:hAnsi="Times New Roman" w:cs="Times New Roman"/>
            <w:color w:val="000000"/>
            <w:kern w:val="0"/>
            <w:sz w:val="24"/>
            <w:szCs w:val="24"/>
            <w:u w:val="single"/>
            <w:lang w:val="uk-UA" w:eastAsia="ru-RU"/>
            <w14:ligatures w14:val="none"/>
          </w:rPr>
          <w:t>/0000- 0002-0675- 9603</w:t>
        </w:r>
      </w:hyperlink>
    </w:p>
    <w:p w14:paraId="59E56308" w14:textId="77777777" w:rsidR="00F96118" w:rsidRPr="00F96118" w:rsidRDefault="00F96118" w:rsidP="00023291">
      <w:pPr>
        <w:tabs>
          <w:tab w:val="left" w:pos="993"/>
          <w:tab w:val="left" w:pos="9638"/>
        </w:tabs>
        <w:spacing w:after="0" w:line="240" w:lineRule="auto"/>
        <w:jc w:val="right"/>
        <w:rPr>
          <w:rFonts w:ascii="Times New Roman" w:eastAsia="Calibri" w:hAnsi="Times New Roman" w:cs="Times New Roman"/>
          <w:kern w:val="0"/>
          <w:sz w:val="28"/>
          <w:szCs w:val="28"/>
          <w:lang w:val="uk-UA"/>
          <w14:ligatures w14:val="none"/>
        </w:rPr>
      </w:pPr>
    </w:p>
    <w:p w14:paraId="40A4A717" w14:textId="2A6221E1" w:rsidR="000F5770" w:rsidRPr="00654D6D" w:rsidRDefault="00654D6D" w:rsidP="00023291">
      <w:pPr>
        <w:shd w:val="clear" w:color="auto" w:fill="FFFFFF"/>
        <w:tabs>
          <w:tab w:val="left" w:pos="9638"/>
        </w:tabs>
        <w:spacing w:after="0" w:line="240" w:lineRule="auto"/>
        <w:jc w:val="center"/>
        <w:rPr>
          <w:rFonts w:ascii="Times New Roman" w:eastAsia="Times New Roman" w:hAnsi="Times New Roman" w:cs="Times New Roman"/>
          <w:b/>
          <w:kern w:val="0"/>
          <w:sz w:val="24"/>
          <w:szCs w:val="24"/>
          <w:lang w:val="uk-UA" w:eastAsia="x-none"/>
          <w14:ligatures w14:val="none"/>
        </w:rPr>
      </w:pPr>
      <w:r w:rsidRPr="00654D6D">
        <w:rPr>
          <w:rFonts w:ascii="Times New Roman" w:eastAsia="Times New Roman" w:hAnsi="Times New Roman" w:cs="Times New Roman"/>
          <w:b/>
          <w:kern w:val="0"/>
          <w:sz w:val="24"/>
          <w:szCs w:val="24"/>
          <w:lang w:val="uk-UA" w:eastAsia="x-none"/>
          <w14:ligatures w14:val="none"/>
        </w:rPr>
        <w:t xml:space="preserve">ШЛЯХИ  УДОСКОНАЛЕННЯ ВІДОМЧОЇ ТА МІЖВІДОМЧОЇ ВЗАЄМОДІЇ ПІД ЧАС НАУКОВОЇ І НАУКОВО-ТЕХНІЧНОЇ ДІЯЛЬНОСТІ У СИСТЕМІ МІНІСТЕРСТВА ОБОРОНИ УКРАЇНИ </w:t>
      </w:r>
    </w:p>
    <w:p w14:paraId="07AB074F" w14:textId="77777777" w:rsidR="000F5770" w:rsidRPr="003B5892" w:rsidRDefault="000F5770" w:rsidP="00023291">
      <w:pPr>
        <w:shd w:val="clear" w:color="auto" w:fill="FFFFFF"/>
        <w:tabs>
          <w:tab w:val="left" w:pos="9638"/>
        </w:tabs>
        <w:spacing w:after="0" w:line="240" w:lineRule="auto"/>
        <w:jc w:val="both"/>
        <w:rPr>
          <w:rFonts w:ascii="Times New Roman" w:eastAsia="Times New Roman" w:hAnsi="Times New Roman" w:cs="Times New Roman"/>
          <w:b/>
          <w:kern w:val="0"/>
          <w:sz w:val="26"/>
          <w:szCs w:val="26"/>
          <w:lang w:val="uk-UA" w:eastAsia="x-none"/>
          <w14:ligatures w14:val="none"/>
        </w:rPr>
      </w:pPr>
    </w:p>
    <w:p w14:paraId="47440F08" w14:textId="77777777" w:rsidR="000F5770" w:rsidRPr="003B5892" w:rsidRDefault="000F5770" w:rsidP="00023291">
      <w:pPr>
        <w:shd w:val="clear" w:color="auto" w:fill="FFFFFF"/>
        <w:tabs>
          <w:tab w:val="left" w:pos="1134"/>
          <w:tab w:val="left" w:pos="9638"/>
        </w:tabs>
        <w:spacing w:after="0" w:line="240" w:lineRule="auto"/>
        <w:ind w:firstLine="709"/>
        <w:jc w:val="both"/>
        <w:rPr>
          <w:rFonts w:ascii="Times New Roman" w:eastAsia="Calibri" w:hAnsi="Times New Roman" w:cs="Times New Roman"/>
          <w:i/>
          <w:color w:val="000000"/>
          <w:kern w:val="0"/>
          <w:sz w:val="24"/>
          <w:szCs w:val="24"/>
          <w:lang w:val="uk-UA" w:eastAsia="x-none"/>
          <w14:ligatures w14:val="none"/>
        </w:rPr>
      </w:pPr>
      <w:r w:rsidRPr="003B5892">
        <w:rPr>
          <w:rFonts w:ascii="Times New Roman" w:eastAsia="Calibri" w:hAnsi="Times New Roman" w:cs="Times New Roman"/>
          <w:i/>
          <w:color w:val="000000"/>
          <w:kern w:val="0"/>
          <w:sz w:val="24"/>
          <w:szCs w:val="24"/>
          <w:lang w:val="uk-UA" w:eastAsia="x-none"/>
          <w14:ligatures w14:val="none"/>
        </w:rPr>
        <w:t xml:space="preserve">У статті на основі аналізу нормативно-правових документів, </w:t>
      </w:r>
      <w:r w:rsidRPr="003B5892">
        <w:rPr>
          <w:rFonts w:ascii="Times New Roman" w:eastAsia="Times New Roman" w:hAnsi="Times New Roman" w:cs="Times New Roman"/>
          <w:i/>
          <w:iCs/>
          <w:color w:val="000000"/>
          <w:kern w:val="0"/>
          <w:sz w:val="24"/>
          <w:szCs w:val="24"/>
          <w:lang w:val="uk-UA"/>
          <w14:ligatures w14:val="none"/>
        </w:rPr>
        <w:t xml:space="preserve">структури організації наукової і науково-технічної діяльності в Україні, особливостей системи наукових установ, вищих військових навчальних закладів, військових навчальних підрозділів закладів вищої </w:t>
      </w:r>
      <w:r w:rsidRPr="003B5892">
        <w:rPr>
          <w:rFonts w:ascii="Times New Roman" w:eastAsia="Calibri" w:hAnsi="Times New Roman" w:cs="Times New Roman"/>
          <w:i/>
          <w:color w:val="000000"/>
          <w:kern w:val="0"/>
          <w:sz w:val="24"/>
          <w:szCs w:val="24"/>
          <w:lang w:val="uk-UA" w:eastAsia="x-none"/>
          <w14:ligatures w14:val="none"/>
        </w:rPr>
        <w:t xml:space="preserve">освіти сфери управління Міністерства оборони України розглянуто можливості щодо формування єдиного наукового простору, як інтегрованої мережево-орієнтованої системи, яка має забезпечити ефективну взаємодію суб’єктів </w:t>
      </w:r>
      <w:r w:rsidRPr="003B5892">
        <w:rPr>
          <w:rFonts w:ascii="Times New Roman" w:eastAsia="Times New Roman" w:hAnsi="Times New Roman" w:cs="Times New Roman"/>
          <w:i/>
          <w:iCs/>
          <w:color w:val="000000"/>
          <w:kern w:val="0"/>
          <w:sz w:val="24"/>
          <w:szCs w:val="24"/>
          <w:lang w:val="uk-UA"/>
          <w14:ligatures w14:val="none"/>
        </w:rPr>
        <w:t xml:space="preserve">наукової і науково-технічної діяльності </w:t>
      </w:r>
      <w:r w:rsidRPr="003B5892">
        <w:rPr>
          <w:rFonts w:ascii="Times New Roman" w:eastAsia="Calibri" w:hAnsi="Times New Roman" w:cs="Times New Roman"/>
          <w:i/>
          <w:color w:val="000000"/>
          <w:kern w:val="0"/>
          <w:sz w:val="24"/>
          <w:szCs w:val="24"/>
          <w:lang w:val="uk-UA" w:eastAsia="x-none"/>
          <w14:ligatures w14:val="none"/>
        </w:rPr>
        <w:t xml:space="preserve">Міністерства оборони України. </w:t>
      </w:r>
    </w:p>
    <w:p w14:paraId="19017BA0" w14:textId="77777777" w:rsidR="000F5770" w:rsidRPr="003B5892" w:rsidRDefault="000F5770" w:rsidP="00023291">
      <w:pPr>
        <w:shd w:val="clear" w:color="auto" w:fill="FFFFFF"/>
        <w:tabs>
          <w:tab w:val="left" w:pos="1134"/>
          <w:tab w:val="left" w:pos="9638"/>
        </w:tabs>
        <w:spacing w:after="0" w:line="240" w:lineRule="auto"/>
        <w:ind w:firstLine="709"/>
        <w:jc w:val="both"/>
        <w:rPr>
          <w:rFonts w:ascii="Times New Roman" w:eastAsia="Calibri" w:hAnsi="Times New Roman" w:cs="Times New Roman"/>
          <w:i/>
          <w:color w:val="000000"/>
          <w:kern w:val="0"/>
          <w:sz w:val="24"/>
          <w:szCs w:val="24"/>
          <w:lang w:val="uk-UA" w:eastAsia="x-none"/>
          <w14:ligatures w14:val="none"/>
        </w:rPr>
      </w:pPr>
      <w:r w:rsidRPr="003B5892">
        <w:rPr>
          <w:rFonts w:ascii="Times New Roman" w:eastAsia="Calibri" w:hAnsi="Times New Roman" w:cs="Times New Roman"/>
          <w:i/>
          <w:color w:val="000000"/>
          <w:kern w:val="0"/>
          <w:sz w:val="24"/>
          <w:szCs w:val="24"/>
          <w:lang w:val="uk-UA" w:eastAsia="x-none"/>
          <w14:ligatures w14:val="none"/>
        </w:rPr>
        <w:t xml:space="preserve">Запропоновано </w:t>
      </w:r>
      <w:r w:rsidRPr="003B5892">
        <w:rPr>
          <w:rFonts w:ascii="Times New Roman" w:eastAsia="Times New Roman" w:hAnsi="Times New Roman" w:cs="Times New Roman"/>
          <w:i/>
          <w:color w:val="000000"/>
          <w:kern w:val="0"/>
          <w:sz w:val="24"/>
          <w:szCs w:val="24"/>
          <w:lang w:val="uk-UA"/>
          <w14:ligatures w14:val="none"/>
        </w:rPr>
        <w:t xml:space="preserve">варіант трансформації системи </w:t>
      </w:r>
      <w:r w:rsidRPr="003B5892">
        <w:rPr>
          <w:rFonts w:ascii="Times New Roman" w:eastAsia="Times New Roman" w:hAnsi="Times New Roman" w:cs="Times New Roman"/>
          <w:i/>
          <w:iCs/>
          <w:color w:val="000000"/>
          <w:kern w:val="0"/>
          <w:sz w:val="24"/>
          <w:szCs w:val="24"/>
          <w:lang w:val="uk-UA"/>
          <w14:ligatures w14:val="none"/>
        </w:rPr>
        <w:t xml:space="preserve">наукової і науково-технічної діяльності </w:t>
      </w:r>
      <w:r w:rsidRPr="003B5892">
        <w:rPr>
          <w:rFonts w:ascii="Times New Roman" w:eastAsia="Calibri" w:hAnsi="Times New Roman" w:cs="Times New Roman"/>
          <w:i/>
          <w:color w:val="000000"/>
          <w:kern w:val="0"/>
          <w:sz w:val="24"/>
          <w:szCs w:val="24"/>
          <w:lang w:val="uk-UA" w:eastAsia="x-none"/>
          <w14:ligatures w14:val="none"/>
        </w:rPr>
        <w:t>міністерства шляхом ф</w:t>
      </w:r>
      <w:r w:rsidRPr="003B5892">
        <w:rPr>
          <w:rFonts w:ascii="Times New Roman" w:eastAsia="Times New Roman" w:hAnsi="Times New Roman" w:cs="Times New Roman"/>
          <w:i/>
          <w:color w:val="000000"/>
          <w:kern w:val="0"/>
          <w:sz w:val="24"/>
          <w:szCs w:val="24"/>
          <w:lang w:val="uk-UA"/>
          <w14:ligatures w14:val="none"/>
        </w:rPr>
        <w:t xml:space="preserve">ормування єдиного наукового простору за рахунок здійснення поглибленої взаємодії </w:t>
      </w:r>
      <w:r w:rsidRPr="003B5892">
        <w:rPr>
          <w:rFonts w:ascii="Times New Roman" w:eastAsia="Times New Roman" w:hAnsi="Times New Roman" w:cs="Times New Roman"/>
          <w:i/>
          <w:iCs/>
          <w:color w:val="000000"/>
          <w:kern w:val="0"/>
          <w:sz w:val="24"/>
          <w:szCs w:val="24"/>
          <w:lang w:val="uk-UA"/>
          <w14:ligatures w14:val="none"/>
        </w:rPr>
        <w:t xml:space="preserve">наукових установ, вищих військових навчальних закладів, військових навчальних підрозділів закладів вищої </w:t>
      </w:r>
      <w:r w:rsidRPr="003B5892">
        <w:rPr>
          <w:rFonts w:ascii="Times New Roman" w:eastAsia="Calibri" w:hAnsi="Times New Roman" w:cs="Times New Roman"/>
          <w:i/>
          <w:color w:val="000000"/>
          <w:kern w:val="0"/>
          <w:sz w:val="24"/>
          <w:szCs w:val="24"/>
          <w:lang w:val="uk-UA" w:eastAsia="x-none"/>
          <w14:ligatures w14:val="none"/>
        </w:rPr>
        <w:t xml:space="preserve">освіти сфери управління Міністерства оборони України під час провадження ними </w:t>
      </w:r>
      <w:r w:rsidRPr="003B5892">
        <w:rPr>
          <w:rFonts w:ascii="Times New Roman" w:eastAsia="Times New Roman" w:hAnsi="Times New Roman" w:cs="Times New Roman"/>
          <w:i/>
          <w:iCs/>
          <w:color w:val="000000"/>
          <w:kern w:val="0"/>
          <w:sz w:val="24"/>
          <w:szCs w:val="24"/>
          <w:lang w:val="uk-UA"/>
          <w14:ligatures w14:val="none"/>
        </w:rPr>
        <w:t>наукової і науково-технічної діяльності.</w:t>
      </w:r>
    </w:p>
    <w:p w14:paraId="68F07B2B" w14:textId="77777777" w:rsidR="000F5770" w:rsidRPr="003B5892" w:rsidRDefault="000F5770" w:rsidP="00023291">
      <w:pPr>
        <w:shd w:val="clear" w:color="auto" w:fill="FFFFFF"/>
        <w:tabs>
          <w:tab w:val="left" w:pos="1134"/>
          <w:tab w:val="left" w:pos="9638"/>
        </w:tabs>
        <w:spacing w:after="0" w:line="240" w:lineRule="auto"/>
        <w:ind w:firstLine="709"/>
        <w:jc w:val="both"/>
        <w:rPr>
          <w:rFonts w:ascii="Times New Roman" w:eastAsia="Times New Roman" w:hAnsi="Times New Roman" w:cs="Times New Roman"/>
          <w:i/>
          <w:iCs/>
          <w:color w:val="000000"/>
          <w:kern w:val="0"/>
          <w:sz w:val="24"/>
          <w:szCs w:val="24"/>
          <w:lang w:val="uk-UA"/>
          <w14:ligatures w14:val="none"/>
        </w:rPr>
      </w:pPr>
      <w:r w:rsidRPr="003B5892">
        <w:rPr>
          <w:rFonts w:ascii="Times New Roman" w:eastAsia="Calibri" w:hAnsi="Times New Roman" w:cs="Times New Roman"/>
          <w:b/>
          <w:bCs/>
          <w:i/>
          <w:color w:val="000000"/>
          <w:kern w:val="0"/>
          <w:sz w:val="24"/>
          <w:szCs w:val="24"/>
          <w:lang w:val="uk-UA" w:eastAsia="x-none"/>
          <w14:ligatures w14:val="none"/>
        </w:rPr>
        <w:t xml:space="preserve">Ключові слова: </w:t>
      </w:r>
      <w:r w:rsidRPr="003B5892">
        <w:rPr>
          <w:rFonts w:ascii="Times New Roman" w:eastAsia="Times New Roman" w:hAnsi="Times New Roman" w:cs="Times New Roman"/>
          <w:i/>
          <w:color w:val="000000"/>
          <w:kern w:val="0"/>
          <w:sz w:val="24"/>
          <w:szCs w:val="24"/>
          <w:lang w:val="uk-UA"/>
          <w14:ligatures w14:val="none"/>
        </w:rPr>
        <w:t xml:space="preserve">система наукової і науково-технічної діяльності, </w:t>
      </w:r>
      <w:r w:rsidRPr="003B5892">
        <w:rPr>
          <w:rFonts w:ascii="Times New Roman" w:eastAsia="Times New Roman" w:hAnsi="Times New Roman" w:cs="Times New Roman"/>
          <w:bCs/>
          <w:i/>
          <w:iCs/>
          <w:color w:val="000000"/>
          <w:kern w:val="0"/>
          <w:sz w:val="24"/>
          <w:szCs w:val="24"/>
          <w:lang w:val="uk-UA" w:eastAsia="x-none"/>
          <w14:ligatures w14:val="none"/>
        </w:rPr>
        <w:t xml:space="preserve">міжвідомча взаємодія; </w:t>
      </w:r>
      <w:r w:rsidRPr="003B5892">
        <w:rPr>
          <w:rFonts w:ascii="Times New Roman" w:eastAsia="Times New Roman" w:hAnsi="Times New Roman" w:cs="Times New Roman"/>
          <w:i/>
          <w:color w:val="000000"/>
          <w:kern w:val="0"/>
          <w:sz w:val="24"/>
          <w:szCs w:val="24"/>
          <w:lang w:val="uk-UA"/>
          <w14:ligatures w14:val="none"/>
        </w:rPr>
        <w:t xml:space="preserve">наукове супроводження; суб’єкт; єдиний науковий </w:t>
      </w:r>
      <w:r w:rsidRPr="003B5892">
        <w:rPr>
          <w:rFonts w:ascii="Times New Roman" w:eastAsia="Times New Roman" w:hAnsi="Times New Roman" w:cs="Times New Roman"/>
          <w:i/>
          <w:iCs/>
          <w:color w:val="000000"/>
          <w:kern w:val="0"/>
          <w:sz w:val="24"/>
          <w:szCs w:val="24"/>
          <w:lang w:val="uk-UA"/>
          <w14:ligatures w14:val="none"/>
        </w:rPr>
        <w:t>простір; наукова установа.</w:t>
      </w:r>
    </w:p>
    <w:p w14:paraId="6CB21CDA" w14:textId="77777777" w:rsidR="000F5770" w:rsidRPr="003B5892" w:rsidRDefault="000F5770" w:rsidP="00023291">
      <w:pPr>
        <w:shd w:val="clear" w:color="auto" w:fill="FFFFFF"/>
        <w:tabs>
          <w:tab w:val="left" w:pos="9638"/>
        </w:tabs>
        <w:spacing w:after="0" w:line="240" w:lineRule="auto"/>
        <w:ind w:firstLine="709"/>
        <w:jc w:val="both"/>
        <w:rPr>
          <w:rFonts w:ascii="Times New Roman" w:eastAsia="Times New Roman" w:hAnsi="Times New Roman" w:cs="Times New Roman"/>
          <w:b/>
          <w:bCs/>
          <w:kern w:val="0"/>
          <w:sz w:val="24"/>
          <w:szCs w:val="24"/>
          <w:lang w:val="uk-UA"/>
          <w14:ligatures w14:val="none"/>
        </w:rPr>
      </w:pPr>
    </w:p>
    <w:p w14:paraId="0809B72F" w14:textId="77777777" w:rsidR="000F5770" w:rsidRPr="003B5892" w:rsidRDefault="000F5770" w:rsidP="00023291">
      <w:pPr>
        <w:shd w:val="clear" w:color="auto" w:fill="FFFFFF"/>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b/>
          <w:bCs/>
          <w:kern w:val="0"/>
          <w:sz w:val="28"/>
          <w:szCs w:val="28"/>
          <w:lang w:val="uk-UA"/>
          <w14:ligatures w14:val="none"/>
        </w:rPr>
        <w:t>Постановка проблеми.</w:t>
      </w:r>
      <w:r w:rsidRPr="003B5892">
        <w:rPr>
          <w:rFonts w:ascii="Calibri" w:eastAsia="Times New Roman" w:hAnsi="Calibri" w:cs="Times New Roman"/>
          <w:kern w:val="0"/>
          <w:lang w:val="uk-UA"/>
          <w14:ligatures w14:val="none"/>
        </w:rPr>
        <w:t xml:space="preserve"> </w:t>
      </w:r>
      <w:r w:rsidRPr="003B5892">
        <w:rPr>
          <w:rFonts w:ascii="Times New Roman" w:eastAsia="Times New Roman" w:hAnsi="Times New Roman" w:cs="Times New Roman"/>
          <w:color w:val="0A0A0A"/>
          <w:kern w:val="0"/>
          <w:sz w:val="28"/>
          <w:szCs w:val="28"/>
          <w:lang w:val="uk-UA" w:eastAsia="uk-UA"/>
          <w14:ligatures w14:val="none"/>
        </w:rPr>
        <w:t xml:space="preserve">Повномасштабна агресія російської федерації проти України прискорила </w:t>
      </w:r>
      <w:r w:rsidRPr="003B5892">
        <w:rPr>
          <w:rFonts w:ascii="Times New Roman" w:eastAsia="Times New Roman" w:hAnsi="Times New Roman" w:cs="Times New Roman"/>
          <w:color w:val="0A0A0A"/>
          <w:kern w:val="0"/>
          <w:sz w:val="28"/>
          <w:szCs w:val="28"/>
          <w:lang w:val="uk-UA"/>
          <w14:ligatures w14:val="none"/>
        </w:rPr>
        <w:t xml:space="preserve">подальший </w:t>
      </w:r>
      <w:r w:rsidRPr="003B5892">
        <w:rPr>
          <w:rFonts w:ascii="Times New Roman" w:eastAsia="Times New Roman" w:hAnsi="Times New Roman" w:cs="Times New Roman"/>
          <w:color w:val="0A0A0A"/>
          <w:kern w:val="0"/>
          <w:sz w:val="28"/>
          <w:szCs w:val="28"/>
          <w:lang w:val="uk-UA" w:eastAsia="uk-UA"/>
          <w14:ligatures w14:val="none"/>
        </w:rPr>
        <w:t xml:space="preserve">технологічний розвиток засобів збройної боротьби, форм та способів їх застосування, що вплинуло на спроможності складових сил оборони України і, в першу чергу, Збройних сил (ЗС) України.  Технологічний розвиток засобів збройної боротьби та способів їх застосування </w:t>
      </w:r>
      <w:r w:rsidRPr="003B5892">
        <w:rPr>
          <w:rFonts w:ascii="Times New Roman" w:eastAsia="Times New Roman" w:hAnsi="Times New Roman" w:cs="Times New Roman"/>
          <w:iCs/>
          <w:color w:val="0A0A0A"/>
          <w:kern w:val="0"/>
          <w:sz w:val="28"/>
          <w:szCs w:val="28"/>
          <w:lang w:val="uk-UA" w:eastAsia="uk-UA"/>
          <w14:ligatures w14:val="none"/>
        </w:rPr>
        <w:t>зумовив потребу в</w:t>
      </w:r>
      <w:r w:rsidRPr="003B5892">
        <w:rPr>
          <w:rFonts w:ascii="Times New Roman" w:eastAsia="Times New Roman" w:hAnsi="Times New Roman" w:cs="Times New Roman"/>
          <w:color w:val="0A0A0A"/>
          <w:kern w:val="0"/>
          <w:sz w:val="28"/>
          <w:szCs w:val="28"/>
          <w:lang w:val="uk-UA" w:eastAsia="uk-UA"/>
          <w14:ligatures w14:val="none"/>
        </w:rPr>
        <w:t xml:space="preserve"> здійсненні більш поглибленої взаємодії між підпорядкованими науковими структурними підрозділами в системі Міністерства оборони (МО) України, а також необхідності залучення наукового потенціалу держави: можливостей наукових установ Національної академії наук України (НАНУ), наукових установ (НУ) і закладів вищої освіти (ЗВО) інших центральних органів виконавчої влади (ЦОВВ) для вирішення прикладних завдань сил оборони. </w:t>
      </w:r>
    </w:p>
    <w:p w14:paraId="77C52D69" w14:textId="77777777" w:rsidR="000F5770" w:rsidRPr="003B5892" w:rsidRDefault="000F5770"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3B5892">
        <w:rPr>
          <w:rFonts w:ascii="Times New Roman" w:eastAsia="Times New Roman" w:hAnsi="Times New Roman" w:cs="Times New Roman"/>
          <w:kern w:val="0"/>
          <w:sz w:val="28"/>
          <w:szCs w:val="28"/>
          <w:lang w:val="uk-UA"/>
          <w14:ligatures w14:val="none"/>
        </w:rPr>
        <w:t>Перебіг подій на фронті</w:t>
      </w:r>
      <w:r w:rsidRPr="003B5892">
        <w:rPr>
          <w:rFonts w:ascii="Calibri" w:eastAsia="Times New Roman" w:hAnsi="Calibri" w:cs="Times New Roman"/>
          <w:kern w:val="0"/>
          <w:lang w:val="uk-UA"/>
          <w14:ligatures w14:val="none"/>
        </w:rPr>
        <w:t xml:space="preserve"> </w:t>
      </w:r>
      <w:r w:rsidRPr="003B5892">
        <w:rPr>
          <w:rFonts w:ascii="Times New Roman" w:eastAsia="Times New Roman" w:hAnsi="Times New Roman" w:cs="Times New Roman"/>
          <w:color w:val="0A0A0A"/>
          <w:kern w:val="0"/>
          <w:sz w:val="28"/>
          <w:szCs w:val="28"/>
          <w:lang w:val="uk-UA" w:eastAsia="uk-UA"/>
          <w14:ligatures w14:val="none"/>
        </w:rPr>
        <w:t xml:space="preserve">підтвердив той факт, що в </w:t>
      </w:r>
      <w:r w:rsidRPr="003B5892">
        <w:rPr>
          <w:rFonts w:ascii="Times New Roman" w:eastAsia="Times New Roman" w:hAnsi="Times New Roman" w:cs="Times New Roman"/>
          <w:kern w:val="0"/>
          <w:sz w:val="28"/>
          <w:szCs w:val="28"/>
          <w:lang w:val="uk-UA" w:eastAsia="uk-UA"/>
          <w14:ligatures w14:val="none"/>
        </w:rPr>
        <w:t xml:space="preserve">умовах сучасної війни вирішальним фактором перемоги стає технологічна перевага. Тому, з метою </w:t>
      </w:r>
      <w:r w:rsidRPr="003B5892">
        <w:rPr>
          <w:rFonts w:ascii="Times New Roman" w:eastAsia="Times New Roman" w:hAnsi="Times New Roman" w:cs="Times New Roman"/>
          <w:kern w:val="0"/>
          <w:sz w:val="28"/>
          <w:szCs w:val="28"/>
          <w:lang w:val="uk-UA" w:eastAsia="uk-UA"/>
          <w14:ligatures w14:val="none"/>
        </w:rPr>
        <w:lastRenderedPageBreak/>
        <w:t xml:space="preserve">забезпечення ефективного розвитку, система наукових досліджень </w:t>
      </w:r>
      <w:r w:rsidRPr="003B5892">
        <w:rPr>
          <w:rFonts w:ascii="Times New Roman" w:eastAsia="Times New Roman" w:hAnsi="Times New Roman" w:cs="Times New Roman"/>
          <w:color w:val="0A0A0A"/>
          <w:kern w:val="0"/>
          <w:sz w:val="28"/>
          <w:szCs w:val="28"/>
          <w:lang w:val="uk-UA" w:eastAsia="uk-UA"/>
          <w14:ligatures w14:val="none"/>
        </w:rPr>
        <w:t>МО України</w:t>
      </w:r>
      <w:r w:rsidRPr="003B5892">
        <w:rPr>
          <w:rFonts w:ascii="Times New Roman" w:eastAsia="Times New Roman" w:hAnsi="Times New Roman" w:cs="Times New Roman"/>
          <w:kern w:val="0"/>
          <w:sz w:val="28"/>
          <w:szCs w:val="28"/>
          <w:lang w:val="uk-UA" w:eastAsia="uk-UA"/>
          <w14:ligatures w14:val="none"/>
        </w:rPr>
        <w:t xml:space="preserve"> потребує більш плідної міжвідомчої взаємодії з НУ НАНУ, НУ та ЗВО інших ЦООВ, іншими установами різних форм власності.</w:t>
      </w:r>
      <w:r w:rsidRPr="003B5892">
        <w:rPr>
          <w:rFonts w:ascii="Times New Roman" w:eastAsia="Times New Roman" w:hAnsi="Times New Roman" w:cs="Times New Roman"/>
          <w:color w:val="0A0A0A"/>
          <w:kern w:val="0"/>
          <w:sz w:val="28"/>
          <w:szCs w:val="28"/>
          <w:lang w:val="uk-UA" w:eastAsia="uk-UA"/>
          <w14:ligatures w14:val="none"/>
        </w:rPr>
        <w:t xml:space="preserve"> При цьому включення </w:t>
      </w:r>
      <w:r w:rsidRPr="003B5892">
        <w:rPr>
          <w:rFonts w:ascii="Times New Roman" w:eastAsia="Times New Roman" w:hAnsi="Times New Roman" w:cs="Times New Roman"/>
          <w:kern w:val="0"/>
          <w:sz w:val="28"/>
          <w:szCs w:val="28"/>
          <w:lang w:val="uk-UA" w:eastAsia="uk-UA"/>
          <w14:ligatures w14:val="none"/>
        </w:rPr>
        <w:t xml:space="preserve">системи наукових досліджень </w:t>
      </w:r>
      <w:r w:rsidRPr="003B5892">
        <w:rPr>
          <w:rFonts w:ascii="Times New Roman" w:eastAsia="Times New Roman" w:hAnsi="Times New Roman" w:cs="Times New Roman"/>
          <w:color w:val="0A0A0A"/>
          <w:kern w:val="0"/>
          <w:sz w:val="28"/>
          <w:szCs w:val="28"/>
          <w:lang w:val="uk-UA" w:eastAsia="uk-UA"/>
          <w14:ligatures w14:val="none"/>
        </w:rPr>
        <w:t>МО України</w:t>
      </w:r>
      <w:r w:rsidRPr="003B5892">
        <w:rPr>
          <w:rFonts w:ascii="Times New Roman" w:eastAsia="Times New Roman" w:hAnsi="Times New Roman" w:cs="Times New Roman"/>
          <w:kern w:val="0"/>
          <w:sz w:val="28"/>
          <w:szCs w:val="28"/>
          <w:lang w:val="uk-UA" w:eastAsia="uk-UA"/>
          <w14:ligatures w14:val="none"/>
        </w:rPr>
        <w:t xml:space="preserve"> до загальнодержавного наукового простору, т</w:t>
      </w:r>
      <w:r w:rsidRPr="003B5892">
        <w:rPr>
          <w:rFonts w:ascii="Times New Roman" w:eastAsia="Times New Roman" w:hAnsi="Times New Roman" w:cs="Times New Roman"/>
          <w:color w:val="0A0A0A"/>
          <w:kern w:val="0"/>
          <w:sz w:val="28"/>
          <w:szCs w:val="28"/>
          <w:lang w:val="uk-UA" w:eastAsia="uk-UA"/>
          <w14:ligatures w14:val="none"/>
        </w:rPr>
        <w:t xml:space="preserve">рансформація наукової і науково-технічної діяльності (ННТД) в системі міністерства з метою забезпечення виходу за межі вузьковідомчих підходів стає стратегічним пріоритетом її розвитку. </w:t>
      </w:r>
    </w:p>
    <w:p w14:paraId="626BFCD8" w14:textId="77777777" w:rsidR="000F5770" w:rsidRPr="003B5892" w:rsidRDefault="000F5770" w:rsidP="00023291">
      <w:pPr>
        <w:shd w:val="clear" w:color="auto" w:fill="FFFFFF"/>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color w:val="0A0A0A"/>
          <w:kern w:val="0"/>
          <w:sz w:val="28"/>
          <w:szCs w:val="28"/>
          <w:lang w:val="uk-UA" w:eastAsia="uk-UA"/>
          <w14:ligatures w14:val="none"/>
        </w:rPr>
        <w:t xml:space="preserve">Визначення заходів щодо здійснення трансформації ННТД в системі МО України у першу чергу потребують вивчення питань з удосконалення взаємодії між </w:t>
      </w:r>
      <w:r w:rsidRPr="003B5892">
        <w:rPr>
          <w:rFonts w:ascii="Times New Roman" w:eastAsia="Times New Roman" w:hAnsi="Times New Roman" w:cs="Times New Roman"/>
          <w:kern w:val="0"/>
          <w:sz w:val="28"/>
          <w:szCs w:val="28"/>
          <w:lang w:val="uk-UA" w:eastAsia="uk"/>
          <w14:ligatures w14:val="none"/>
        </w:rPr>
        <w:t xml:space="preserve">суб’єктами ННТД системи </w:t>
      </w:r>
      <w:r w:rsidRPr="003B5892">
        <w:rPr>
          <w:rFonts w:ascii="Times New Roman" w:eastAsia="Times New Roman" w:hAnsi="Times New Roman" w:cs="Times New Roman"/>
          <w:color w:val="0A0A0A"/>
          <w:kern w:val="0"/>
          <w:sz w:val="28"/>
          <w:szCs w:val="28"/>
          <w:lang w:val="uk-UA" w:eastAsia="uk-UA"/>
          <w14:ligatures w14:val="none"/>
        </w:rPr>
        <w:t xml:space="preserve">МО України та </w:t>
      </w:r>
      <w:r w:rsidRPr="003B5892">
        <w:rPr>
          <w:rFonts w:ascii="Times New Roman" w:eastAsia="Times New Roman" w:hAnsi="Times New Roman" w:cs="Times New Roman"/>
          <w:kern w:val="0"/>
          <w:sz w:val="28"/>
          <w:szCs w:val="28"/>
          <w:lang w:val="uk-UA"/>
          <w14:ligatures w14:val="none"/>
        </w:rPr>
        <w:t>структурними підрозділами міністерства та Генерального штабу (ГШ) ЗС України,</w:t>
      </w:r>
      <w:r w:rsidRPr="003B5892">
        <w:rPr>
          <w:rFonts w:ascii="Arial" w:eastAsia="Times New Roman" w:hAnsi="Arial" w:cs="Arial"/>
          <w:kern w:val="0"/>
          <w:lang w:val="uk-UA"/>
          <w14:ligatures w14:val="none"/>
        </w:rPr>
        <w:t xml:space="preserve"> </w:t>
      </w:r>
      <w:r w:rsidRPr="003B5892">
        <w:rPr>
          <w:rFonts w:ascii="Times New Roman" w:eastAsia="Times New Roman" w:hAnsi="Times New Roman" w:cs="Times New Roman"/>
          <w:kern w:val="0"/>
          <w:sz w:val="28"/>
          <w:szCs w:val="28"/>
          <w:lang w:val="uk-UA"/>
          <w14:ligatures w14:val="none"/>
        </w:rPr>
        <w:t xml:space="preserve">а також з </w:t>
      </w:r>
      <w:r w:rsidRPr="003B5892">
        <w:rPr>
          <w:rFonts w:ascii="Times New Roman" w:eastAsia="Times New Roman" w:hAnsi="Times New Roman" w:cs="Times New Roman"/>
          <w:color w:val="0A0A0A"/>
          <w:kern w:val="0"/>
          <w:sz w:val="28"/>
          <w:szCs w:val="28"/>
          <w:lang w:val="uk-UA" w:eastAsia="uk-UA"/>
          <w14:ligatures w14:val="none"/>
        </w:rPr>
        <w:t xml:space="preserve">організації міжвідомчої взаємодії з іншими </w:t>
      </w:r>
      <w:r w:rsidRPr="003B5892">
        <w:rPr>
          <w:rFonts w:ascii="Times New Roman" w:eastAsia="Times New Roman" w:hAnsi="Times New Roman" w:cs="Times New Roman"/>
          <w:kern w:val="0"/>
          <w:sz w:val="28"/>
          <w:szCs w:val="28"/>
          <w:lang w:val="uk-UA" w:eastAsia="uk"/>
          <w14:ligatures w14:val="none"/>
        </w:rPr>
        <w:t>суб’єктами</w:t>
      </w:r>
      <w:r w:rsidRPr="003B5892">
        <w:rPr>
          <w:rFonts w:ascii="Times New Roman" w:eastAsia="Times New Roman" w:hAnsi="Times New Roman" w:cs="Times New Roman"/>
          <w:color w:val="0A0A0A"/>
          <w:kern w:val="0"/>
          <w:sz w:val="28"/>
          <w:szCs w:val="28"/>
          <w:lang w:val="uk-UA" w:eastAsia="uk-UA"/>
          <w14:ligatures w14:val="none"/>
        </w:rPr>
        <w:t xml:space="preserve"> складових сектору безпеки і оборони України у науковій сфері. </w:t>
      </w:r>
    </w:p>
    <w:p w14:paraId="63CFD34B" w14:textId="77777777" w:rsidR="000F5770" w:rsidRPr="003B5892" w:rsidRDefault="000F5770" w:rsidP="00023291">
      <w:pPr>
        <w:tabs>
          <w:tab w:val="left" w:pos="9638"/>
        </w:tabs>
        <w:spacing w:after="0" w:line="240" w:lineRule="auto"/>
        <w:ind w:firstLine="709"/>
        <w:rPr>
          <w:rFonts w:ascii="Times New Roman" w:eastAsia="Times New Roman" w:hAnsi="Times New Roman" w:cs="Times New Roman"/>
          <w:b/>
          <w:bCs/>
          <w:kern w:val="0"/>
          <w:sz w:val="28"/>
          <w:szCs w:val="28"/>
          <w:lang w:val="uk-UA"/>
          <w14:ligatures w14:val="none"/>
        </w:rPr>
      </w:pPr>
      <w:r w:rsidRPr="003B5892">
        <w:rPr>
          <w:rFonts w:ascii="Times New Roman" w:eastAsia="Times New Roman" w:hAnsi="Times New Roman" w:cs="Times New Roman"/>
          <w:b/>
          <w:bCs/>
          <w:kern w:val="0"/>
          <w:sz w:val="28"/>
          <w:szCs w:val="28"/>
          <w:lang w:val="uk-UA"/>
          <w14:ligatures w14:val="none"/>
        </w:rPr>
        <w:t>Аналіз останніх досліджень та публікацій.</w:t>
      </w:r>
    </w:p>
    <w:p w14:paraId="36E9C282"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3B5892">
        <w:rPr>
          <w:rFonts w:ascii="Times New Roman" w:eastAsia="Times New Roman" w:hAnsi="Times New Roman" w:cs="Times New Roman"/>
          <w:kern w:val="0"/>
          <w:sz w:val="28"/>
          <w:szCs w:val="28"/>
          <w:lang w:val="uk-UA"/>
          <w14:ligatures w14:val="none"/>
        </w:rPr>
        <w:t xml:space="preserve">Дослідженню питань розвитку </w:t>
      </w:r>
      <w:r w:rsidRPr="003B5892">
        <w:rPr>
          <w:rFonts w:ascii="Times New Roman" w:eastAsia="Times New Roman" w:hAnsi="Times New Roman" w:cs="Times New Roman"/>
          <w:color w:val="000000"/>
          <w:kern w:val="0"/>
          <w:sz w:val="28"/>
          <w:szCs w:val="28"/>
          <w:lang w:val="uk-UA"/>
          <w14:ligatures w14:val="none"/>
        </w:rPr>
        <w:t>ННТД в</w:t>
      </w:r>
      <w:r w:rsidRPr="003B5892">
        <w:rPr>
          <w:rFonts w:ascii="Times New Roman" w:eastAsia="Times New Roman" w:hAnsi="Times New Roman" w:cs="Times New Roman"/>
          <w:kern w:val="0"/>
          <w:sz w:val="28"/>
          <w:szCs w:val="28"/>
          <w:lang w:val="uk-UA"/>
          <w14:ligatures w14:val="none"/>
        </w:rPr>
        <w:t xml:space="preserve"> Україні присвячено роботи багатьох авторів. На вирішення проблем впровадження змін у державну наукову політику спрямовані дослідження Б. Маліцького [1, 2].</w:t>
      </w:r>
      <w:r w:rsidRPr="003B5892">
        <w:rPr>
          <w:rFonts w:ascii="Times New Roman" w:eastAsia="Times New Roman" w:hAnsi="Times New Roman" w:cs="Times New Roman"/>
          <w:color w:val="000000"/>
          <w:kern w:val="0"/>
          <w:sz w:val="28"/>
          <w:szCs w:val="28"/>
          <w:lang w:val="uk-UA" w:eastAsia="uk-UA"/>
          <w14:ligatures w14:val="none"/>
        </w:rPr>
        <w:t xml:space="preserve"> Питання розвитку теорії і практики управління науково-технічною та інноваційною сферами на національному та регіональному рівні в своїх роботах розглядає П. Бубенко </w:t>
      </w:r>
      <w:r w:rsidRPr="003B5892">
        <w:rPr>
          <w:rFonts w:ascii="Times New Roman" w:eastAsia="Times New Roman" w:hAnsi="Times New Roman" w:cs="Times New Roman"/>
          <w:kern w:val="0"/>
          <w:sz w:val="28"/>
          <w:szCs w:val="28"/>
          <w:lang w:val="uk-UA"/>
          <w14:ligatures w14:val="none"/>
        </w:rPr>
        <w:t>[3].</w:t>
      </w:r>
    </w:p>
    <w:p w14:paraId="40D7BC09"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uk-UA"/>
          <w14:ligatures w14:val="none"/>
        </w:rPr>
      </w:pPr>
      <w:r w:rsidRPr="003B5892">
        <w:rPr>
          <w:rFonts w:ascii="Times New Roman" w:eastAsia="Times New Roman" w:hAnsi="Times New Roman" w:cs="Times New Roman"/>
          <w:color w:val="000000"/>
          <w:kern w:val="0"/>
          <w:sz w:val="28"/>
          <w:szCs w:val="28"/>
          <w:lang w:val="uk-UA" w:eastAsia="uk-UA"/>
          <w14:ligatures w14:val="none"/>
        </w:rPr>
        <w:t xml:space="preserve">Особливості організації ННТД у військовій сфері досліджувалися в роботах Г. Капосльоза, Т. Кваші, Т. Писаренка, М. Полторака та ін. </w:t>
      </w:r>
      <w:r w:rsidRPr="003B5892">
        <w:rPr>
          <w:rFonts w:ascii="Times New Roman" w:eastAsia="Times New Roman" w:hAnsi="Times New Roman" w:cs="Times New Roman"/>
          <w:kern w:val="0"/>
          <w:sz w:val="28"/>
          <w:szCs w:val="28"/>
          <w:lang w:val="uk-UA"/>
          <w14:ligatures w14:val="none"/>
        </w:rPr>
        <w:t>Окремі проблеми передових технологій воєнної науки, за результатами аналізу функціонування Агенції передових дослідницьких проєктів Міністерства оборони США (DARPA), досліджувалися у роботах Ю. Бодрика, А. Гупала,</w:t>
      </w:r>
      <w:r w:rsidRPr="003B5892">
        <w:rPr>
          <w:rFonts w:ascii="Times New Roman" w:eastAsia="Times New Roman" w:hAnsi="Times New Roman" w:cs="Times New Roman"/>
          <w:kern w:val="0"/>
          <w:sz w:val="28"/>
          <w:szCs w:val="28"/>
          <w:highlight w:val="green"/>
          <w:lang w:val="uk-UA"/>
          <w14:ligatures w14:val="none"/>
        </w:rPr>
        <w:t xml:space="preserve"> </w:t>
      </w:r>
      <w:r w:rsidRPr="003B5892">
        <w:rPr>
          <w:rFonts w:ascii="Times New Roman" w:eastAsia="Times New Roman" w:hAnsi="Times New Roman" w:cs="Times New Roman"/>
          <w:color w:val="000000"/>
          <w:kern w:val="0"/>
          <w:sz w:val="28"/>
          <w:szCs w:val="28"/>
          <w:lang w:val="uk-UA" w:eastAsia="uk-UA"/>
          <w14:ligatures w14:val="none"/>
        </w:rPr>
        <w:t xml:space="preserve">А. Ткаченка. </w:t>
      </w:r>
    </w:p>
    <w:p w14:paraId="2F5571B3"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3B5892">
        <w:rPr>
          <w:rFonts w:ascii="Times New Roman" w:eastAsia="Times New Roman" w:hAnsi="Times New Roman" w:cs="Times New Roman"/>
          <w:color w:val="000000"/>
          <w:kern w:val="0"/>
          <w:sz w:val="28"/>
          <w:szCs w:val="28"/>
          <w:lang w:val="uk-UA"/>
          <w14:ligatures w14:val="none"/>
        </w:rPr>
        <w:t>Водночас</w:t>
      </w:r>
      <w:r w:rsidRPr="003B5892">
        <w:rPr>
          <w:rFonts w:ascii="Times New Roman" w:eastAsia="Calibri" w:hAnsi="Times New Roman" w:cs="Times New Roman"/>
          <w:iCs/>
          <w:color w:val="000000"/>
          <w:kern w:val="0"/>
          <w:sz w:val="28"/>
          <w:szCs w:val="28"/>
          <w:lang w:val="uk-UA"/>
          <w14:ligatures w14:val="none"/>
        </w:rPr>
        <w:t xml:space="preserve"> проблема </w:t>
      </w:r>
      <w:r w:rsidRPr="003B5892">
        <w:rPr>
          <w:rFonts w:ascii="Times New Roman" w:eastAsia="Times New Roman" w:hAnsi="Times New Roman" w:cs="Times New Roman"/>
          <w:color w:val="000000"/>
          <w:kern w:val="0"/>
          <w:sz w:val="28"/>
          <w:szCs w:val="28"/>
          <w:lang w:val="uk-UA" w:eastAsia="x-none"/>
          <w14:ligatures w14:val="none"/>
        </w:rPr>
        <w:t xml:space="preserve">відомчої та міжвідомчої взаємодії при провадженні ННТД у системі </w:t>
      </w:r>
      <w:r w:rsidRPr="003B5892">
        <w:rPr>
          <w:rFonts w:ascii="Times New Roman" w:eastAsia="Times New Roman" w:hAnsi="Times New Roman" w:cs="Times New Roman"/>
          <w:color w:val="0A0A0A"/>
          <w:kern w:val="0"/>
          <w:sz w:val="28"/>
          <w:szCs w:val="28"/>
          <w:lang w:val="uk-UA" w:eastAsia="uk-UA"/>
          <w14:ligatures w14:val="none"/>
        </w:rPr>
        <w:t xml:space="preserve">МО України </w:t>
      </w:r>
      <w:r w:rsidRPr="003B5892">
        <w:rPr>
          <w:rFonts w:ascii="Times New Roman" w:eastAsia="Times New Roman" w:hAnsi="Times New Roman" w:cs="Times New Roman"/>
          <w:iCs/>
          <w:color w:val="000000"/>
          <w:kern w:val="0"/>
          <w:sz w:val="28"/>
          <w:szCs w:val="28"/>
          <w:lang w:val="uk-UA"/>
          <w14:ligatures w14:val="none"/>
        </w:rPr>
        <w:t>науковцями практично не досліджувалась.</w:t>
      </w:r>
      <w:r w:rsidRPr="003B5892">
        <w:rPr>
          <w:rFonts w:ascii="Times New Roman" w:eastAsia="Times New Roman" w:hAnsi="Times New Roman" w:cs="Times New Roman"/>
          <w:kern w:val="0"/>
          <w:sz w:val="28"/>
          <w:szCs w:val="28"/>
          <w:lang w:val="uk-UA"/>
          <w14:ligatures w14:val="none"/>
        </w:rPr>
        <w:t xml:space="preserve"> Багато питань щодо організації та </w:t>
      </w:r>
      <w:r w:rsidRPr="003B5892">
        <w:rPr>
          <w:rFonts w:ascii="Times New Roman" w:eastAsia="Times New Roman" w:hAnsi="Times New Roman" w:cs="Times New Roman"/>
          <w:color w:val="0A0A0A"/>
          <w:kern w:val="0"/>
          <w:sz w:val="28"/>
          <w:szCs w:val="28"/>
          <w:lang w:val="uk-UA" w:eastAsia="uk-UA"/>
          <w14:ligatures w14:val="none"/>
        </w:rPr>
        <w:t>здійсненні взаємодії між НУ і НП ВВНЗ та ВНП ЗВО сфери управління МО України,</w:t>
      </w:r>
      <w:r w:rsidRPr="003B5892">
        <w:rPr>
          <w:rFonts w:ascii="Times New Roman" w:eastAsia="Times New Roman" w:hAnsi="Times New Roman" w:cs="Times New Roman"/>
          <w:kern w:val="0"/>
          <w:sz w:val="28"/>
          <w:szCs w:val="28"/>
          <w:lang w:val="uk-UA"/>
          <w14:ligatures w14:val="none"/>
        </w:rPr>
        <w:t xml:space="preserve"> залишаються невирішеними.</w:t>
      </w:r>
    </w:p>
    <w:p w14:paraId="7BF79DFD"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b/>
          <w:bCs/>
          <w:kern w:val="0"/>
          <w:sz w:val="28"/>
          <w:szCs w:val="28"/>
          <w:lang w:val="uk-UA"/>
          <w14:ligatures w14:val="none"/>
        </w:rPr>
        <w:t xml:space="preserve">Мета статті. </w:t>
      </w:r>
      <w:r w:rsidRPr="003B5892">
        <w:rPr>
          <w:rFonts w:ascii="Times New Roman" w:eastAsia="Times New Roman" w:hAnsi="Times New Roman" w:cs="Times New Roman"/>
          <w:color w:val="0A0A0A"/>
          <w:kern w:val="0"/>
          <w:sz w:val="28"/>
          <w:szCs w:val="28"/>
          <w:lang w:val="uk-UA" w:eastAsia="uk-UA"/>
          <w14:ligatures w14:val="none"/>
        </w:rPr>
        <w:t>На підставі аналізу сучасного стану нормативно-правових актів щодо організації взаємодії НУ, наукових підрозділів (НП) ВВНЗ і НП ВНП ЗВО системи МО України та міжвідомчої взаємодії в силах оборони, а також порівняльного аналізу їх основних напрямів наукових досліджень дослідити можливі варіанти підвищення ефективності функціонування ННТД в системі МО України з урахуванням реалізації принципів інтегрованого наукового середовища.</w:t>
      </w:r>
    </w:p>
    <w:p w14:paraId="6574FB6D" w14:textId="77777777" w:rsidR="000F5770" w:rsidRPr="003B5892" w:rsidRDefault="000F5770" w:rsidP="00023291">
      <w:pPr>
        <w:tabs>
          <w:tab w:val="left" w:pos="3080"/>
          <w:tab w:val="left" w:pos="9638"/>
        </w:tabs>
        <w:spacing w:after="0" w:line="240" w:lineRule="auto"/>
        <w:ind w:firstLine="709"/>
        <w:jc w:val="both"/>
        <w:rPr>
          <w:rFonts w:ascii="Times New Roman" w:eastAsia="Times New Roman" w:hAnsi="Times New Roman" w:cs="Times New Roman"/>
          <w:b/>
          <w:bCs/>
          <w:kern w:val="0"/>
          <w:sz w:val="28"/>
          <w:szCs w:val="28"/>
          <w:lang w:val="uk-UA"/>
          <w14:ligatures w14:val="none"/>
        </w:rPr>
      </w:pPr>
      <w:r w:rsidRPr="003B5892">
        <w:rPr>
          <w:rFonts w:ascii="Times New Roman" w:eastAsia="Times New Roman" w:hAnsi="Times New Roman" w:cs="Times New Roman"/>
          <w:b/>
          <w:bCs/>
          <w:kern w:val="0"/>
          <w:sz w:val="28"/>
          <w:szCs w:val="28"/>
          <w:lang w:val="uk-UA"/>
          <w14:ligatures w14:val="none"/>
        </w:rPr>
        <w:t xml:space="preserve">Методи дослідження: </w:t>
      </w:r>
      <w:r w:rsidRPr="003B5892">
        <w:rPr>
          <w:rFonts w:ascii="Times New Roman" w:eastAsia="Times New Roman" w:hAnsi="Times New Roman" w:cs="Times New Roman"/>
          <w:bCs/>
          <w:kern w:val="0"/>
          <w:sz w:val="28"/>
          <w:szCs w:val="28"/>
          <w:lang w:val="uk-UA"/>
          <w14:ligatures w14:val="none"/>
        </w:rPr>
        <w:t>системний підхід,</w:t>
      </w:r>
      <w:r w:rsidRPr="003B5892">
        <w:rPr>
          <w:rFonts w:ascii="Times New Roman" w:eastAsia="Times New Roman" w:hAnsi="Times New Roman" w:cs="Times New Roman"/>
          <w:b/>
          <w:bCs/>
          <w:kern w:val="0"/>
          <w:sz w:val="28"/>
          <w:szCs w:val="28"/>
          <w:lang w:val="uk-UA"/>
          <w14:ligatures w14:val="none"/>
        </w:rPr>
        <w:t xml:space="preserve"> </w:t>
      </w:r>
      <w:r w:rsidRPr="003B5892">
        <w:rPr>
          <w:rFonts w:ascii="Times New Roman" w:eastAsia="Times New Roman" w:hAnsi="Times New Roman" w:cs="Times New Roman"/>
          <w:bCs/>
          <w:kern w:val="0"/>
          <w:sz w:val="28"/>
          <w:szCs w:val="28"/>
          <w:lang w:val="uk-UA"/>
          <w14:ligatures w14:val="none"/>
        </w:rPr>
        <w:t>системний аналіз, порівняння, класифікація, узагальнення й систематизація.</w:t>
      </w:r>
      <w:r w:rsidRPr="003B5892">
        <w:rPr>
          <w:rFonts w:ascii="Times New Roman" w:eastAsia="Times New Roman" w:hAnsi="Times New Roman" w:cs="Times New Roman"/>
          <w:b/>
          <w:bCs/>
          <w:kern w:val="0"/>
          <w:sz w:val="28"/>
          <w:szCs w:val="28"/>
          <w:lang w:val="uk-UA"/>
          <w14:ligatures w14:val="none"/>
        </w:rPr>
        <w:t xml:space="preserve"> </w:t>
      </w:r>
    </w:p>
    <w:p w14:paraId="53DE8300" w14:textId="77777777" w:rsidR="000F5770" w:rsidRPr="003B5892" w:rsidRDefault="000F5770" w:rsidP="00023291">
      <w:pPr>
        <w:shd w:val="clear" w:color="auto" w:fill="FFFFFF"/>
        <w:tabs>
          <w:tab w:val="left" w:pos="9638"/>
        </w:tabs>
        <w:spacing w:after="0" w:line="240" w:lineRule="auto"/>
        <w:ind w:firstLine="709"/>
        <w:jc w:val="both"/>
        <w:rPr>
          <w:rFonts w:ascii="Calibri" w:eastAsia="Times New Roman" w:hAnsi="Calibri" w:cs="Times New Roman"/>
          <w:color w:val="0A0A0A"/>
          <w:kern w:val="0"/>
          <w:sz w:val="28"/>
          <w:szCs w:val="28"/>
          <w:lang w:val="uk-UA" w:eastAsia="uk-UA"/>
          <w14:ligatures w14:val="none"/>
        </w:rPr>
      </w:pPr>
      <w:r w:rsidRPr="003B5892">
        <w:rPr>
          <w:rFonts w:ascii="Times New Roman" w:eastAsia="Times New Roman" w:hAnsi="Times New Roman" w:cs="Times New Roman"/>
          <w:b/>
          <w:bCs/>
          <w:kern w:val="0"/>
          <w:sz w:val="28"/>
          <w:szCs w:val="28"/>
          <w:lang w:val="uk-UA"/>
          <w14:ligatures w14:val="none"/>
        </w:rPr>
        <w:t xml:space="preserve">Виклад основного матеріалу. </w:t>
      </w:r>
      <w:r w:rsidRPr="003B5892">
        <w:rPr>
          <w:rFonts w:ascii="Times New Roman" w:eastAsia="Times New Roman" w:hAnsi="Times New Roman" w:cs="Times New Roman"/>
          <w:color w:val="0A0A0A"/>
          <w:kern w:val="0"/>
          <w:sz w:val="28"/>
          <w:szCs w:val="28"/>
          <w:lang w:val="uk-UA" w:eastAsia="uk-UA"/>
          <w14:ligatures w14:val="none"/>
        </w:rPr>
        <w:t xml:space="preserve">Нормативно-правове регулювання ННТД в Україні ґрунтується на </w:t>
      </w:r>
      <w:r w:rsidRPr="003B5892">
        <w:rPr>
          <w:rFonts w:ascii="Times New Roman" w:eastAsia="Times New Roman" w:hAnsi="Times New Roman" w:cs="Times New Roman"/>
          <w:iCs/>
          <w:color w:val="0A0A0A"/>
          <w:kern w:val="0"/>
          <w:sz w:val="28"/>
          <w:szCs w:val="28"/>
          <w:lang w:val="uk-UA" w:eastAsia="uk-UA"/>
          <w14:ligatures w14:val="none"/>
        </w:rPr>
        <w:t>багаторівневій с</w:t>
      </w:r>
      <w:r w:rsidRPr="003B5892">
        <w:rPr>
          <w:rFonts w:ascii="Times New Roman" w:eastAsia="Times New Roman" w:hAnsi="Times New Roman" w:cs="Times New Roman"/>
          <w:color w:val="0A0A0A"/>
          <w:kern w:val="0"/>
          <w:sz w:val="28"/>
          <w:szCs w:val="28"/>
          <w:lang w:val="uk-UA" w:eastAsia="uk-UA"/>
          <w14:ligatures w14:val="none"/>
        </w:rPr>
        <w:t xml:space="preserve">истемі нормативно-правових актів: Законах України ‟Про наукову і науково-технічну діяльність” </w:t>
      </w:r>
      <w:r w:rsidRPr="003B5892">
        <w:rPr>
          <w:rFonts w:ascii="Times New Roman" w:eastAsia="Times New Roman" w:hAnsi="Times New Roman" w:cs="Times New Roman"/>
          <w:kern w:val="0"/>
          <w:sz w:val="28"/>
          <w:szCs w:val="28"/>
          <w:lang w:val="uk-UA"/>
          <w14:ligatures w14:val="none"/>
        </w:rPr>
        <w:t>[4]</w:t>
      </w:r>
      <w:r w:rsidRPr="003B5892">
        <w:rPr>
          <w:rFonts w:ascii="Times New Roman" w:eastAsia="Times New Roman" w:hAnsi="Times New Roman" w:cs="Times New Roman"/>
          <w:color w:val="0A0A0A"/>
          <w:kern w:val="0"/>
          <w:sz w:val="28"/>
          <w:szCs w:val="28"/>
          <w:lang w:val="uk-UA" w:eastAsia="uk-UA"/>
          <w14:ligatures w14:val="none"/>
        </w:rPr>
        <w:t xml:space="preserve">, ‟Про пріоритетні напрями розвитку науки і техніки” </w:t>
      </w:r>
      <w:r w:rsidRPr="003B5892">
        <w:rPr>
          <w:rFonts w:ascii="Times New Roman" w:eastAsia="Times New Roman" w:hAnsi="Times New Roman" w:cs="Times New Roman"/>
          <w:kern w:val="0"/>
          <w:sz w:val="28"/>
          <w:szCs w:val="28"/>
          <w:lang w:val="uk-UA"/>
          <w14:ligatures w14:val="none"/>
        </w:rPr>
        <w:t xml:space="preserve">[5] </w:t>
      </w:r>
      <w:r w:rsidRPr="003B5892">
        <w:rPr>
          <w:rFonts w:ascii="Times New Roman" w:eastAsia="Times New Roman" w:hAnsi="Times New Roman" w:cs="Times New Roman"/>
          <w:color w:val="0A0A0A"/>
          <w:kern w:val="0"/>
          <w:sz w:val="28"/>
          <w:szCs w:val="28"/>
          <w:lang w:val="uk-UA" w:eastAsia="uk-UA"/>
          <w14:ligatures w14:val="none"/>
        </w:rPr>
        <w:t xml:space="preserve">та ‟Про вищу освіту” </w:t>
      </w:r>
      <w:r w:rsidRPr="003B5892">
        <w:rPr>
          <w:rFonts w:ascii="Times New Roman" w:eastAsia="Times New Roman" w:hAnsi="Times New Roman" w:cs="Times New Roman"/>
          <w:kern w:val="0"/>
          <w:sz w:val="28"/>
          <w:szCs w:val="28"/>
          <w:lang w:val="uk-UA"/>
          <w14:ligatures w14:val="none"/>
        </w:rPr>
        <w:t>[6]</w:t>
      </w:r>
      <w:r w:rsidRPr="003B5892">
        <w:rPr>
          <w:rFonts w:ascii="Times New Roman" w:eastAsia="Times New Roman" w:hAnsi="Times New Roman" w:cs="Times New Roman"/>
          <w:color w:val="0A0A0A"/>
          <w:kern w:val="0"/>
          <w:sz w:val="28"/>
          <w:szCs w:val="28"/>
          <w:lang w:val="uk-UA" w:eastAsia="uk-UA"/>
          <w14:ligatures w14:val="none"/>
        </w:rPr>
        <w:t xml:space="preserve">, положення яких імплементовано у відповідні постанови Кабінету Міністрів </w:t>
      </w:r>
      <w:r w:rsidRPr="003B5892">
        <w:rPr>
          <w:rFonts w:ascii="Times New Roman" w:eastAsia="Times New Roman" w:hAnsi="Times New Roman" w:cs="Times New Roman"/>
          <w:color w:val="0A0A0A"/>
          <w:kern w:val="0"/>
          <w:sz w:val="28"/>
          <w:szCs w:val="28"/>
          <w:lang w:val="uk-UA" w:eastAsia="uk-UA"/>
          <w14:ligatures w14:val="none"/>
        </w:rPr>
        <w:lastRenderedPageBreak/>
        <w:t>України (КМУ), накази профільних міністерств і відомств, зокрема, Міністерства освіти і науки України (МОН) та МО України, статути (положення) НУ, ВВНЗ і ВНП ЗВО.</w:t>
      </w:r>
    </w:p>
    <w:p w14:paraId="1A548140" w14:textId="77777777" w:rsidR="000F5770" w:rsidRPr="003B5892" w:rsidRDefault="000F5770" w:rsidP="00023291">
      <w:pPr>
        <w:shd w:val="clear" w:color="auto" w:fill="FFFFFF"/>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bCs/>
          <w:kern w:val="0"/>
          <w:sz w:val="28"/>
          <w:szCs w:val="28"/>
          <w:lang w:val="uk-UA"/>
          <w14:ligatures w14:val="none"/>
        </w:rPr>
        <w:t xml:space="preserve">Слід зазначити, що Закон України </w:t>
      </w:r>
      <w:r w:rsidRPr="003B5892">
        <w:rPr>
          <w:rFonts w:ascii="Times New Roman" w:eastAsia="Times New Roman" w:hAnsi="Times New Roman" w:cs="Times New Roman"/>
          <w:color w:val="0A0A0A"/>
          <w:kern w:val="0"/>
          <w:sz w:val="28"/>
          <w:szCs w:val="28"/>
          <w:lang w:val="uk-UA" w:eastAsia="uk-UA"/>
          <w14:ligatures w14:val="none"/>
        </w:rPr>
        <w:t xml:space="preserve">‟Про наукову і науково-технічну діяльність” </w:t>
      </w:r>
      <w:r w:rsidRPr="003B5892">
        <w:rPr>
          <w:rFonts w:ascii="Times New Roman" w:eastAsia="Times New Roman" w:hAnsi="Times New Roman" w:cs="Times New Roman"/>
          <w:kern w:val="0"/>
          <w:sz w:val="28"/>
          <w:szCs w:val="28"/>
          <w:lang w:val="uk-UA"/>
          <w14:ligatures w14:val="none"/>
        </w:rPr>
        <w:t>[4]</w:t>
      </w:r>
      <w:r w:rsidRPr="003B5892">
        <w:rPr>
          <w:rFonts w:ascii="Times New Roman" w:eastAsia="Times New Roman" w:hAnsi="Times New Roman" w:cs="Times New Roman"/>
          <w:color w:val="0A0A0A"/>
          <w:kern w:val="0"/>
          <w:sz w:val="28"/>
          <w:szCs w:val="28"/>
          <w:lang w:val="uk-UA" w:eastAsia="uk-UA"/>
          <w14:ligatures w14:val="none"/>
        </w:rPr>
        <w:t xml:space="preserve"> </w:t>
      </w:r>
      <w:r w:rsidRPr="003B5892">
        <w:rPr>
          <w:rFonts w:ascii="Times New Roman" w:eastAsia="Times New Roman" w:hAnsi="Times New Roman" w:cs="Times New Roman"/>
          <w:bCs/>
          <w:color w:val="0A0A0A"/>
          <w:kern w:val="0"/>
          <w:sz w:val="28"/>
          <w:szCs w:val="28"/>
          <w:lang w:val="uk-UA" w:eastAsia="uk-UA"/>
          <w14:ligatures w14:val="none"/>
        </w:rPr>
        <w:t xml:space="preserve">є основним системоутворюючим документом, на підставі якого здійснюється нормативно-правове регулювання у сфері ННТД. Він </w:t>
      </w:r>
      <w:r w:rsidRPr="003B5892">
        <w:rPr>
          <w:rFonts w:ascii="Times New Roman" w:eastAsia="Times New Roman" w:hAnsi="Times New Roman" w:cs="Times New Roman"/>
          <w:color w:val="0A0A0A"/>
          <w:kern w:val="0"/>
          <w:sz w:val="28"/>
          <w:szCs w:val="28"/>
          <w:lang w:val="uk-UA" w:eastAsia="uk-UA"/>
          <w14:ligatures w14:val="none"/>
        </w:rPr>
        <w:t xml:space="preserve">є базовим </w:t>
      </w:r>
      <w:r w:rsidRPr="003B5892">
        <w:rPr>
          <w:rFonts w:ascii="Times New Roman" w:eastAsia="Times New Roman" w:hAnsi="Times New Roman" w:cs="Times New Roman"/>
          <w:iCs/>
          <w:color w:val="0A0A0A"/>
          <w:kern w:val="0"/>
          <w:sz w:val="28"/>
          <w:szCs w:val="28"/>
          <w:lang w:val="uk-UA" w:eastAsia="uk-UA"/>
          <w14:ligatures w14:val="none"/>
        </w:rPr>
        <w:t>нормативно-правовим актом</w:t>
      </w:r>
      <w:r w:rsidRPr="003B5892">
        <w:rPr>
          <w:rFonts w:ascii="Times New Roman" w:eastAsia="Times New Roman" w:hAnsi="Times New Roman" w:cs="Times New Roman"/>
          <w:color w:val="0A0A0A"/>
          <w:kern w:val="0"/>
          <w:sz w:val="28"/>
          <w:szCs w:val="28"/>
          <w:lang w:val="uk-UA" w:eastAsia="uk-UA"/>
          <w14:ligatures w14:val="none"/>
        </w:rPr>
        <w:t xml:space="preserve">, що визначає правові, організаційні та фінансові засади функціонування наукової сфери. Відповідно до повноважень </w:t>
      </w:r>
      <w:r w:rsidRPr="003B5892">
        <w:rPr>
          <w:rFonts w:ascii="Times New Roman" w:eastAsia="Times New Roman" w:hAnsi="Times New Roman" w:cs="Times New Roman"/>
          <w:bCs/>
          <w:kern w:val="0"/>
          <w:sz w:val="28"/>
          <w:szCs w:val="28"/>
          <w:lang w:val="uk" w:eastAsia="uk"/>
          <w14:ligatures w14:val="none"/>
        </w:rPr>
        <w:t>суб’єктів державного регулювання та управління у сфері ННТД, визначених цим законом,</w:t>
      </w:r>
      <w:r w:rsidRPr="003B5892">
        <w:rPr>
          <w:rFonts w:ascii="Times New Roman" w:eastAsia="Times New Roman" w:hAnsi="Times New Roman" w:cs="Times New Roman"/>
          <w:color w:val="0A0A0A"/>
          <w:kern w:val="0"/>
          <w:sz w:val="28"/>
          <w:szCs w:val="28"/>
          <w:lang w:val="uk-UA" w:eastAsia="uk-UA"/>
          <w14:ligatures w14:val="none"/>
        </w:rPr>
        <w:t xml:space="preserve"> Верховна Рада України (ВРУ)</w:t>
      </w:r>
      <w:r w:rsidRPr="003B5892">
        <w:rPr>
          <w:rFonts w:ascii="Times New Roman" w:eastAsia="Times New Roman" w:hAnsi="Times New Roman" w:cs="Times New Roman"/>
          <w:bCs/>
          <w:kern w:val="0"/>
          <w:sz w:val="28"/>
          <w:szCs w:val="28"/>
          <w:lang w:val="uk" w:eastAsia="uk"/>
          <w14:ligatures w14:val="none"/>
        </w:rPr>
        <w:t xml:space="preserve"> здійснює </w:t>
      </w:r>
      <w:r w:rsidRPr="003B5892">
        <w:rPr>
          <w:rFonts w:ascii="Times New Roman" w:eastAsia="Times New Roman" w:hAnsi="Times New Roman" w:cs="Times New Roman"/>
          <w:color w:val="0A0A0A"/>
          <w:kern w:val="0"/>
          <w:sz w:val="28"/>
          <w:szCs w:val="28"/>
          <w:lang w:val="uk-UA" w:eastAsia="uk-UA"/>
          <w14:ligatures w14:val="none"/>
        </w:rPr>
        <w:t xml:space="preserve">державне регулювання ННТД в Україні (за підтримкою КМУ), яке </w:t>
      </w:r>
      <w:r w:rsidRPr="003B5892">
        <w:rPr>
          <w:rFonts w:ascii="Times New Roman" w:eastAsia="Times New Roman" w:hAnsi="Times New Roman" w:cs="Times New Roman"/>
          <w:iCs/>
          <w:color w:val="0A0A0A"/>
          <w:kern w:val="0"/>
          <w:sz w:val="28"/>
          <w:szCs w:val="28"/>
          <w:lang w:val="uk-UA" w:eastAsia="uk-UA"/>
          <w14:ligatures w14:val="none"/>
        </w:rPr>
        <w:t>к</w:t>
      </w:r>
      <w:r w:rsidRPr="003B5892">
        <w:rPr>
          <w:rFonts w:ascii="Times New Roman" w:eastAsia="Times New Roman" w:hAnsi="Times New Roman" w:cs="Times New Roman"/>
          <w:color w:val="0A0A0A"/>
          <w:kern w:val="0"/>
          <w:sz w:val="28"/>
          <w:szCs w:val="28"/>
          <w:lang w:val="uk-UA" w:eastAsia="uk-UA"/>
          <w14:ligatures w14:val="none"/>
        </w:rPr>
        <w:t xml:space="preserve">оординується Президентом України [4]. </w:t>
      </w:r>
      <w:r w:rsidRPr="003B5892">
        <w:rPr>
          <w:rFonts w:ascii="Times New Roman" w:eastAsia="Times New Roman" w:hAnsi="Times New Roman" w:cs="Times New Roman"/>
          <w:kern w:val="0"/>
          <w:sz w:val="28"/>
          <w:szCs w:val="28"/>
          <w:lang w:val="uk-UA"/>
          <w14:ligatures w14:val="none"/>
        </w:rPr>
        <w:t xml:space="preserve">Організаційну структуру ННТД, як сукупність органів виконавчої влади та наукових установ України, </w:t>
      </w:r>
      <w:r w:rsidRPr="003B5892">
        <w:rPr>
          <w:rFonts w:ascii="Times New Roman" w:eastAsia="Times New Roman" w:hAnsi="Times New Roman" w:cs="Times New Roman"/>
          <w:bCs/>
          <w:kern w:val="0"/>
          <w:sz w:val="28"/>
          <w:szCs w:val="28"/>
          <w:lang w:val="uk-UA"/>
          <w14:ligatures w14:val="none"/>
        </w:rPr>
        <w:t>наведено</w:t>
      </w:r>
      <w:r w:rsidRPr="003B5892">
        <w:rPr>
          <w:rFonts w:ascii="Times New Roman" w:eastAsia="Times New Roman" w:hAnsi="Times New Roman" w:cs="Times New Roman"/>
          <w:kern w:val="0"/>
          <w:sz w:val="28"/>
          <w:szCs w:val="28"/>
          <w:lang w:val="uk-UA"/>
          <w14:ligatures w14:val="none"/>
        </w:rPr>
        <w:t xml:space="preserve"> на рисунку 1.</w:t>
      </w:r>
    </w:p>
    <w:p w14:paraId="36EF3D75"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color w:val="0A0A0A"/>
          <w:kern w:val="0"/>
          <w:sz w:val="28"/>
          <w:szCs w:val="28"/>
          <w:lang w:val="uk-UA" w:eastAsia="uk-UA"/>
          <w14:ligatures w14:val="none"/>
        </w:rPr>
        <w:t xml:space="preserve">КМУ є вищим органом у системі органів виконавчої влади, який забезпечує реалізацію державної науково-технічної політики, розвиток і зміцнення науково-технічного потенціалу України [4]. </w:t>
      </w:r>
    </w:p>
    <w:p w14:paraId="131576BE" w14:textId="77777777" w:rsidR="000F5770" w:rsidRPr="003B5892" w:rsidRDefault="000F5770" w:rsidP="00023291">
      <w:pPr>
        <w:tabs>
          <w:tab w:val="left" w:pos="9638"/>
        </w:tabs>
        <w:spacing w:after="0" w:line="240" w:lineRule="auto"/>
        <w:ind w:firstLine="709"/>
        <w:jc w:val="both"/>
        <w:rPr>
          <w:rFonts w:ascii="Calibri" w:eastAsia="Times New Roman" w:hAnsi="Calibri" w:cs="Times New Roman"/>
          <w:kern w:val="0"/>
          <w:lang w:val="uk-UA"/>
          <w14:ligatures w14:val="none"/>
        </w:rPr>
      </w:pPr>
      <w:r w:rsidRPr="003B5892">
        <w:rPr>
          <w:rFonts w:ascii="Times New Roman" w:eastAsia="Times New Roman" w:hAnsi="Times New Roman" w:cs="Times New Roman"/>
          <w:color w:val="0A0A0A"/>
          <w:kern w:val="0"/>
          <w:sz w:val="28"/>
          <w:szCs w:val="28"/>
          <w:lang w:val="uk-UA" w:eastAsia="uk-UA"/>
          <w14:ligatures w14:val="none"/>
        </w:rPr>
        <w:t>З метою сприяння формуванню державної політики розвитку ННТД у країні та забезпечення ефективної взаємодії суб’єктів ННТД при КМУ створена Національна рада України з питань розвитку науки і технологій (Національна рада), яка є ключовим консультативно-дорадчим органом з питань розвитку науки і технологій [4]. У її складі функціонують два Комітети: науковий та адміністративний. Національна рада надає пропозиції КМУ щодо визначення пріоритетів розвитку науки і техніки та заходів з їх реалізації, розробки стратегічних напрямів науково-технологічного розвитку, вдосконалення структури управління наукою та системи підготовки і атестації кадрів</w:t>
      </w:r>
      <w:r w:rsidRPr="003B5892">
        <w:rPr>
          <w:rFonts w:ascii="Calibri" w:eastAsia="Times New Roman" w:hAnsi="Calibri" w:cs="Times New Roman"/>
          <w:kern w:val="0"/>
          <w:lang w:val="uk-UA"/>
          <w14:ligatures w14:val="none"/>
        </w:rPr>
        <w:t>.</w:t>
      </w:r>
    </w:p>
    <w:p w14:paraId="39790435"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color w:val="0A0A0A"/>
          <w:kern w:val="0"/>
          <w:sz w:val="28"/>
          <w:szCs w:val="28"/>
          <w:lang w:val="uk-UA" w:eastAsia="uk-UA"/>
          <w14:ligatures w14:val="none"/>
        </w:rPr>
        <w:t xml:space="preserve">Пропозиції щодо визначення пріоритетних напрямів розвитку науки та техніки з урахуванням пропозицій Національної ради КМУ подає до ВРУ. Також КМУ організує розробку і виконання державних цільових наукових і науково-технічних програм в частині, що стосується, та їх затвердження. Готує пропозиції щодо фінансування ННТД, аналізує ефективність використання коштів, що виділяються для цього, та формуються в рамках Національного фонду досліджень України (НФДУ) [4]. </w:t>
      </w:r>
    </w:p>
    <w:p w14:paraId="72A32D08"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color w:val="0A0A0A"/>
          <w:kern w:val="0"/>
          <w:sz w:val="28"/>
          <w:szCs w:val="28"/>
          <w:lang w:val="uk-UA" w:eastAsia="uk-UA"/>
          <w14:ligatures w14:val="none"/>
        </w:rPr>
        <w:t>Вищою науковою самоврядною організацією в Україні є НАНУ [4], яка через державні галузеві академії наук – Академію медичних наук України, Українську академію аграрних наук, Академію правових наук України, Академію педагогічних наук України та Академію мистецтв України координує, організує і проводить дослідження у відповідних галузях науки та техніки, зокрема і в сфері оборони.</w:t>
      </w:r>
    </w:p>
    <w:p w14:paraId="18341F25" w14:textId="21E67120" w:rsidR="000F5770" w:rsidRPr="006F5634"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color w:val="0A0A0A"/>
          <w:kern w:val="0"/>
          <w:sz w:val="28"/>
          <w:szCs w:val="28"/>
          <w:lang w:val="uk-UA" w:eastAsia="uk-UA"/>
          <w14:ligatures w14:val="none"/>
        </w:rPr>
        <w:t xml:space="preserve">Головним завданням галузевих міністерств, інших ЦОВВ з проблем науково-технологічного й інноваційного розвитку держави є: розроблення та забезпечення реалізації єдиної науково-технологічної політики відповідної галузі; здійснення функцій державного замовника в частині використання </w:t>
      </w:r>
    </w:p>
    <w:p w14:paraId="229B9626"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sectPr w:rsidR="000F5770" w:rsidRPr="003B5892" w:rsidSect="00A908CF">
          <w:headerReference w:type="default" r:id="rId38"/>
          <w:footerReference w:type="default" r:id="rId39"/>
          <w:type w:val="continuous"/>
          <w:pgSz w:w="11906" w:h="16838"/>
          <w:pgMar w:top="1134" w:right="1134" w:bottom="1134" w:left="1134" w:header="709" w:footer="709" w:gutter="0"/>
          <w:cols w:space="708"/>
          <w:docGrid w:linePitch="360"/>
        </w:sectPr>
      </w:pPr>
    </w:p>
    <w:p w14:paraId="45DC0320" w14:textId="097AF8BD"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2470BBDE" w14:textId="5E1C92D8" w:rsidR="000F5770"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611E4E02" w14:textId="77777777" w:rsidR="004C5E80" w:rsidRDefault="004C5E8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36B1E40B" w14:textId="77777777" w:rsidR="004C5E80" w:rsidRPr="003B5892" w:rsidRDefault="004C5E8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13E3F3F1"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2B12122F" w14:textId="6B87D87A"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6F50604D" w14:textId="65149FB5"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798B51E5"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70D1BBFE" w14:textId="69BFC2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3925FE94" w14:textId="4DA51BBD" w:rsidR="000F5770" w:rsidRPr="003B5892" w:rsidRDefault="00463231"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noProof/>
          <w:kern w:val="0"/>
          <w:sz w:val="28"/>
          <w:szCs w:val="28"/>
          <w:lang w:val="uk-UA" w:eastAsia="uk-UA"/>
          <w14:ligatures w14:val="none"/>
        </w:rPr>
        <mc:AlternateContent>
          <mc:Choice Requires="wpg">
            <w:drawing>
              <wp:anchor distT="0" distB="0" distL="114300" distR="114300" simplePos="0" relativeHeight="251654656" behindDoc="0" locked="0" layoutInCell="1" allowOverlap="1" wp14:anchorId="66EE7AFD" wp14:editId="75D6AF28">
                <wp:simplePos x="0" y="0"/>
                <wp:positionH relativeFrom="column">
                  <wp:posOffset>-816189</wp:posOffset>
                </wp:positionH>
                <wp:positionV relativeFrom="paragraph">
                  <wp:posOffset>263676</wp:posOffset>
                </wp:positionV>
                <wp:extent cx="8272146" cy="5280029"/>
                <wp:effectExtent l="0" t="8890" r="24765" b="24765"/>
                <wp:wrapNone/>
                <wp:docPr id="1005016361" name="Группа 7"/>
                <wp:cNvGraphicFramePr/>
                <a:graphic xmlns:a="http://schemas.openxmlformats.org/drawingml/2006/main">
                  <a:graphicData uri="http://schemas.microsoft.com/office/word/2010/wordprocessingGroup">
                    <wpg:wgp>
                      <wpg:cNvGrpSpPr/>
                      <wpg:grpSpPr bwMode="auto">
                        <a:xfrm rot="16200000">
                          <a:off x="0" y="0"/>
                          <a:ext cx="8272146" cy="5280029"/>
                          <a:chOff x="84125" y="-23023"/>
                          <a:chExt cx="9963062" cy="6381450"/>
                        </a:xfrm>
                      </wpg:grpSpPr>
                      <wps:wsp>
                        <wps:cNvPr id="326987938" name="Прямая со стрелкой 39"/>
                        <wps:cNvCnPr/>
                        <wps:spPr>
                          <a:xfrm>
                            <a:off x="6611451" y="2407910"/>
                            <a:ext cx="2049588" cy="1155908"/>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wps:wsp>
                        <wps:cNvPr id="1424083564" name="Прямая со стрелкой 40"/>
                        <wps:cNvCnPr/>
                        <wps:spPr>
                          <a:xfrm>
                            <a:off x="1030530" y="1735233"/>
                            <a:ext cx="1827804" cy="870361"/>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wps:wsp>
                        <wps:cNvPr id="437430880" name="Прямоугольник 41"/>
                        <wps:cNvSpPr/>
                        <wps:spPr>
                          <a:xfrm>
                            <a:off x="3783706" y="34538"/>
                            <a:ext cx="2512276" cy="690307"/>
                          </a:xfrm>
                          <a:prstGeom prst="rect">
                            <a:avLst/>
                          </a:prstGeom>
                          <a:solidFill>
                            <a:sysClr val="window" lastClr="FFFFFF"/>
                          </a:solidFill>
                          <a:ln w="25400" cap="flat" cmpd="sng" algn="ctr">
                            <a:solidFill>
                              <a:sysClr val="windowText" lastClr="000000"/>
                            </a:solidFill>
                            <a:prstDash val="solid"/>
                          </a:ln>
                          <a:effectLst/>
                        </wps:spPr>
                        <wps:txbx>
                          <w:txbxContent>
                            <w:p w14:paraId="58AA5A1A" w14:textId="77777777" w:rsidR="00F25FCF" w:rsidRPr="003B5892" w:rsidRDefault="00F25FCF" w:rsidP="000F5770">
                              <w:pPr>
                                <w:pStyle w:val="NormalWeb"/>
                                <w:kinsoku w:val="0"/>
                                <w:overflowPunct w:val="0"/>
                                <w:spacing w:before="0" w:after="0" w:line="216" w:lineRule="auto"/>
                                <w:jc w:val="center"/>
                                <w:textAlignment w:val="baseline"/>
                                <w:rPr>
                                  <w:rFonts w:ascii="Calibri" w:hAnsi="Calibri"/>
                                  <w:color w:val="000000"/>
                                  <w:kern w:val="24"/>
                                  <w:sz w:val="20"/>
                                  <w:szCs w:val="20"/>
                                </w:rPr>
                              </w:pPr>
                              <w:r w:rsidRPr="003B5892">
                                <w:rPr>
                                  <w:rFonts w:ascii="Calibri" w:hAnsi="Calibri"/>
                                  <w:color w:val="000000"/>
                                  <w:kern w:val="24"/>
                                  <w:sz w:val="20"/>
                                  <w:szCs w:val="20"/>
                                </w:rPr>
                                <w:t>Кабінет Міністрів України</w:t>
                              </w:r>
                            </w:p>
                            <w:p w14:paraId="1A4F69DE" w14:textId="77777777" w:rsidR="00F25FCF" w:rsidRPr="00D12B20" w:rsidRDefault="00F25FCF" w:rsidP="000F5770">
                              <w:pPr>
                                <w:pStyle w:val="NormalWeb"/>
                                <w:kinsoku w:val="0"/>
                                <w:overflowPunct w:val="0"/>
                                <w:spacing w:before="0" w:after="0" w:line="216" w:lineRule="auto"/>
                                <w:jc w:val="center"/>
                                <w:textAlignment w:val="baseline"/>
                                <w:rPr>
                                  <w:sz w:val="20"/>
                                  <w:szCs w:val="20"/>
                                </w:rPr>
                              </w:pPr>
                              <w:r w:rsidRPr="003B5892">
                                <w:rPr>
                                  <w:rFonts w:ascii="Calibri" w:hAnsi="Calibri"/>
                                  <w:color w:val="000000"/>
                                  <w:kern w:val="24"/>
                                  <w:sz w:val="20"/>
                                  <w:szCs w:val="20"/>
                                </w:rPr>
                                <w:t>(підтримка державного регулювання ННТД)</w:t>
                              </w:r>
                            </w:p>
                          </w:txbxContent>
                        </wps:txbx>
                        <wps:bodyPr anchor="ctr"/>
                      </wps:wsp>
                      <wps:wsp>
                        <wps:cNvPr id="742012379" name="Прямоугольник 42"/>
                        <wps:cNvSpPr/>
                        <wps:spPr>
                          <a:xfrm>
                            <a:off x="7892442" y="-23022"/>
                            <a:ext cx="2154745" cy="621569"/>
                          </a:xfrm>
                          <a:prstGeom prst="rect">
                            <a:avLst/>
                          </a:prstGeom>
                          <a:solidFill>
                            <a:sysClr val="window" lastClr="FFFFFF"/>
                          </a:solidFill>
                          <a:ln w="25400" cap="flat" cmpd="sng" algn="ctr">
                            <a:solidFill>
                              <a:sysClr val="windowText" lastClr="000000"/>
                            </a:solidFill>
                            <a:prstDash val="solid"/>
                          </a:ln>
                          <a:effectLst/>
                        </wps:spPr>
                        <wps:txbx>
                          <w:txbxContent>
                            <w:p w14:paraId="72137103" w14:textId="77777777" w:rsidR="00F25FCF" w:rsidRPr="00D12B20" w:rsidRDefault="00F25FCF" w:rsidP="000F5770">
                              <w:pPr>
                                <w:pStyle w:val="NormalWeb"/>
                                <w:kinsoku w:val="0"/>
                                <w:overflowPunct w:val="0"/>
                                <w:spacing w:before="0" w:after="0" w:line="216" w:lineRule="auto"/>
                                <w:jc w:val="center"/>
                                <w:textAlignment w:val="baseline"/>
                                <w:rPr>
                                  <w:sz w:val="20"/>
                                  <w:szCs w:val="20"/>
                                </w:rPr>
                              </w:pPr>
                              <w:r w:rsidRPr="003B5892">
                                <w:rPr>
                                  <w:rFonts w:ascii="Calibri" w:hAnsi="Calibri"/>
                                  <w:color w:val="000000"/>
                                  <w:kern w:val="24"/>
                                  <w:sz w:val="20"/>
                                  <w:szCs w:val="20"/>
                                </w:rPr>
                                <w:t>Президент України</w:t>
                              </w:r>
                            </w:p>
                            <w:p w14:paraId="6EE37619" w14:textId="77777777" w:rsidR="00F25FCF" w:rsidRPr="00D12B20" w:rsidRDefault="00F25FCF" w:rsidP="000F5770">
                              <w:pPr>
                                <w:pStyle w:val="NormalWeb"/>
                                <w:kinsoku w:val="0"/>
                                <w:overflowPunct w:val="0"/>
                                <w:spacing w:before="0" w:after="0" w:line="216" w:lineRule="auto"/>
                                <w:jc w:val="center"/>
                                <w:textAlignment w:val="baseline"/>
                                <w:rPr>
                                  <w:sz w:val="20"/>
                                  <w:szCs w:val="20"/>
                                </w:rPr>
                              </w:pPr>
                              <w:r w:rsidRPr="003B5892">
                                <w:rPr>
                                  <w:rFonts w:ascii="Calibri" w:hAnsi="Calibri"/>
                                  <w:color w:val="000000"/>
                                  <w:kern w:val="24"/>
                                  <w:sz w:val="20"/>
                                  <w:szCs w:val="20"/>
                                </w:rPr>
                                <w:t>(координація державного регулювання ННТД)</w:t>
                              </w:r>
                            </w:p>
                          </w:txbxContent>
                        </wps:txbx>
                        <wps:bodyPr anchor="ctr"/>
                      </wps:wsp>
                      <wps:wsp>
                        <wps:cNvPr id="1968784081" name="Прямоугольник 43"/>
                        <wps:cNvSpPr/>
                        <wps:spPr>
                          <a:xfrm>
                            <a:off x="84125" y="-23023"/>
                            <a:ext cx="1839276" cy="673735"/>
                          </a:xfrm>
                          <a:prstGeom prst="rect">
                            <a:avLst/>
                          </a:prstGeom>
                          <a:solidFill>
                            <a:sysClr val="window" lastClr="FFFFFF"/>
                          </a:solidFill>
                          <a:ln w="25400" cap="flat" cmpd="sng" algn="ctr">
                            <a:solidFill>
                              <a:sysClr val="windowText" lastClr="000000"/>
                            </a:solidFill>
                            <a:prstDash val="solid"/>
                          </a:ln>
                          <a:effectLst/>
                        </wps:spPr>
                        <wps:txbx>
                          <w:txbxContent>
                            <w:p w14:paraId="75BB4593" w14:textId="77777777" w:rsidR="00F25FCF" w:rsidRPr="003B5892" w:rsidRDefault="00F25FCF" w:rsidP="000F5770">
                              <w:pPr>
                                <w:pStyle w:val="NormalWeb"/>
                                <w:kinsoku w:val="0"/>
                                <w:overflowPunct w:val="0"/>
                                <w:spacing w:before="0" w:after="0" w:line="216" w:lineRule="auto"/>
                                <w:jc w:val="center"/>
                                <w:textAlignment w:val="baseline"/>
                                <w:rPr>
                                  <w:rFonts w:ascii="Calibri" w:hAnsi="Calibri"/>
                                  <w:color w:val="000000"/>
                                  <w:kern w:val="24"/>
                                  <w:sz w:val="20"/>
                                  <w:szCs w:val="20"/>
                                </w:rPr>
                              </w:pPr>
                              <w:r w:rsidRPr="003B5892">
                                <w:rPr>
                                  <w:rFonts w:ascii="Calibri" w:hAnsi="Calibri"/>
                                  <w:color w:val="000000"/>
                                  <w:kern w:val="24"/>
                                  <w:sz w:val="20"/>
                                  <w:szCs w:val="20"/>
                                </w:rPr>
                                <w:t xml:space="preserve">Верховна Рада України </w:t>
                              </w:r>
                            </w:p>
                            <w:p w14:paraId="2C690340" w14:textId="77777777" w:rsidR="00F25FCF" w:rsidRPr="003B5892" w:rsidRDefault="00F25FCF" w:rsidP="000F5770">
                              <w:pPr>
                                <w:pStyle w:val="NormalWeb"/>
                                <w:kinsoku w:val="0"/>
                                <w:overflowPunct w:val="0"/>
                                <w:spacing w:before="0" w:after="0" w:line="216" w:lineRule="auto"/>
                                <w:jc w:val="center"/>
                                <w:textAlignment w:val="baseline"/>
                                <w:rPr>
                                  <w:rFonts w:ascii="Calibri" w:hAnsi="Calibri"/>
                                  <w:color w:val="000000"/>
                                  <w:kern w:val="24"/>
                                  <w:sz w:val="20"/>
                                  <w:szCs w:val="20"/>
                                </w:rPr>
                              </w:pPr>
                              <w:r w:rsidRPr="003B5892">
                                <w:rPr>
                                  <w:rFonts w:ascii="Calibri" w:hAnsi="Calibri"/>
                                  <w:color w:val="000000"/>
                                  <w:kern w:val="24"/>
                                  <w:sz w:val="20"/>
                                  <w:szCs w:val="20"/>
                                </w:rPr>
                                <w:t>(державне регулювання ННТД)</w:t>
                              </w:r>
                            </w:p>
                          </w:txbxContent>
                        </wps:txbx>
                        <wps:bodyPr anchor="ctr"/>
                      </wps:wsp>
                      <wps:wsp>
                        <wps:cNvPr id="1671052805" name="Прямая со стрелкой 44"/>
                        <wps:cNvCnPr/>
                        <wps:spPr>
                          <a:xfrm flipH="1">
                            <a:off x="6295984" y="293781"/>
                            <a:ext cx="1598373" cy="0"/>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wps:wsp>
                        <wps:cNvPr id="1215470790" name="Прямая со стрелкой 45"/>
                        <wps:cNvCnPr/>
                        <wps:spPr>
                          <a:xfrm flipH="1">
                            <a:off x="1923401" y="293781"/>
                            <a:ext cx="1860308" cy="0"/>
                          </a:xfrm>
                          <a:prstGeom prst="straightConnector1">
                            <a:avLst/>
                          </a:prstGeom>
                          <a:noFill/>
                          <a:ln w="38100" cap="flat" cmpd="sng" algn="ctr">
                            <a:solidFill>
                              <a:srgbClr val="4F81BD"/>
                            </a:solidFill>
                            <a:prstDash val="solid"/>
                            <a:tailEnd type="arrow"/>
                          </a:ln>
                          <a:effectLst>
                            <a:outerShdw blurRad="40000" dist="23000" dir="5400000" rotWithShape="0">
                              <a:srgbClr val="000000">
                                <a:alpha val="35000"/>
                              </a:srgbClr>
                            </a:outerShdw>
                          </a:effectLst>
                        </wps:spPr>
                        <wps:bodyPr/>
                      </wps:wsp>
                      <wps:wsp>
                        <wps:cNvPr id="501427964" name="Прямоугольник 46"/>
                        <wps:cNvSpPr/>
                        <wps:spPr>
                          <a:xfrm>
                            <a:off x="3898424" y="1114722"/>
                            <a:ext cx="2397559" cy="398114"/>
                          </a:xfrm>
                          <a:prstGeom prst="rect">
                            <a:avLst/>
                          </a:prstGeom>
                          <a:solidFill>
                            <a:sysClr val="window" lastClr="FFFFFF"/>
                          </a:solidFill>
                          <a:ln w="25400" cap="flat" cmpd="sng" algn="ctr">
                            <a:solidFill>
                              <a:srgbClr val="4F81BD"/>
                            </a:solidFill>
                            <a:prstDash val="solid"/>
                          </a:ln>
                          <a:effectLst/>
                        </wps:spPr>
                        <wps:txbx>
                          <w:txbxContent>
                            <w:p w14:paraId="69CA2A79" w14:textId="77777777" w:rsidR="00F25FCF" w:rsidRDefault="00F25FCF" w:rsidP="000F5770">
                              <w:pPr>
                                <w:pStyle w:val="NormalWeb"/>
                                <w:kinsoku w:val="0"/>
                                <w:overflowPunct w:val="0"/>
                                <w:spacing w:before="0" w:after="0" w:line="216" w:lineRule="auto"/>
                                <w:jc w:val="center"/>
                                <w:textAlignment w:val="baseline"/>
                              </w:pPr>
                              <w:r w:rsidRPr="003B5892">
                                <w:rPr>
                                  <w:rFonts w:ascii="Calibri" w:hAnsi="Calibri"/>
                                  <w:color w:val="000000"/>
                                  <w:kern w:val="24"/>
                                  <w:sz w:val="16"/>
                                  <w:szCs w:val="16"/>
                                </w:rPr>
                                <w:t>Національна рада України з питань розвитку науки і технологій</w:t>
                              </w:r>
                            </w:p>
                          </w:txbxContent>
                        </wps:txbx>
                        <wps:bodyPr anchor="ctr"/>
                      </wps:wsp>
                      <wps:wsp>
                        <wps:cNvPr id="1335894677" name="Прямоугольник 47"/>
                        <wps:cNvSpPr/>
                        <wps:spPr>
                          <a:xfrm>
                            <a:off x="3898424" y="1512837"/>
                            <a:ext cx="1168188" cy="431063"/>
                          </a:xfrm>
                          <a:prstGeom prst="rect">
                            <a:avLst/>
                          </a:prstGeom>
                          <a:solidFill>
                            <a:sysClr val="window" lastClr="FFFFFF"/>
                          </a:solidFill>
                          <a:ln w="25400" cap="flat" cmpd="sng" algn="ctr">
                            <a:solidFill>
                              <a:srgbClr val="4F81BD"/>
                            </a:solidFill>
                            <a:prstDash val="solid"/>
                          </a:ln>
                          <a:effectLst/>
                        </wps:spPr>
                        <wps:txbx>
                          <w:txbxContent>
                            <w:p w14:paraId="39709E7C" w14:textId="77777777" w:rsidR="00F25FCF" w:rsidRDefault="00F25FCF" w:rsidP="000F5770">
                              <w:pPr>
                                <w:pStyle w:val="NormalWeb"/>
                                <w:kinsoku w:val="0"/>
                                <w:overflowPunct w:val="0"/>
                                <w:spacing w:before="0" w:after="0" w:line="216" w:lineRule="auto"/>
                                <w:jc w:val="center"/>
                                <w:textAlignment w:val="baseline"/>
                              </w:pPr>
                              <w:r w:rsidRPr="003B5892">
                                <w:rPr>
                                  <w:rFonts w:ascii="Calibri" w:hAnsi="Calibri"/>
                                  <w:color w:val="000000"/>
                                  <w:kern w:val="24"/>
                                  <w:sz w:val="16"/>
                                  <w:szCs w:val="16"/>
                                </w:rPr>
                                <w:t>Науковий Комітет</w:t>
                              </w:r>
                            </w:p>
                          </w:txbxContent>
                        </wps:txbx>
                        <wps:bodyPr anchor="ctr"/>
                      </wps:wsp>
                      <wps:wsp>
                        <wps:cNvPr id="1081121778" name="Прямоугольник 48"/>
                        <wps:cNvSpPr/>
                        <wps:spPr>
                          <a:xfrm>
                            <a:off x="5087644" y="1512837"/>
                            <a:ext cx="1208339" cy="431063"/>
                          </a:xfrm>
                          <a:prstGeom prst="rect">
                            <a:avLst/>
                          </a:prstGeom>
                          <a:solidFill>
                            <a:sysClr val="window" lastClr="FFFFFF"/>
                          </a:solidFill>
                          <a:ln w="25400" cap="flat" cmpd="sng" algn="ctr">
                            <a:solidFill>
                              <a:srgbClr val="4F81BD"/>
                            </a:solidFill>
                            <a:prstDash val="solid"/>
                          </a:ln>
                          <a:effectLst/>
                        </wps:spPr>
                        <wps:txbx>
                          <w:txbxContent>
                            <w:p w14:paraId="3D4DF92D" w14:textId="77777777" w:rsidR="00F25FCF" w:rsidRDefault="00F25FCF" w:rsidP="000F5770">
                              <w:pPr>
                                <w:pStyle w:val="NormalWeb"/>
                                <w:kinsoku w:val="0"/>
                                <w:overflowPunct w:val="0"/>
                                <w:spacing w:before="0" w:after="0" w:line="216" w:lineRule="auto"/>
                                <w:jc w:val="center"/>
                                <w:textAlignment w:val="baseline"/>
                              </w:pPr>
                              <w:r w:rsidRPr="003B5892">
                                <w:rPr>
                                  <w:rFonts w:ascii="Calibri" w:hAnsi="Calibri"/>
                                  <w:color w:val="000000"/>
                                  <w:kern w:val="24"/>
                                  <w:sz w:val="16"/>
                                  <w:szCs w:val="16"/>
                                </w:rPr>
                                <w:t>Адміністративний Комітет</w:t>
                              </w:r>
                            </w:p>
                          </w:txbxContent>
                        </wps:txbx>
                        <wps:bodyPr anchor="ctr"/>
                      </wps:wsp>
                      <wps:wsp>
                        <wps:cNvPr id="1526898185" name="Прямоугольник 49"/>
                        <wps:cNvSpPr/>
                        <wps:spPr>
                          <a:xfrm>
                            <a:off x="279142" y="967003"/>
                            <a:ext cx="1449242" cy="768229"/>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527C8B5E" w14:textId="77777777" w:rsidR="00F25FCF" w:rsidRPr="00D12B20" w:rsidRDefault="00F25FCF" w:rsidP="000F5770">
                              <w:pPr>
                                <w:pStyle w:val="NormalWeb"/>
                                <w:kinsoku w:val="0"/>
                                <w:overflowPunct w:val="0"/>
                                <w:spacing w:before="0" w:after="0" w:line="216" w:lineRule="auto"/>
                                <w:jc w:val="center"/>
                                <w:textAlignment w:val="baseline"/>
                                <w:rPr>
                                  <w:sz w:val="15"/>
                                  <w:szCs w:val="15"/>
                                </w:rPr>
                              </w:pPr>
                              <w:r w:rsidRPr="003B5892">
                                <w:rPr>
                                  <w:rFonts w:ascii="Calibri" w:hAnsi="Calibri"/>
                                  <w:color w:val="000000"/>
                                  <w:kern w:val="24"/>
                                  <w:sz w:val="15"/>
                                  <w:szCs w:val="15"/>
                                </w:rPr>
                                <w:t>Закон України ‟Про пріоритетні напрями наукової науково-технічної та інноваційної діяльності”</w:t>
                              </w:r>
                            </w:p>
                          </w:txbxContent>
                        </wps:txbx>
                        <wps:bodyPr anchor="ctr"/>
                      </wps:wsp>
                      <wps:wsp>
                        <wps:cNvPr id="653987867" name="Скругленный прямоугольник 50"/>
                        <wps:cNvSpPr/>
                        <wps:spPr>
                          <a:xfrm>
                            <a:off x="8901943" y="2753858"/>
                            <a:ext cx="913902" cy="914293"/>
                          </a:xfrm>
                          <a:prstGeom prst="roundRect">
                            <a:avLst/>
                          </a:prstGeom>
                          <a:solidFill>
                            <a:sysClr val="window" lastClr="FFFFFF"/>
                          </a:solidFill>
                          <a:ln w="25400" cap="flat" cmpd="sng" algn="ctr">
                            <a:solidFill>
                              <a:srgbClr val="C0504D"/>
                            </a:solidFill>
                            <a:prstDash val="solid"/>
                          </a:ln>
                          <a:effectLst/>
                        </wps:spPr>
                        <wps:txbx>
                          <w:txbxContent>
                            <w:p w14:paraId="62AF059C" w14:textId="77777777" w:rsidR="00F25FCF" w:rsidRDefault="00F25FCF" w:rsidP="000F5770"/>
                          </w:txbxContent>
                        </wps:txbx>
                        <wps:bodyPr anchor="ctr"/>
                      </wps:wsp>
                      <wps:wsp>
                        <wps:cNvPr id="1384453499" name="Скругленный прямоугольник 51"/>
                        <wps:cNvSpPr/>
                        <wps:spPr>
                          <a:xfrm>
                            <a:off x="5255894" y="2092164"/>
                            <a:ext cx="1365118" cy="587563"/>
                          </a:xfrm>
                          <a:prstGeom prst="roundRect">
                            <a:avLst/>
                          </a:prstGeom>
                          <a:solidFill>
                            <a:sysClr val="window" lastClr="FFFFFF"/>
                          </a:solidFill>
                          <a:ln w="25400" cap="flat" cmpd="sng" algn="ctr">
                            <a:solidFill>
                              <a:srgbClr val="C0504D"/>
                            </a:solidFill>
                            <a:prstDash val="solid"/>
                          </a:ln>
                          <a:effectLst/>
                        </wps:spPr>
                        <wps:txbx>
                          <w:txbxContent>
                            <w:p w14:paraId="47AD937B" w14:textId="77777777" w:rsidR="00F25FCF" w:rsidRPr="00D12B20" w:rsidRDefault="00F25FCF" w:rsidP="000F5770">
                              <w:pPr>
                                <w:pStyle w:val="NormalWeb"/>
                                <w:kinsoku w:val="0"/>
                                <w:overflowPunct w:val="0"/>
                                <w:spacing w:before="0" w:after="200" w:line="276" w:lineRule="auto"/>
                                <w:jc w:val="center"/>
                                <w:textAlignment w:val="baseline"/>
                                <w:rPr>
                                  <w:sz w:val="20"/>
                                  <w:szCs w:val="20"/>
                                </w:rPr>
                              </w:pPr>
                              <w:r w:rsidRPr="003B5892">
                                <w:rPr>
                                  <w:rFonts w:ascii="Calibri" w:hAnsi="Calibri"/>
                                  <w:color w:val="000000"/>
                                  <w:kern w:val="24"/>
                                  <w:sz w:val="20"/>
                                  <w:szCs w:val="20"/>
                                </w:rPr>
                                <w:t>Мінекономіки</w:t>
                              </w:r>
                            </w:p>
                          </w:txbxContent>
                        </wps:txbx>
                        <wps:bodyPr anchor="ctr"/>
                      </wps:wsp>
                      <wps:wsp>
                        <wps:cNvPr id="1569040875" name="Скругленный прямоугольник 52"/>
                        <wps:cNvSpPr/>
                        <wps:spPr>
                          <a:xfrm>
                            <a:off x="7104729" y="2048234"/>
                            <a:ext cx="913902" cy="917038"/>
                          </a:xfrm>
                          <a:prstGeom prst="roundRect">
                            <a:avLst/>
                          </a:prstGeom>
                          <a:solidFill>
                            <a:sysClr val="window" lastClr="FFFFFF"/>
                          </a:solidFill>
                          <a:ln w="25400" cap="flat" cmpd="sng" algn="ctr">
                            <a:solidFill>
                              <a:srgbClr val="C0504D"/>
                            </a:solidFill>
                            <a:prstDash val="solid"/>
                          </a:ln>
                          <a:effectLst/>
                        </wps:spPr>
                        <wps:txbx>
                          <w:txbxContent>
                            <w:p w14:paraId="366A5D6B" w14:textId="77777777" w:rsidR="00F25FCF" w:rsidRDefault="00F25FCF" w:rsidP="000F5770"/>
                          </w:txbxContent>
                        </wps:txbx>
                        <wps:bodyPr anchor="ctr"/>
                      </wps:wsp>
                      <wps:wsp>
                        <wps:cNvPr id="2140587219" name="Скругленный прямоугольник 53"/>
                        <wps:cNvSpPr/>
                        <wps:spPr>
                          <a:xfrm>
                            <a:off x="3795180" y="2344761"/>
                            <a:ext cx="913902" cy="483229"/>
                          </a:xfrm>
                          <a:prstGeom prst="roundRect">
                            <a:avLst/>
                          </a:prstGeom>
                          <a:solidFill>
                            <a:sysClr val="window" lastClr="FFFFFF"/>
                          </a:solidFill>
                          <a:ln w="25400" cap="flat" cmpd="sng" algn="ctr">
                            <a:solidFill>
                              <a:srgbClr val="C0504D"/>
                            </a:solidFill>
                            <a:prstDash val="solid"/>
                          </a:ln>
                          <a:effectLst/>
                        </wps:spPr>
                        <wps:txbx>
                          <w:txbxContent>
                            <w:p w14:paraId="60220503" w14:textId="77777777" w:rsidR="00F25FCF" w:rsidRPr="00D12B20" w:rsidRDefault="00F25FCF" w:rsidP="000F5770">
                              <w:pPr>
                                <w:pStyle w:val="NormalWeb"/>
                                <w:kinsoku w:val="0"/>
                                <w:overflowPunct w:val="0"/>
                                <w:spacing w:before="0" w:after="200" w:line="276" w:lineRule="auto"/>
                                <w:jc w:val="center"/>
                                <w:textAlignment w:val="baseline"/>
                                <w:rPr>
                                  <w:sz w:val="20"/>
                                  <w:szCs w:val="20"/>
                                </w:rPr>
                              </w:pPr>
                              <w:r w:rsidRPr="003B5892">
                                <w:rPr>
                                  <w:rFonts w:ascii="Calibri" w:hAnsi="Calibri"/>
                                  <w:color w:val="000000"/>
                                  <w:kern w:val="24"/>
                                  <w:sz w:val="20"/>
                                  <w:szCs w:val="20"/>
                                </w:rPr>
                                <w:t>Мінфін</w:t>
                              </w:r>
                            </w:p>
                          </w:txbxContent>
                        </wps:txbx>
                        <wps:bodyPr anchor="ctr"/>
                      </wps:wsp>
                      <wps:wsp>
                        <wps:cNvPr id="1071522677" name="Скругленный прямоугольник 54"/>
                        <wps:cNvSpPr/>
                        <wps:spPr>
                          <a:xfrm>
                            <a:off x="2290490" y="1062554"/>
                            <a:ext cx="1030531" cy="669933"/>
                          </a:xfrm>
                          <a:prstGeom prst="roundRect">
                            <a:avLst/>
                          </a:prstGeom>
                          <a:solidFill>
                            <a:sysClr val="window" lastClr="FFFFFF"/>
                          </a:solidFill>
                          <a:ln w="25400" cap="flat" cmpd="sng" algn="ctr">
                            <a:solidFill>
                              <a:srgbClr val="C0504D"/>
                            </a:solidFill>
                            <a:prstDash val="solid"/>
                          </a:ln>
                          <a:effectLst/>
                        </wps:spPr>
                        <wps:txbx>
                          <w:txbxContent>
                            <w:p w14:paraId="40544FDA" w14:textId="77777777" w:rsidR="00F25FCF" w:rsidRPr="00D12B20" w:rsidRDefault="00F25FCF" w:rsidP="000F5770">
                              <w:pPr>
                                <w:pStyle w:val="NormalWeb"/>
                                <w:kinsoku w:val="0"/>
                                <w:overflowPunct w:val="0"/>
                                <w:spacing w:before="0" w:after="0" w:line="216" w:lineRule="auto"/>
                                <w:jc w:val="center"/>
                                <w:textAlignment w:val="baseline"/>
                              </w:pPr>
                              <w:r w:rsidRPr="003B5892">
                                <w:rPr>
                                  <w:rFonts w:ascii="Calibri" w:hAnsi="Calibri"/>
                                  <w:color w:val="000000"/>
                                  <w:kern w:val="24"/>
                                </w:rPr>
                                <w:t>Національні академії наук України</w:t>
                              </w:r>
                            </w:p>
                          </w:txbxContent>
                        </wps:txbx>
                        <wps:bodyPr anchor="ctr"/>
                      </wps:wsp>
                      <wps:wsp>
                        <wps:cNvPr id="1769784527" name="Скругленный прямоугольник 56"/>
                        <wps:cNvSpPr/>
                        <wps:spPr>
                          <a:xfrm>
                            <a:off x="367090" y="1976848"/>
                            <a:ext cx="1261873" cy="535395"/>
                          </a:xfrm>
                          <a:prstGeom prst="roundRect">
                            <a:avLst/>
                          </a:prstGeom>
                          <a:solidFill>
                            <a:sysClr val="window" lastClr="FFFFFF"/>
                          </a:solidFill>
                          <a:ln w="25400" cap="flat" cmpd="sng" algn="ctr">
                            <a:solidFill>
                              <a:srgbClr val="C0504D"/>
                            </a:solidFill>
                            <a:prstDash val="solid"/>
                          </a:ln>
                          <a:effectLst/>
                        </wps:spPr>
                        <wps:txbx>
                          <w:txbxContent>
                            <w:p w14:paraId="6C4DD4C9" w14:textId="77777777" w:rsidR="00F25FCF" w:rsidRPr="00D12B20" w:rsidRDefault="00F25FCF" w:rsidP="000F5770">
                              <w:pPr>
                                <w:pStyle w:val="NormalWeb"/>
                                <w:kinsoku w:val="0"/>
                                <w:overflowPunct w:val="0"/>
                                <w:spacing w:before="0" w:after="0" w:line="216" w:lineRule="auto"/>
                                <w:jc w:val="center"/>
                                <w:textAlignment w:val="baseline"/>
                              </w:pPr>
                              <w:r w:rsidRPr="003B5892">
                                <w:rPr>
                                  <w:rFonts w:ascii="Calibri" w:hAnsi="Calibri"/>
                                  <w:color w:val="000000"/>
                                  <w:kern w:val="24"/>
                                </w:rPr>
                                <w:t>Міністерство освіти і науки</w:t>
                              </w:r>
                            </w:p>
                          </w:txbxContent>
                        </wps:txbx>
                        <wps:bodyPr anchor="ctr"/>
                      </wps:wsp>
                      <wps:wsp>
                        <wps:cNvPr id="1485327236" name="Стрелка вниз 57"/>
                        <wps:cNvSpPr/>
                        <wps:spPr>
                          <a:xfrm>
                            <a:off x="862281" y="650712"/>
                            <a:ext cx="166337" cy="337712"/>
                          </a:xfrm>
                          <a:prstGeom prst="downArrow">
                            <a:avLst/>
                          </a:prstGeom>
                          <a:solidFill>
                            <a:srgbClr val="4F81BD"/>
                          </a:solidFill>
                          <a:ln w="25400" cap="flat" cmpd="sng" algn="ctr">
                            <a:solidFill>
                              <a:srgbClr val="4F81BD">
                                <a:shade val="50000"/>
                              </a:srgbClr>
                            </a:solidFill>
                            <a:prstDash val="solid"/>
                          </a:ln>
                          <a:effectLst/>
                        </wps:spPr>
                        <wps:txbx>
                          <w:txbxContent>
                            <w:p w14:paraId="09E51FDF" w14:textId="77777777" w:rsidR="00F25FCF" w:rsidRDefault="00F25FCF" w:rsidP="000F5770"/>
                          </w:txbxContent>
                        </wps:txbx>
                        <wps:bodyPr anchor="ctr"/>
                      </wps:wsp>
                      <wps:wsp>
                        <wps:cNvPr id="50447696" name="Прямая со стрелкой 58"/>
                        <wps:cNvCnPr/>
                        <wps:spPr>
                          <a:xfrm flipV="1">
                            <a:off x="5087644" y="724844"/>
                            <a:ext cx="0" cy="387132"/>
                          </a:xfrm>
                          <a:prstGeom prst="straightConnector1">
                            <a:avLst/>
                          </a:prstGeom>
                          <a:noFill/>
                          <a:ln w="38100" cap="flat" cmpd="sng" algn="ctr">
                            <a:solidFill>
                              <a:srgbClr val="4F81BD"/>
                            </a:solidFill>
                            <a:prstDash val="solid"/>
                            <a:tailEnd type="arrow"/>
                          </a:ln>
                          <a:effectLst>
                            <a:outerShdw blurRad="40000" dist="23000" dir="5400000" rotWithShape="0">
                              <a:srgbClr val="000000">
                                <a:alpha val="35000"/>
                              </a:srgbClr>
                            </a:outerShdw>
                          </a:effectLst>
                        </wps:spPr>
                        <wps:bodyPr/>
                      </wps:wsp>
                      <wps:wsp>
                        <wps:cNvPr id="174177510" name="Скругленный прямоугольник 59"/>
                        <wps:cNvSpPr/>
                        <wps:spPr>
                          <a:xfrm>
                            <a:off x="7209886" y="2103146"/>
                            <a:ext cx="913902" cy="914291"/>
                          </a:xfrm>
                          <a:prstGeom prst="roundRect">
                            <a:avLst/>
                          </a:prstGeom>
                          <a:solidFill>
                            <a:sysClr val="window" lastClr="FFFFFF"/>
                          </a:solidFill>
                          <a:ln w="25400" cap="flat" cmpd="sng" algn="ctr">
                            <a:solidFill>
                              <a:srgbClr val="C0504D"/>
                            </a:solidFill>
                            <a:prstDash val="solid"/>
                          </a:ln>
                          <a:effectLst/>
                        </wps:spPr>
                        <wps:txbx>
                          <w:txbxContent>
                            <w:p w14:paraId="63E2D5A3" w14:textId="77777777" w:rsidR="00F25FCF" w:rsidRDefault="00F25FCF" w:rsidP="000F5770"/>
                          </w:txbxContent>
                        </wps:txbx>
                        <wps:bodyPr anchor="ctr"/>
                      </wps:wsp>
                      <wps:wsp>
                        <wps:cNvPr id="1672187079" name="Скругленный прямоугольник 60"/>
                        <wps:cNvSpPr/>
                        <wps:spPr>
                          <a:xfrm>
                            <a:off x="7315041" y="2174533"/>
                            <a:ext cx="913902" cy="914291"/>
                          </a:xfrm>
                          <a:prstGeom prst="roundRect">
                            <a:avLst/>
                          </a:prstGeom>
                          <a:solidFill>
                            <a:sysClr val="window" lastClr="FFFFFF"/>
                          </a:solidFill>
                          <a:ln w="25400" cap="flat" cmpd="sng" algn="ctr">
                            <a:solidFill>
                              <a:srgbClr val="C0504D"/>
                            </a:solidFill>
                            <a:prstDash val="solid"/>
                          </a:ln>
                          <a:effectLst/>
                        </wps:spPr>
                        <wps:txbx>
                          <w:txbxContent>
                            <w:p w14:paraId="544F1B47" w14:textId="77777777" w:rsidR="00F25FCF" w:rsidRDefault="00F25FCF" w:rsidP="000F5770"/>
                          </w:txbxContent>
                        </wps:txbx>
                        <wps:bodyPr anchor="ctr"/>
                      </wps:wsp>
                      <wps:wsp>
                        <wps:cNvPr id="1509396352" name="Скругленный прямоугольник 61"/>
                        <wps:cNvSpPr/>
                        <wps:spPr>
                          <a:xfrm>
                            <a:off x="7420198" y="2270628"/>
                            <a:ext cx="913902" cy="914293"/>
                          </a:xfrm>
                          <a:prstGeom prst="roundRect">
                            <a:avLst/>
                          </a:prstGeom>
                          <a:solidFill>
                            <a:sysClr val="window" lastClr="FFFFFF"/>
                          </a:solidFill>
                          <a:ln w="25400" cap="flat" cmpd="sng" algn="ctr">
                            <a:solidFill>
                              <a:srgbClr val="C0504D"/>
                            </a:solidFill>
                            <a:prstDash val="solid"/>
                          </a:ln>
                          <a:effectLst/>
                        </wps:spPr>
                        <wps:txbx>
                          <w:txbxContent>
                            <w:p w14:paraId="2CB9DADD" w14:textId="77777777" w:rsidR="00F25FCF" w:rsidRPr="00D12B20" w:rsidRDefault="00F25FCF" w:rsidP="000F5770">
                              <w:pPr>
                                <w:pStyle w:val="NormalWeb"/>
                                <w:kinsoku w:val="0"/>
                                <w:overflowPunct w:val="0"/>
                                <w:spacing w:before="0" w:after="0" w:line="228" w:lineRule="auto"/>
                                <w:ind w:left="-57" w:right="-57"/>
                                <w:jc w:val="center"/>
                                <w:textAlignment w:val="baseline"/>
                                <w:rPr>
                                  <w:sz w:val="16"/>
                                  <w:szCs w:val="16"/>
                                </w:rPr>
                              </w:pPr>
                              <w:r w:rsidRPr="003B5892">
                                <w:rPr>
                                  <w:rFonts w:ascii="Calibri" w:hAnsi="Calibri"/>
                                  <w:color w:val="000000"/>
                                  <w:kern w:val="24"/>
                                  <w:sz w:val="16"/>
                                  <w:szCs w:val="16"/>
                                </w:rPr>
                                <w:t>Галузеві міністерства(державні комітети, служби)</w:t>
                              </w:r>
                            </w:p>
                          </w:txbxContent>
                        </wps:txbx>
                        <wps:bodyPr anchor="ctr"/>
                      </wps:wsp>
                      <wps:wsp>
                        <wps:cNvPr id="2038745081" name="Скругленный прямоугольник 62"/>
                        <wps:cNvSpPr/>
                        <wps:spPr>
                          <a:xfrm>
                            <a:off x="8808259" y="2817008"/>
                            <a:ext cx="913902" cy="914291"/>
                          </a:xfrm>
                          <a:prstGeom prst="roundRect">
                            <a:avLst/>
                          </a:prstGeom>
                          <a:solidFill>
                            <a:sysClr val="window" lastClr="FFFFFF"/>
                          </a:solidFill>
                          <a:ln w="25400" cap="flat" cmpd="sng" algn="ctr">
                            <a:solidFill>
                              <a:srgbClr val="C0504D"/>
                            </a:solidFill>
                            <a:prstDash val="solid"/>
                          </a:ln>
                          <a:effectLst/>
                        </wps:spPr>
                        <wps:txbx>
                          <w:txbxContent>
                            <w:p w14:paraId="4328D0B3" w14:textId="77777777" w:rsidR="00F25FCF" w:rsidRDefault="00F25FCF" w:rsidP="000F5770"/>
                          </w:txbxContent>
                        </wps:txbx>
                        <wps:bodyPr anchor="ctr"/>
                      </wps:wsp>
                      <wps:wsp>
                        <wps:cNvPr id="1717291579" name="Скругленный прямоугольник 63"/>
                        <wps:cNvSpPr/>
                        <wps:spPr>
                          <a:xfrm>
                            <a:off x="8724134" y="2902121"/>
                            <a:ext cx="913902" cy="914293"/>
                          </a:xfrm>
                          <a:prstGeom prst="roundRect">
                            <a:avLst/>
                          </a:prstGeom>
                          <a:solidFill>
                            <a:sysClr val="window" lastClr="FFFFFF"/>
                          </a:solidFill>
                          <a:ln w="25400" cap="flat" cmpd="sng" algn="ctr">
                            <a:solidFill>
                              <a:srgbClr val="C0504D"/>
                            </a:solidFill>
                            <a:prstDash val="solid"/>
                          </a:ln>
                          <a:effectLst/>
                        </wps:spPr>
                        <wps:txbx>
                          <w:txbxContent>
                            <w:p w14:paraId="68DD60C4" w14:textId="77777777" w:rsidR="00F25FCF" w:rsidRDefault="00F25FCF" w:rsidP="000F5770"/>
                          </w:txbxContent>
                        </wps:txbx>
                        <wps:bodyPr anchor="ctr"/>
                      </wps:wsp>
                      <wps:wsp>
                        <wps:cNvPr id="1551173500" name="Скругленный прямоугольник 64"/>
                        <wps:cNvSpPr/>
                        <wps:spPr>
                          <a:xfrm>
                            <a:off x="8670600" y="3006455"/>
                            <a:ext cx="913902" cy="914293"/>
                          </a:xfrm>
                          <a:prstGeom prst="roundRect">
                            <a:avLst/>
                          </a:prstGeom>
                          <a:solidFill>
                            <a:sysClr val="window" lastClr="FFFFFF"/>
                          </a:solidFill>
                          <a:ln w="25400" cap="flat" cmpd="sng" algn="ctr">
                            <a:solidFill>
                              <a:srgbClr val="C0504D"/>
                            </a:solidFill>
                            <a:prstDash val="solid"/>
                          </a:ln>
                          <a:effectLst/>
                        </wps:spPr>
                        <wps:txbx>
                          <w:txbxContent>
                            <w:p w14:paraId="27909E5F" w14:textId="77777777" w:rsidR="00F25FCF" w:rsidRDefault="00F25FCF" w:rsidP="000F5770">
                              <w:pPr>
                                <w:pStyle w:val="NormalWeb"/>
                                <w:kinsoku w:val="0"/>
                                <w:overflowPunct w:val="0"/>
                                <w:spacing w:before="0" w:after="0" w:line="216" w:lineRule="auto"/>
                                <w:jc w:val="center"/>
                                <w:textAlignment w:val="baseline"/>
                              </w:pPr>
                              <w:r w:rsidRPr="003B5892">
                                <w:rPr>
                                  <w:rFonts w:ascii="Calibri" w:hAnsi="Calibri"/>
                                  <w:color w:val="000000"/>
                                  <w:kern w:val="24"/>
                                  <w:sz w:val="13"/>
                                  <w:szCs w:val="13"/>
                                </w:rPr>
                                <w:t>Обласні державні адміністрації</w:t>
                              </w:r>
                            </w:p>
                          </w:txbxContent>
                        </wps:txbx>
                        <wps:bodyPr anchor="ctr"/>
                      </wps:wsp>
                      <wps:wsp>
                        <wps:cNvPr id="97880596" name="Прямая со стрелкой 65"/>
                        <wps:cNvCnPr/>
                        <wps:spPr>
                          <a:xfrm>
                            <a:off x="6611451" y="2407910"/>
                            <a:ext cx="483719" cy="93351"/>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wps:wsp>
                        <wps:cNvPr id="128804324" name="Прямая со стрелкой 66"/>
                        <wps:cNvCnPr/>
                        <wps:spPr>
                          <a:xfrm flipH="1">
                            <a:off x="1628964" y="2416147"/>
                            <a:ext cx="2164304" cy="0"/>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wps:wsp>
                        <wps:cNvPr id="628292438" name="Прямая со стрелкой 67"/>
                        <wps:cNvCnPr/>
                        <wps:spPr>
                          <a:xfrm flipH="1">
                            <a:off x="1628964" y="2174533"/>
                            <a:ext cx="3626930" cy="0"/>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wps:wsp>
                        <wps:cNvPr id="2078486890" name="Прямая со стрелкой 68"/>
                        <wps:cNvCnPr/>
                        <wps:spPr>
                          <a:xfrm flipV="1">
                            <a:off x="1703530" y="1386538"/>
                            <a:ext cx="586962" cy="0"/>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wps:wsp>
                        <wps:cNvPr id="680492009" name="Прямая со стрелкой 69"/>
                        <wps:cNvCnPr/>
                        <wps:spPr>
                          <a:xfrm>
                            <a:off x="976996" y="1735233"/>
                            <a:ext cx="0" cy="241615"/>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wps:wsp>
                        <wps:cNvPr id="1585763046" name="Прямая со стрелкой 70"/>
                        <wps:cNvCnPr/>
                        <wps:spPr>
                          <a:xfrm flipV="1">
                            <a:off x="3321022" y="724844"/>
                            <a:ext cx="483718" cy="661694"/>
                          </a:xfrm>
                          <a:prstGeom prst="straightConnector1">
                            <a:avLst/>
                          </a:prstGeom>
                          <a:noFill/>
                          <a:ln w="38100" cap="flat" cmpd="sng" algn="ctr">
                            <a:solidFill>
                              <a:srgbClr val="4F81BD"/>
                            </a:solidFill>
                            <a:prstDash val="solid"/>
                            <a:tailEnd type="arrow"/>
                          </a:ln>
                          <a:effectLst>
                            <a:outerShdw blurRad="40000" dist="23000" dir="5400000" rotWithShape="0">
                              <a:srgbClr val="000000">
                                <a:alpha val="35000"/>
                              </a:srgbClr>
                            </a:outerShdw>
                          </a:effectLst>
                        </wps:spPr>
                        <wps:bodyPr/>
                      </wps:wsp>
                      <wps:wsp>
                        <wps:cNvPr id="992893942" name="Прямоугольник с двумя вырезанными противолежащими углами 71"/>
                        <wps:cNvSpPr/>
                        <wps:spPr>
                          <a:xfrm>
                            <a:off x="577403" y="3415554"/>
                            <a:ext cx="1219811" cy="820940"/>
                          </a:xfrm>
                          <a:prstGeom prst="snip2Diag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2DB57968" w14:textId="77777777" w:rsidR="00F25FCF" w:rsidRDefault="00F25FCF" w:rsidP="000F5770"/>
                          </w:txbxContent>
                        </wps:txbx>
                        <wps:bodyPr anchor="ctr"/>
                      </wps:wsp>
                      <wps:wsp>
                        <wps:cNvPr id="1473261815" name="Прямоугольник с двумя вырезанными противолежащими углами 72"/>
                        <wps:cNvSpPr/>
                        <wps:spPr>
                          <a:xfrm>
                            <a:off x="799186" y="3574800"/>
                            <a:ext cx="1323055" cy="755045"/>
                          </a:xfrm>
                          <a:prstGeom prst="snip2Diag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5076886F" w14:textId="77777777" w:rsidR="00F25FCF" w:rsidRDefault="00F25FCF" w:rsidP="000F5770"/>
                          </w:txbxContent>
                        </wps:txbx>
                        <wps:bodyPr anchor="ctr"/>
                      </wps:wsp>
                      <wps:wsp>
                        <wps:cNvPr id="288256676" name="Прямоугольник с двумя вырезанными противолежащими углами 73"/>
                        <wps:cNvSpPr/>
                        <wps:spPr>
                          <a:xfrm>
                            <a:off x="976996" y="3720317"/>
                            <a:ext cx="1439682" cy="746809"/>
                          </a:xfrm>
                          <a:prstGeom prst="snip2Diag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7F3F132E" w14:textId="77777777" w:rsidR="00F25FCF" w:rsidRPr="00D12B20" w:rsidRDefault="00F25FCF" w:rsidP="000F5770">
                              <w:pPr>
                                <w:pStyle w:val="NormalWeb"/>
                                <w:kinsoku w:val="0"/>
                                <w:overflowPunct w:val="0"/>
                                <w:spacing w:before="0" w:after="0" w:line="216" w:lineRule="auto"/>
                                <w:jc w:val="center"/>
                                <w:textAlignment w:val="baseline"/>
                                <w:rPr>
                                  <w:sz w:val="20"/>
                                  <w:szCs w:val="20"/>
                                </w:rPr>
                              </w:pPr>
                              <w:r w:rsidRPr="003B5892">
                                <w:rPr>
                                  <w:rFonts w:ascii="Calibri" w:hAnsi="Calibri"/>
                                  <w:color w:val="000000"/>
                                  <w:kern w:val="24"/>
                                  <w:sz w:val="20"/>
                                  <w:szCs w:val="20"/>
                                </w:rPr>
                                <w:t>Державні науково-технічні програми</w:t>
                              </w:r>
                            </w:p>
                          </w:txbxContent>
                        </wps:txbx>
                        <wps:bodyPr anchor="ctr"/>
                      </wps:wsp>
                      <wps:wsp>
                        <wps:cNvPr id="1068757436" name="Шестиугольник 74"/>
                        <wps:cNvSpPr/>
                        <wps:spPr>
                          <a:xfrm>
                            <a:off x="4141239" y="3552835"/>
                            <a:ext cx="2070620" cy="914291"/>
                          </a:xfrm>
                          <a:prstGeom prst="hexagon">
                            <a:avLst/>
                          </a:prstGeom>
                          <a:solidFill>
                            <a:sysClr val="window" lastClr="FFFFFF"/>
                          </a:solidFill>
                          <a:ln w="25400" cap="flat" cmpd="sng" algn="ctr">
                            <a:solidFill>
                              <a:srgbClr val="8064A2"/>
                            </a:solidFill>
                            <a:prstDash val="solid"/>
                          </a:ln>
                          <a:effectLst/>
                        </wps:spPr>
                        <wps:txbx>
                          <w:txbxContent>
                            <w:p w14:paraId="0D6C8F23" w14:textId="77777777" w:rsidR="00F25FCF" w:rsidRDefault="00F25FCF" w:rsidP="000F5770"/>
                          </w:txbxContent>
                        </wps:txbx>
                        <wps:bodyPr anchor="ctr"/>
                      </wps:wsp>
                      <wps:wsp>
                        <wps:cNvPr id="1201779502" name="Шестиугольник 75"/>
                        <wps:cNvSpPr/>
                        <wps:spPr>
                          <a:xfrm>
                            <a:off x="4298017" y="3668151"/>
                            <a:ext cx="2070620" cy="944494"/>
                          </a:xfrm>
                          <a:prstGeom prst="hexagon">
                            <a:avLst/>
                          </a:prstGeom>
                          <a:solidFill>
                            <a:sysClr val="window" lastClr="FFFFFF"/>
                          </a:solidFill>
                          <a:ln w="25400" cap="flat" cmpd="sng" algn="ctr">
                            <a:solidFill>
                              <a:srgbClr val="8064A2"/>
                            </a:solidFill>
                            <a:prstDash val="solid"/>
                          </a:ln>
                          <a:effectLst/>
                        </wps:spPr>
                        <wps:txbx>
                          <w:txbxContent>
                            <w:p w14:paraId="799C8E42" w14:textId="77777777" w:rsidR="00F25FCF" w:rsidRDefault="00F25FCF" w:rsidP="000F5770"/>
                          </w:txbxContent>
                        </wps:txbx>
                        <wps:bodyPr anchor="ctr"/>
                      </wps:wsp>
                      <wps:wsp>
                        <wps:cNvPr id="1231886493" name="Шестиугольник 76"/>
                        <wps:cNvSpPr/>
                        <wps:spPr>
                          <a:xfrm>
                            <a:off x="4445236" y="3772484"/>
                            <a:ext cx="2070619" cy="999406"/>
                          </a:xfrm>
                          <a:prstGeom prst="hexagon">
                            <a:avLst/>
                          </a:prstGeom>
                          <a:solidFill>
                            <a:sysClr val="window" lastClr="FFFFFF"/>
                          </a:solidFill>
                          <a:ln w="25400" cap="flat" cmpd="sng" algn="ctr">
                            <a:solidFill>
                              <a:srgbClr val="8064A2"/>
                            </a:solidFill>
                            <a:prstDash val="solid"/>
                          </a:ln>
                          <a:effectLst/>
                        </wps:spPr>
                        <wps:txbx>
                          <w:txbxContent>
                            <w:p w14:paraId="57AE0E88" w14:textId="77777777" w:rsidR="00F25FCF" w:rsidRDefault="00F25FCF" w:rsidP="000F5770"/>
                          </w:txbxContent>
                        </wps:txbx>
                        <wps:bodyPr anchor="ctr"/>
                      </wps:wsp>
                      <wps:wsp>
                        <wps:cNvPr id="1928535713" name="Шестиугольник 77"/>
                        <wps:cNvSpPr/>
                        <wps:spPr>
                          <a:xfrm>
                            <a:off x="4603926" y="3868580"/>
                            <a:ext cx="2070620" cy="1048828"/>
                          </a:xfrm>
                          <a:prstGeom prst="hexagon">
                            <a:avLst/>
                          </a:prstGeom>
                          <a:solidFill>
                            <a:sysClr val="window" lastClr="FFFFFF"/>
                          </a:solidFill>
                          <a:ln w="25400" cap="flat" cmpd="sng" algn="ctr">
                            <a:solidFill>
                              <a:srgbClr val="8064A2"/>
                            </a:solidFill>
                            <a:prstDash val="solid"/>
                          </a:ln>
                          <a:effectLst/>
                        </wps:spPr>
                        <wps:txbx>
                          <w:txbxContent>
                            <w:p w14:paraId="32CF22AF" w14:textId="77777777" w:rsidR="00F25FCF" w:rsidRPr="00D12B20" w:rsidRDefault="00F25FCF" w:rsidP="000F5770">
                              <w:pPr>
                                <w:pStyle w:val="NormalWeb"/>
                                <w:kinsoku w:val="0"/>
                                <w:overflowPunct w:val="0"/>
                                <w:spacing w:before="0" w:after="200" w:line="276" w:lineRule="auto"/>
                                <w:jc w:val="center"/>
                                <w:textAlignment w:val="baseline"/>
                                <w:rPr>
                                  <w:sz w:val="20"/>
                                  <w:szCs w:val="20"/>
                                </w:rPr>
                              </w:pPr>
                              <w:r w:rsidRPr="003B5892">
                                <w:rPr>
                                  <w:rFonts w:ascii="Calibri" w:hAnsi="Calibri"/>
                                  <w:color w:val="000000"/>
                                  <w:kern w:val="24"/>
                                  <w:sz w:val="20"/>
                                  <w:szCs w:val="20"/>
                                </w:rPr>
                                <w:t>Державні наукові установи та заклади вищої освіти</w:t>
                              </w:r>
                            </w:p>
                          </w:txbxContent>
                        </wps:txbx>
                        <wps:bodyPr anchor="ctr"/>
                      </wps:wsp>
                      <wps:wsp>
                        <wps:cNvPr id="1713167186" name="Овал 1713167186"/>
                        <wps:cNvSpPr/>
                        <wps:spPr>
                          <a:xfrm>
                            <a:off x="7557857" y="4255714"/>
                            <a:ext cx="1701617" cy="442044"/>
                          </a:xfrm>
                          <a:prstGeom prst="ellipse">
                            <a:avLst/>
                          </a:prstGeom>
                          <a:solidFill>
                            <a:sysClr val="window" lastClr="FFFFFF"/>
                          </a:solidFill>
                          <a:ln w="25400" cap="flat" cmpd="sng" algn="ctr">
                            <a:solidFill>
                              <a:srgbClr val="F79646"/>
                            </a:solidFill>
                            <a:prstDash val="solid"/>
                          </a:ln>
                          <a:effectLst/>
                        </wps:spPr>
                        <wps:txbx>
                          <w:txbxContent>
                            <w:p w14:paraId="7235C030" w14:textId="77777777" w:rsidR="00F25FCF" w:rsidRDefault="00F25FCF" w:rsidP="000F5770">
                              <w:pPr>
                                <w:pStyle w:val="NormalWeb"/>
                                <w:kinsoku w:val="0"/>
                                <w:overflowPunct w:val="0"/>
                                <w:spacing w:before="0" w:after="200" w:line="276" w:lineRule="auto"/>
                                <w:jc w:val="center"/>
                                <w:textAlignment w:val="baseline"/>
                              </w:pPr>
                              <w:r w:rsidRPr="003B5892">
                                <w:rPr>
                                  <w:rFonts w:ascii="Calibri" w:hAnsi="Calibri"/>
                                  <w:color w:val="000000"/>
                                  <w:kern w:val="24"/>
                                  <w:sz w:val="16"/>
                                  <w:szCs w:val="16"/>
                                </w:rPr>
                                <w:t> </w:t>
                              </w:r>
                            </w:p>
                          </w:txbxContent>
                        </wps:txbx>
                        <wps:bodyPr anchor="ctr"/>
                      </wps:wsp>
                      <wps:wsp>
                        <wps:cNvPr id="1704947337" name="Овал 1704947337"/>
                        <wps:cNvSpPr/>
                        <wps:spPr>
                          <a:xfrm>
                            <a:off x="7703164" y="4403977"/>
                            <a:ext cx="1703528" cy="442044"/>
                          </a:xfrm>
                          <a:prstGeom prst="ellipse">
                            <a:avLst/>
                          </a:prstGeom>
                          <a:solidFill>
                            <a:sysClr val="window" lastClr="FFFFFF"/>
                          </a:solidFill>
                          <a:ln w="25400" cap="flat" cmpd="sng" algn="ctr">
                            <a:solidFill>
                              <a:srgbClr val="F79646"/>
                            </a:solidFill>
                            <a:prstDash val="solid"/>
                          </a:ln>
                          <a:effectLst/>
                        </wps:spPr>
                        <wps:txbx>
                          <w:txbxContent>
                            <w:p w14:paraId="0A702104" w14:textId="77777777" w:rsidR="00F25FCF" w:rsidRDefault="00F25FCF" w:rsidP="000F5770">
                              <w:pPr>
                                <w:pStyle w:val="NormalWeb"/>
                                <w:kinsoku w:val="0"/>
                                <w:overflowPunct w:val="0"/>
                                <w:spacing w:before="0" w:after="200" w:line="276" w:lineRule="auto"/>
                                <w:jc w:val="center"/>
                                <w:textAlignment w:val="baseline"/>
                              </w:pPr>
                              <w:r w:rsidRPr="003B5892">
                                <w:rPr>
                                  <w:rFonts w:ascii="Calibri" w:hAnsi="Calibri"/>
                                  <w:color w:val="000000"/>
                                  <w:kern w:val="24"/>
                                  <w:sz w:val="16"/>
                                  <w:szCs w:val="16"/>
                                </w:rPr>
                                <w:t> </w:t>
                              </w:r>
                            </w:p>
                          </w:txbxContent>
                        </wps:txbx>
                        <wps:bodyPr anchor="ctr"/>
                      </wps:wsp>
                      <wps:wsp>
                        <wps:cNvPr id="922887807" name="Овал 922887807"/>
                        <wps:cNvSpPr/>
                        <wps:spPr>
                          <a:xfrm>
                            <a:off x="7861853" y="4560477"/>
                            <a:ext cx="1701617" cy="442046"/>
                          </a:xfrm>
                          <a:prstGeom prst="ellipse">
                            <a:avLst/>
                          </a:prstGeom>
                          <a:solidFill>
                            <a:sysClr val="window" lastClr="FFFFFF"/>
                          </a:solidFill>
                          <a:ln w="25400" cap="flat" cmpd="sng" algn="ctr">
                            <a:solidFill>
                              <a:srgbClr val="F79646"/>
                            </a:solidFill>
                            <a:prstDash val="solid"/>
                          </a:ln>
                          <a:effectLst/>
                        </wps:spPr>
                        <wps:txbx>
                          <w:txbxContent>
                            <w:p w14:paraId="048580AD" w14:textId="77777777" w:rsidR="00F25FCF" w:rsidRPr="00D12B20" w:rsidRDefault="00F25FCF" w:rsidP="000F5770">
                              <w:pPr>
                                <w:pStyle w:val="NormalWeb"/>
                                <w:kinsoku w:val="0"/>
                                <w:overflowPunct w:val="0"/>
                                <w:spacing w:before="0" w:after="200" w:line="276" w:lineRule="auto"/>
                                <w:jc w:val="center"/>
                                <w:textAlignment w:val="baseline"/>
                                <w:rPr>
                                  <w:sz w:val="20"/>
                                  <w:szCs w:val="20"/>
                                </w:rPr>
                              </w:pPr>
                              <w:r w:rsidRPr="003B5892">
                                <w:rPr>
                                  <w:rFonts w:ascii="Calibri" w:hAnsi="Calibri"/>
                                  <w:color w:val="000000"/>
                                  <w:kern w:val="24"/>
                                  <w:sz w:val="20"/>
                                  <w:szCs w:val="20"/>
                                </w:rPr>
                                <w:t>Виробництво</w:t>
                              </w:r>
                            </w:p>
                          </w:txbxContent>
                        </wps:txbx>
                        <wps:bodyPr anchor="ctr"/>
                      </wps:wsp>
                      <wps:wsp>
                        <wps:cNvPr id="1151734433" name="Прямая со стрелкой 81"/>
                        <wps:cNvCnPr/>
                        <wps:spPr>
                          <a:xfrm flipH="1">
                            <a:off x="8418225" y="3942713"/>
                            <a:ext cx="694030" cy="313001"/>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wps:wsp>
                        <wps:cNvPr id="1021285978" name="Прямая со стрелкой 82"/>
                        <wps:cNvCnPr/>
                        <wps:spPr>
                          <a:xfrm>
                            <a:off x="7955538" y="3184921"/>
                            <a:ext cx="462687" cy="1070793"/>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wps:wsp>
                        <wps:cNvPr id="666995878" name="Прямая со стрелкой 83"/>
                        <wps:cNvCnPr/>
                        <wps:spPr>
                          <a:xfrm flipH="1">
                            <a:off x="2301963" y="3278273"/>
                            <a:ext cx="388122" cy="442044"/>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wps:wsp>
                        <wps:cNvPr id="1381167425" name="Прямая со стрелкой 84"/>
                        <wps:cNvCnPr/>
                        <wps:spPr>
                          <a:xfrm>
                            <a:off x="1030530" y="2512243"/>
                            <a:ext cx="198841" cy="903310"/>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wps:wsp>
                        <wps:cNvPr id="1868858250" name="Прямая со стрелкой 85"/>
                        <wps:cNvCnPr/>
                        <wps:spPr bwMode="auto">
                          <a:xfrm flipH="1">
                            <a:off x="2416679" y="2817008"/>
                            <a:ext cx="1829717" cy="1051572"/>
                          </a:xfrm>
                          <a:prstGeom prst="straightConnector1">
                            <a:avLst/>
                          </a:prstGeom>
                          <a:noFill/>
                          <a:ln w="15875" cap="flat" cmpd="sng" algn="ctr">
                            <a:solidFill>
                              <a:srgbClr val="4F81BD">
                                <a:shade val="95000"/>
                                <a:satMod val="105000"/>
                              </a:srgbClr>
                            </a:solidFill>
                            <a:prstDash val="sysDot"/>
                            <a:tailEnd type="arrow"/>
                          </a:ln>
                          <a:effectLst/>
                        </wps:spPr>
                        <wps:bodyPr/>
                      </wps:wsp>
                      <wps:wsp>
                        <wps:cNvPr id="1326319324" name="Прямая со стрелкой 86"/>
                        <wps:cNvCnPr/>
                        <wps:spPr>
                          <a:xfrm flipH="1">
                            <a:off x="5244423" y="3184921"/>
                            <a:ext cx="2648021" cy="367913"/>
                          </a:xfrm>
                          <a:prstGeom prst="straightConnector1">
                            <a:avLst/>
                          </a:prstGeom>
                          <a:noFill/>
                          <a:ln w="15875" cap="flat" cmpd="sng" algn="ctr">
                            <a:solidFill>
                              <a:srgbClr val="4F81BD">
                                <a:shade val="95000"/>
                                <a:satMod val="105000"/>
                              </a:srgbClr>
                            </a:solidFill>
                            <a:prstDash val="sysDot"/>
                            <a:tailEnd type="arrow"/>
                          </a:ln>
                          <a:effectLst/>
                        </wps:spPr>
                        <wps:bodyPr/>
                      </wps:wsp>
                      <wps:wsp>
                        <wps:cNvPr id="1572372475" name="Прямая со стрелкой 87"/>
                        <wps:cNvCnPr/>
                        <wps:spPr>
                          <a:xfrm>
                            <a:off x="4709082" y="2605594"/>
                            <a:ext cx="2711116" cy="485976"/>
                          </a:xfrm>
                          <a:prstGeom prst="straightConnector1">
                            <a:avLst/>
                          </a:prstGeom>
                          <a:noFill/>
                          <a:ln w="15875" cap="flat" cmpd="sng" algn="ctr">
                            <a:solidFill>
                              <a:srgbClr val="4F81BD">
                                <a:shade val="95000"/>
                                <a:satMod val="105000"/>
                              </a:srgbClr>
                            </a:solidFill>
                            <a:prstDash val="sysDot"/>
                            <a:tailEnd type="arrow"/>
                          </a:ln>
                          <a:effectLst/>
                        </wps:spPr>
                        <wps:bodyPr/>
                      </wps:wsp>
                      <wps:wsp>
                        <wps:cNvPr id="598311207" name="Прямая со стрелкой 88"/>
                        <wps:cNvCnPr/>
                        <wps:spPr>
                          <a:xfrm>
                            <a:off x="4709082" y="2605594"/>
                            <a:ext cx="3961517" cy="1092758"/>
                          </a:xfrm>
                          <a:prstGeom prst="straightConnector1">
                            <a:avLst/>
                          </a:prstGeom>
                          <a:noFill/>
                          <a:ln w="15875" cap="flat" cmpd="sng" algn="ctr">
                            <a:solidFill>
                              <a:srgbClr val="4F81BD">
                                <a:shade val="95000"/>
                                <a:satMod val="105000"/>
                              </a:srgbClr>
                            </a:solidFill>
                            <a:prstDash val="sysDot"/>
                            <a:tailEnd type="arrow"/>
                          </a:ln>
                          <a:effectLst/>
                        </wps:spPr>
                        <wps:bodyPr/>
                      </wps:wsp>
                      <wps:wsp>
                        <wps:cNvPr id="1992233408" name="Прямая со стрелкой 89"/>
                        <wps:cNvCnPr/>
                        <wps:spPr>
                          <a:xfrm flipH="1" flipV="1">
                            <a:off x="2806712" y="1765434"/>
                            <a:ext cx="998027" cy="609528"/>
                          </a:xfrm>
                          <a:prstGeom prst="straightConnector1">
                            <a:avLst/>
                          </a:prstGeom>
                          <a:noFill/>
                          <a:ln w="15875" cap="flat" cmpd="sng" algn="ctr">
                            <a:solidFill>
                              <a:srgbClr val="4F81BD">
                                <a:shade val="95000"/>
                                <a:satMod val="105000"/>
                              </a:srgbClr>
                            </a:solidFill>
                            <a:prstDash val="sysDot"/>
                            <a:tailEnd type="arrow"/>
                          </a:ln>
                          <a:effectLst/>
                        </wps:spPr>
                        <wps:bodyPr/>
                      </wps:wsp>
                      <wps:wsp>
                        <wps:cNvPr id="212273162" name="Прямая со стрелкой 90"/>
                        <wps:cNvCnPr/>
                        <wps:spPr>
                          <a:xfrm flipH="1">
                            <a:off x="3321022" y="2605594"/>
                            <a:ext cx="462687" cy="326730"/>
                          </a:xfrm>
                          <a:prstGeom prst="straightConnector1">
                            <a:avLst/>
                          </a:prstGeom>
                          <a:noFill/>
                          <a:ln w="15875" cap="flat" cmpd="sng" algn="ctr">
                            <a:solidFill>
                              <a:srgbClr val="4F81BD">
                                <a:shade val="95000"/>
                                <a:satMod val="105000"/>
                              </a:srgbClr>
                            </a:solidFill>
                            <a:prstDash val="sysDot"/>
                            <a:tailEnd type="arrow"/>
                          </a:ln>
                          <a:effectLst/>
                        </wps:spPr>
                        <wps:bodyPr/>
                      </wps:wsp>
                      <wps:wsp>
                        <wps:cNvPr id="58177762" name="Прямая со стрелкой 91"/>
                        <wps:cNvCnPr/>
                        <wps:spPr>
                          <a:xfrm>
                            <a:off x="6674546" y="4403977"/>
                            <a:ext cx="1028618" cy="208667"/>
                          </a:xfrm>
                          <a:prstGeom prst="straightConnector1">
                            <a:avLst/>
                          </a:prstGeom>
                          <a:noFill/>
                          <a:ln w="38100" cap="flat" cmpd="sng" algn="ctr">
                            <a:solidFill>
                              <a:srgbClr val="9BBB59"/>
                            </a:solidFill>
                            <a:prstDash val="solid"/>
                            <a:tailEnd type="arrow"/>
                          </a:ln>
                          <a:effectLst>
                            <a:outerShdw blurRad="40000" dist="23000" dir="5400000" rotWithShape="0">
                              <a:srgbClr val="000000">
                                <a:alpha val="35000"/>
                              </a:srgbClr>
                            </a:outerShdw>
                          </a:effectLst>
                        </wps:spPr>
                        <wps:bodyPr/>
                      </wps:wsp>
                      <wps:wsp>
                        <wps:cNvPr id="1223229216" name="Прямоугольник 92"/>
                        <wps:cNvSpPr/>
                        <wps:spPr>
                          <a:xfrm>
                            <a:off x="367089" y="4770760"/>
                            <a:ext cx="3930927" cy="1587667"/>
                          </a:xfrm>
                          <a:prstGeom prst="rect">
                            <a:avLst/>
                          </a:prstGeom>
                          <a:solidFill>
                            <a:sysClr val="window" lastClr="FFFFFF"/>
                          </a:solidFill>
                          <a:ln w="25400" cap="flat" cmpd="sng" algn="ctr">
                            <a:solidFill>
                              <a:sysClr val="windowText" lastClr="000000"/>
                            </a:solidFill>
                            <a:prstDash val="solid"/>
                          </a:ln>
                          <a:effectLst/>
                        </wps:spPr>
                        <wps:txbx>
                          <w:txbxContent>
                            <w:p w14:paraId="50584024" w14:textId="77777777" w:rsidR="00F25FCF" w:rsidRPr="00D12B20" w:rsidRDefault="00F25FCF" w:rsidP="000F5770">
                              <w:pPr>
                                <w:pStyle w:val="NormalWeb"/>
                                <w:kinsoku w:val="0"/>
                                <w:overflowPunct w:val="0"/>
                                <w:spacing w:before="0" w:after="0"/>
                                <w:ind w:left="1412"/>
                                <w:textAlignment w:val="baseline"/>
                                <w:rPr>
                                  <w:sz w:val="16"/>
                                  <w:szCs w:val="16"/>
                                </w:rPr>
                              </w:pPr>
                              <w:r w:rsidRPr="003B5892">
                                <w:rPr>
                                  <w:rFonts w:ascii="Calibri" w:hAnsi="Calibri"/>
                                  <w:b/>
                                  <w:bCs/>
                                  <w:color w:val="000000"/>
                                  <w:kern w:val="24"/>
                                  <w:sz w:val="16"/>
                                  <w:szCs w:val="16"/>
                                </w:rPr>
                                <w:t>- пріоритетні напрями розвитку</w:t>
                              </w:r>
                            </w:p>
                            <w:p w14:paraId="64A1959E" w14:textId="77777777" w:rsidR="00F25FCF" w:rsidRPr="00D12B20" w:rsidRDefault="00F25FCF" w:rsidP="000F5770">
                              <w:pPr>
                                <w:pStyle w:val="NormalWeb"/>
                                <w:kinsoku w:val="0"/>
                                <w:overflowPunct w:val="0"/>
                                <w:spacing w:before="0" w:after="0"/>
                                <w:ind w:left="1412"/>
                                <w:textAlignment w:val="baseline"/>
                                <w:rPr>
                                  <w:sz w:val="16"/>
                                  <w:szCs w:val="16"/>
                                </w:rPr>
                              </w:pPr>
                              <w:r w:rsidRPr="003B5892">
                                <w:rPr>
                                  <w:rFonts w:ascii="Calibri" w:hAnsi="Calibri"/>
                                  <w:b/>
                                  <w:bCs/>
                                  <w:color w:val="000000"/>
                                  <w:kern w:val="24"/>
                                  <w:sz w:val="16"/>
                                  <w:szCs w:val="16"/>
                                </w:rPr>
                                <w:t>- фінансування</w:t>
                              </w:r>
                            </w:p>
                            <w:p w14:paraId="25F5C7DC" w14:textId="77777777" w:rsidR="00F25FCF" w:rsidRPr="00D12B20" w:rsidRDefault="00F25FCF" w:rsidP="000F5770">
                              <w:pPr>
                                <w:pStyle w:val="NormalWeb"/>
                                <w:kinsoku w:val="0"/>
                                <w:overflowPunct w:val="0"/>
                                <w:spacing w:before="0" w:after="0"/>
                                <w:ind w:left="1412"/>
                                <w:textAlignment w:val="baseline"/>
                                <w:rPr>
                                  <w:sz w:val="16"/>
                                  <w:szCs w:val="16"/>
                                </w:rPr>
                              </w:pPr>
                              <w:r w:rsidRPr="003B5892">
                                <w:rPr>
                                  <w:rFonts w:ascii="Calibri" w:hAnsi="Calibri"/>
                                  <w:b/>
                                  <w:bCs/>
                                  <w:color w:val="000000"/>
                                  <w:kern w:val="24"/>
                                  <w:sz w:val="16"/>
                                  <w:szCs w:val="16"/>
                                </w:rPr>
                                <w:t>- пропозиції наукових результатів</w:t>
                              </w:r>
                            </w:p>
                            <w:p w14:paraId="61010741" w14:textId="77777777" w:rsidR="00F25FCF" w:rsidRPr="00D12B20" w:rsidRDefault="00F25FCF" w:rsidP="000F5770">
                              <w:pPr>
                                <w:pStyle w:val="NormalWeb"/>
                                <w:kinsoku w:val="0"/>
                                <w:overflowPunct w:val="0"/>
                                <w:spacing w:before="0" w:after="0"/>
                                <w:ind w:left="1412"/>
                                <w:textAlignment w:val="baseline"/>
                                <w:rPr>
                                  <w:sz w:val="16"/>
                                  <w:szCs w:val="16"/>
                                </w:rPr>
                              </w:pPr>
                              <w:r w:rsidRPr="003B5892">
                                <w:rPr>
                                  <w:rFonts w:ascii="Calibri" w:hAnsi="Calibri"/>
                                  <w:b/>
                                  <w:bCs/>
                                  <w:color w:val="000000"/>
                                  <w:kern w:val="24"/>
                                  <w:sz w:val="16"/>
                                  <w:szCs w:val="16"/>
                                </w:rPr>
                                <w:t>- пропозиції щодо пріоритетів розвитку</w:t>
                              </w:r>
                            </w:p>
                            <w:p w14:paraId="7F803BA0" w14:textId="77777777" w:rsidR="00F25FCF" w:rsidRPr="00D12B20" w:rsidRDefault="00F25FCF" w:rsidP="000F5770">
                              <w:pPr>
                                <w:pStyle w:val="NormalWeb"/>
                                <w:kinsoku w:val="0"/>
                                <w:overflowPunct w:val="0"/>
                                <w:spacing w:before="0" w:after="0"/>
                                <w:ind w:left="1412"/>
                                <w:textAlignment w:val="baseline"/>
                                <w:rPr>
                                  <w:sz w:val="16"/>
                                  <w:szCs w:val="16"/>
                                </w:rPr>
                              </w:pPr>
                              <w:r w:rsidRPr="003B5892">
                                <w:rPr>
                                  <w:rFonts w:ascii="Calibri" w:hAnsi="Calibri"/>
                                  <w:b/>
                                  <w:bCs/>
                                  <w:color w:val="000000"/>
                                  <w:kern w:val="24"/>
                                  <w:sz w:val="16"/>
                                  <w:szCs w:val="16"/>
                                </w:rPr>
                                <w:t>- напрями науково-технічної та інноваційної діяльності</w:t>
                              </w:r>
                            </w:p>
                          </w:txbxContent>
                        </wps:txbx>
                        <wps:bodyPr anchor="ctr"/>
                      </wps:wsp>
                      <wps:wsp>
                        <wps:cNvPr id="15210715" name="Прямая со стрелкой 94"/>
                        <wps:cNvCnPr/>
                        <wps:spPr>
                          <a:xfrm>
                            <a:off x="634025" y="5775379"/>
                            <a:ext cx="483718" cy="0"/>
                          </a:xfrm>
                          <a:prstGeom prst="straightConnector1">
                            <a:avLst/>
                          </a:prstGeom>
                          <a:noFill/>
                          <a:ln w="38100" cap="flat" cmpd="sng" algn="ctr">
                            <a:solidFill>
                              <a:srgbClr val="4F81BD"/>
                            </a:solidFill>
                            <a:prstDash val="solid"/>
                            <a:tailEnd type="arrow"/>
                          </a:ln>
                          <a:effectLst>
                            <a:outerShdw blurRad="40000" dist="23000" dir="5400000" rotWithShape="0">
                              <a:srgbClr val="000000">
                                <a:alpha val="35000"/>
                              </a:srgbClr>
                            </a:outerShdw>
                          </a:effectLst>
                        </wps:spPr>
                        <wps:bodyPr/>
                      </wps:wsp>
                      <wps:wsp>
                        <wps:cNvPr id="1300023227" name="Прямая со стрелкой 95"/>
                        <wps:cNvCnPr/>
                        <wps:spPr>
                          <a:xfrm>
                            <a:off x="634023" y="4976982"/>
                            <a:ext cx="483719" cy="0"/>
                          </a:xfrm>
                          <a:prstGeom prst="straightConnector1">
                            <a:avLst/>
                          </a:prstGeom>
                          <a:noFill/>
                          <a:ln w="38100" cap="flat" cmpd="sng" algn="ctr">
                            <a:solidFill>
                              <a:srgbClr val="C0504D"/>
                            </a:solidFill>
                            <a:prstDash val="solid"/>
                            <a:tailEnd type="arrow"/>
                          </a:ln>
                          <a:effectLst>
                            <a:outerShdw blurRad="40000" dist="23000" dir="5400000" rotWithShape="0">
                              <a:srgbClr val="000000">
                                <a:alpha val="35000"/>
                              </a:srgbClr>
                            </a:outerShdw>
                          </a:effectLst>
                        </wps:spPr>
                        <wps:bodyPr/>
                      </wps:wsp>
                      <wps:wsp>
                        <wps:cNvPr id="1593523627" name="Стрелка вправо 96"/>
                        <wps:cNvSpPr/>
                        <wps:spPr>
                          <a:xfrm>
                            <a:off x="643934" y="5975991"/>
                            <a:ext cx="483718" cy="137281"/>
                          </a:xfrm>
                          <a:prstGeom prst="rightArrow">
                            <a:avLst/>
                          </a:prstGeom>
                          <a:solidFill>
                            <a:srgbClr val="4F81BD"/>
                          </a:solidFill>
                          <a:ln w="25400" cap="flat" cmpd="sng" algn="ctr">
                            <a:solidFill>
                              <a:srgbClr val="4F81BD">
                                <a:shade val="50000"/>
                              </a:srgbClr>
                            </a:solidFill>
                            <a:prstDash val="solid"/>
                          </a:ln>
                          <a:effectLst/>
                        </wps:spPr>
                        <wps:txbx>
                          <w:txbxContent>
                            <w:p w14:paraId="3FD6395D" w14:textId="77777777" w:rsidR="00F25FCF" w:rsidRDefault="00F25FCF" w:rsidP="000F5770"/>
                          </w:txbxContent>
                        </wps:txbx>
                        <wps:bodyPr anchor="ctr"/>
                      </wps:wsp>
                      <wps:wsp>
                        <wps:cNvPr id="1608652609" name="Прямая со стрелкой 97"/>
                        <wps:cNvCnPr/>
                        <wps:spPr>
                          <a:xfrm>
                            <a:off x="643932" y="5511257"/>
                            <a:ext cx="460774" cy="0"/>
                          </a:xfrm>
                          <a:prstGeom prst="straightConnector1">
                            <a:avLst/>
                          </a:prstGeom>
                          <a:noFill/>
                          <a:ln w="38100" cap="flat" cmpd="sng" algn="ctr">
                            <a:solidFill>
                              <a:srgbClr val="9BBB59"/>
                            </a:solidFill>
                            <a:prstDash val="solid"/>
                            <a:tailEnd type="arrow"/>
                          </a:ln>
                          <a:effectLst>
                            <a:outerShdw blurRad="40000" dist="23000" dir="5400000" rotWithShape="0">
                              <a:srgbClr val="000000">
                                <a:alpha val="35000"/>
                              </a:srgbClr>
                            </a:outerShdw>
                          </a:effectLst>
                        </wps:spPr>
                        <wps:bodyPr/>
                      </wps:wsp>
                      <wps:wsp>
                        <wps:cNvPr id="1301156869" name="Прямая со стрелкой 98"/>
                        <wps:cNvCnPr/>
                        <wps:spPr>
                          <a:xfrm>
                            <a:off x="635938" y="5262311"/>
                            <a:ext cx="481806" cy="0"/>
                          </a:xfrm>
                          <a:prstGeom prst="straightConnector1">
                            <a:avLst/>
                          </a:prstGeom>
                          <a:noFill/>
                          <a:ln w="15875" cap="flat" cmpd="sng" algn="ctr">
                            <a:solidFill>
                              <a:srgbClr val="4F81BD">
                                <a:shade val="95000"/>
                                <a:satMod val="105000"/>
                              </a:srgbClr>
                            </a:solidFill>
                            <a:prstDash val="sysDot"/>
                            <a:tailEnd type="arrow"/>
                          </a:ln>
                          <a:effectLst/>
                        </wps:spPr>
                        <wps:bodyPr/>
                      </wps:wsp>
                      <wps:wsp>
                        <wps:cNvPr id="1079080084" name="Прямая со стрелкой 99"/>
                        <wps:cNvCnPr/>
                        <wps:spPr bwMode="auto">
                          <a:xfrm>
                            <a:off x="2684349" y="3315432"/>
                            <a:ext cx="2475948" cy="237400"/>
                          </a:xfrm>
                          <a:prstGeom prst="straightConnector1">
                            <a:avLst/>
                          </a:prstGeom>
                          <a:noFill/>
                          <a:ln w="15875" cap="flat" cmpd="sng" algn="ctr">
                            <a:solidFill>
                              <a:srgbClr val="4F81BD">
                                <a:shade val="95000"/>
                                <a:satMod val="105000"/>
                              </a:srgbClr>
                            </a:solidFill>
                            <a:prstDash val="sysDot"/>
                            <a:tailEnd type="arrow"/>
                          </a:ln>
                          <a:effectLst/>
                        </wps:spPr>
                        <wps:bodyPr/>
                      </wps:wsp>
                      <wps:wsp>
                        <wps:cNvPr id="686706250" name="Скругленный прямоугольник 55"/>
                        <wps:cNvSpPr/>
                        <wps:spPr>
                          <a:xfrm>
                            <a:off x="2059148" y="2605588"/>
                            <a:ext cx="1250402" cy="709847"/>
                          </a:xfrm>
                          <a:prstGeom prst="roundRect">
                            <a:avLst/>
                          </a:prstGeom>
                          <a:solidFill>
                            <a:sysClr val="window" lastClr="FFFFFF"/>
                          </a:solidFill>
                          <a:ln w="25400" cap="flat" cmpd="sng" algn="ctr">
                            <a:solidFill>
                              <a:srgbClr val="C0504D"/>
                            </a:solidFill>
                            <a:prstDash val="solid"/>
                          </a:ln>
                          <a:effectLst/>
                        </wps:spPr>
                        <wps:txbx>
                          <w:txbxContent>
                            <w:p w14:paraId="3DF77B09" w14:textId="77777777" w:rsidR="00F25FCF" w:rsidRPr="00483828" w:rsidRDefault="00F25FCF" w:rsidP="000F5770">
                              <w:pPr>
                                <w:pStyle w:val="NormalWeb"/>
                                <w:kinsoku w:val="0"/>
                                <w:overflowPunct w:val="0"/>
                                <w:spacing w:before="0" w:after="0" w:line="216" w:lineRule="auto"/>
                                <w:jc w:val="center"/>
                                <w:textAlignment w:val="baseline"/>
                                <w:rPr>
                                  <w:sz w:val="16"/>
                                  <w:szCs w:val="16"/>
                                </w:rPr>
                              </w:pPr>
                              <w:r w:rsidRPr="003B5892">
                                <w:rPr>
                                  <w:rFonts w:ascii="Calibri" w:hAnsi="Calibri"/>
                                  <w:color w:val="000000"/>
                                  <w:kern w:val="24"/>
                                  <w:sz w:val="16"/>
                                  <w:szCs w:val="16"/>
                                </w:rPr>
                                <w:t>Національний фонд досліджень (гранти)</w:t>
                              </w:r>
                            </w:p>
                          </w:txbxContent>
                        </wps:txbx>
                        <wps:bodyPr anchor="ctr"/>
                      </wps:wsp>
                    </wpg:wgp>
                  </a:graphicData>
                </a:graphic>
                <wp14:sizeRelH relativeFrom="margin">
                  <wp14:pctWidth>0</wp14:pctWidth>
                </wp14:sizeRelH>
                <wp14:sizeRelV relativeFrom="margin">
                  <wp14:pctHeight>0</wp14:pctHeight>
                </wp14:sizeRelV>
              </wp:anchor>
            </w:drawing>
          </mc:Choice>
          <mc:Fallback>
            <w:pict>
              <v:group w14:anchorId="66EE7AFD" id="Группа 7" o:spid="_x0000_s1026" style="position:absolute;left:0;text-align:left;margin-left:-64.25pt;margin-top:20.75pt;width:651.35pt;height:415.75pt;rotation:-90;z-index:251654656;mso-width-relative:margin;mso-height-relative:margin" coordorigin="841,-230" coordsize="99630,638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">
                <v:shapetype id="_x0000_t32" coordsize="21600,21600" o:spt="32" o:oned="t" path="m,l21600,21600e" filled="f">
                  <v:path arrowok="t" fillok="f" o:connecttype="none"/>
                  <o:lock v:ext="edit" shapetype="t"/>
                </v:shapetype>
                <v:shape id="Прямая со стрелкой 39" o:spid="_x0000_s1027" type="#_x0000_t32" style="position:absolute;left:66114;top:24079;width:20496;height:1155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" strokecolor="#c0504d" strokeweight="3pt">
                  <v:stroke endarrow="open"/>
                  <v:shadow on="t" color="black" opacity="22937f" origin=",.5" offset="0,.63889mm"/>
                </v:shape>
                <v:shape id="Прямая со стрелкой 40" o:spid="_x0000_s1028" type="#_x0000_t32" style="position:absolute;left:10305;top:17352;width:18278;height:870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" strokecolor="#c0504d" strokeweight="3pt">
                  <v:stroke endarrow="open"/>
                  <v:shadow on="t" color="black" opacity="22937f" origin=",.5" offset="0,.63889mm"/>
                </v:shape>
                <v:rect id="Прямоугольник 41" o:spid="_x0000_s1029" style="position:absolute;left:37837;top:345;width:25122;height:690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" fillcolor="window" strokecolor="windowText" strokeweight="2pt">
                  <v:textbox>
                    <w:txbxContent>
                      <w:p w14:paraId="58AA5A1A" w14:textId="77777777" w:rsidR="00F25FCF" w:rsidRPr="003B5892" w:rsidRDefault="00F25FCF" w:rsidP="000F5770">
                        <w:pPr>
                          <w:pStyle w:val="NormalWeb"/>
                          <w:kinsoku w:val="0"/>
                          <w:overflowPunct w:val="0"/>
                          <w:spacing w:before="0" w:after="0" w:line="216" w:lineRule="auto"/>
                          <w:jc w:val="center"/>
                          <w:textAlignment w:val="baseline"/>
                          <w:rPr>
                            <w:rFonts w:ascii="Calibri" w:hAnsi="Calibri"/>
                            <w:color w:val="000000"/>
                            <w:kern w:val="24"/>
                            <w:sz w:val="20"/>
                            <w:szCs w:val="20"/>
                          </w:rPr>
                        </w:pPr>
                        <w:r w:rsidRPr="003B5892">
                          <w:rPr>
                            <w:rFonts w:ascii="Calibri" w:hAnsi="Calibri"/>
                            <w:color w:val="000000"/>
                            <w:kern w:val="24"/>
                            <w:sz w:val="20"/>
                            <w:szCs w:val="20"/>
                          </w:rPr>
                          <w:t>Кабінет Міністрів України</w:t>
                        </w:r>
                      </w:p>
                      <w:p w14:paraId="1A4F69DE" w14:textId="77777777" w:rsidR="00F25FCF" w:rsidRPr="00D12B20" w:rsidRDefault="00F25FCF" w:rsidP="000F5770">
                        <w:pPr>
                          <w:pStyle w:val="NormalWeb"/>
                          <w:kinsoku w:val="0"/>
                          <w:overflowPunct w:val="0"/>
                          <w:spacing w:before="0" w:after="0" w:line="216" w:lineRule="auto"/>
                          <w:jc w:val="center"/>
                          <w:textAlignment w:val="baseline"/>
                          <w:rPr>
                            <w:sz w:val="20"/>
                            <w:szCs w:val="20"/>
                          </w:rPr>
                        </w:pPr>
                        <w:r w:rsidRPr="003B5892">
                          <w:rPr>
                            <w:rFonts w:ascii="Calibri" w:hAnsi="Calibri"/>
                            <w:color w:val="000000"/>
                            <w:kern w:val="24"/>
                            <w:sz w:val="20"/>
                            <w:szCs w:val="20"/>
                          </w:rPr>
                          <w:t>(підтримка державного регулювання ННТД)</w:t>
                        </w:r>
                      </w:p>
                    </w:txbxContent>
                  </v:textbox>
                </v:rect>
                <v:rect id="Прямоугольник 42" o:spid="_x0000_s1030" style="position:absolute;left:78924;top:-230;width:21547;height:62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" fillcolor="window" strokecolor="windowText" strokeweight="2pt">
                  <v:textbox>
                    <w:txbxContent>
                      <w:p w14:paraId="72137103" w14:textId="77777777" w:rsidR="00F25FCF" w:rsidRPr="00D12B20" w:rsidRDefault="00F25FCF" w:rsidP="000F5770">
                        <w:pPr>
                          <w:pStyle w:val="NormalWeb"/>
                          <w:kinsoku w:val="0"/>
                          <w:overflowPunct w:val="0"/>
                          <w:spacing w:before="0" w:after="0" w:line="216" w:lineRule="auto"/>
                          <w:jc w:val="center"/>
                          <w:textAlignment w:val="baseline"/>
                          <w:rPr>
                            <w:sz w:val="20"/>
                            <w:szCs w:val="20"/>
                          </w:rPr>
                        </w:pPr>
                        <w:r w:rsidRPr="003B5892">
                          <w:rPr>
                            <w:rFonts w:ascii="Calibri" w:hAnsi="Calibri"/>
                            <w:color w:val="000000"/>
                            <w:kern w:val="24"/>
                            <w:sz w:val="20"/>
                            <w:szCs w:val="20"/>
                          </w:rPr>
                          <w:t>Президент України</w:t>
                        </w:r>
                      </w:p>
                      <w:p w14:paraId="6EE37619" w14:textId="77777777" w:rsidR="00F25FCF" w:rsidRPr="00D12B20" w:rsidRDefault="00F25FCF" w:rsidP="000F5770">
                        <w:pPr>
                          <w:pStyle w:val="NormalWeb"/>
                          <w:kinsoku w:val="0"/>
                          <w:overflowPunct w:val="0"/>
                          <w:spacing w:before="0" w:after="0" w:line="216" w:lineRule="auto"/>
                          <w:jc w:val="center"/>
                          <w:textAlignment w:val="baseline"/>
                          <w:rPr>
                            <w:sz w:val="20"/>
                            <w:szCs w:val="20"/>
                          </w:rPr>
                        </w:pPr>
                        <w:r w:rsidRPr="003B5892">
                          <w:rPr>
                            <w:rFonts w:ascii="Calibri" w:hAnsi="Calibri"/>
                            <w:color w:val="000000"/>
                            <w:kern w:val="24"/>
                            <w:sz w:val="20"/>
                            <w:szCs w:val="20"/>
                          </w:rPr>
                          <w:t>(координація державного регулювання ННТД)</w:t>
                        </w:r>
                      </w:p>
                    </w:txbxContent>
                  </v:textbox>
                </v:rect>
                <v:rect id="Прямоугольник 43" o:spid="_x0000_s1031" style="position:absolute;left:841;top:-230;width:18393;height:673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" fillcolor="window" strokecolor="windowText" strokeweight="2pt">
                  <v:textbox>
                    <w:txbxContent>
                      <w:p w14:paraId="75BB4593" w14:textId="77777777" w:rsidR="00F25FCF" w:rsidRPr="003B5892" w:rsidRDefault="00F25FCF" w:rsidP="000F5770">
                        <w:pPr>
                          <w:pStyle w:val="NormalWeb"/>
                          <w:kinsoku w:val="0"/>
                          <w:overflowPunct w:val="0"/>
                          <w:spacing w:before="0" w:after="0" w:line="216" w:lineRule="auto"/>
                          <w:jc w:val="center"/>
                          <w:textAlignment w:val="baseline"/>
                          <w:rPr>
                            <w:rFonts w:ascii="Calibri" w:hAnsi="Calibri"/>
                            <w:color w:val="000000"/>
                            <w:kern w:val="24"/>
                            <w:sz w:val="20"/>
                            <w:szCs w:val="20"/>
                          </w:rPr>
                        </w:pPr>
                        <w:r w:rsidRPr="003B5892">
                          <w:rPr>
                            <w:rFonts w:ascii="Calibri" w:hAnsi="Calibri"/>
                            <w:color w:val="000000"/>
                            <w:kern w:val="24"/>
                            <w:sz w:val="20"/>
                            <w:szCs w:val="20"/>
                          </w:rPr>
                          <w:t xml:space="preserve">Верховна Рада України </w:t>
                        </w:r>
                      </w:p>
                      <w:p w14:paraId="2C690340" w14:textId="77777777" w:rsidR="00F25FCF" w:rsidRPr="003B5892" w:rsidRDefault="00F25FCF" w:rsidP="000F5770">
                        <w:pPr>
                          <w:pStyle w:val="NormalWeb"/>
                          <w:kinsoku w:val="0"/>
                          <w:overflowPunct w:val="0"/>
                          <w:spacing w:before="0" w:after="0" w:line="216" w:lineRule="auto"/>
                          <w:jc w:val="center"/>
                          <w:textAlignment w:val="baseline"/>
                          <w:rPr>
                            <w:rFonts w:ascii="Calibri" w:hAnsi="Calibri"/>
                            <w:color w:val="000000"/>
                            <w:kern w:val="24"/>
                            <w:sz w:val="20"/>
                            <w:szCs w:val="20"/>
                          </w:rPr>
                        </w:pPr>
                        <w:r w:rsidRPr="003B5892">
                          <w:rPr>
                            <w:rFonts w:ascii="Calibri" w:hAnsi="Calibri"/>
                            <w:color w:val="000000"/>
                            <w:kern w:val="24"/>
                            <w:sz w:val="20"/>
                            <w:szCs w:val="20"/>
                          </w:rPr>
                          <w:t>(державне регулювання ННТД)</w:t>
                        </w:r>
                      </w:p>
                    </w:txbxContent>
                  </v:textbox>
                </v:rect>
                <v:shape id="Прямая со стрелкой 44" o:spid="_x0000_s1032" type="#_x0000_t32" style="position:absolute;left:62959;top:2937;width:15984;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" strokecolor="#c0504d" strokeweight="3pt">
                  <v:stroke endarrow="open"/>
                  <v:shadow on="t" color="black" opacity="22937f" origin=",.5" offset="0,.63889mm"/>
                </v:shape>
                <v:shape id="Прямая со стрелкой 45" o:spid="_x0000_s1033" type="#_x0000_t32" style="position:absolute;left:19234;top:2937;width:18603;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" strokecolor="#4f81bd" strokeweight="3pt">
                  <v:stroke endarrow="open"/>
                  <v:shadow on="t" color="black" opacity="22937f" origin=",.5" offset="0,.63889mm"/>
                </v:shape>
                <v:rect id="Прямоугольник 46" o:spid="_x0000_s1034" style="position:absolute;left:38984;top:11147;width:23975;height:39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" fillcolor="window" strokecolor="#4f81bd" strokeweight="2pt">
                  <v:textbox>
                    <w:txbxContent>
                      <w:p w14:paraId="69CA2A79" w14:textId="77777777" w:rsidR="00F25FCF" w:rsidRDefault="00F25FCF" w:rsidP="000F5770">
                        <w:pPr>
                          <w:pStyle w:val="NormalWeb"/>
                          <w:kinsoku w:val="0"/>
                          <w:overflowPunct w:val="0"/>
                          <w:spacing w:before="0" w:after="0" w:line="216" w:lineRule="auto"/>
                          <w:jc w:val="center"/>
                          <w:textAlignment w:val="baseline"/>
                        </w:pPr>
                        <w:r w:rsidRPr="003B5892">
                          <w:rPr>
                            <w:rFonts w:ascii="Calibri" w:hAnsi="Calibri"/>
                            <w:color w:val="000000"/>
                            <w:kern w:val="24"/>
                            <w:sz w:val="16"/>
                            <w:szCs w:val="16"/>
                          </w:rPr>
                          <w:t>Національна рада України з питань розвитку науки і технологій</w:t>
                        </w:r>
                      </w:p>
                    </w:txbxContent>
                  </v:textbox>
                </v:rect>
                <v:rect id="Прямоугольник 47" o:spid="_x0000_s1035" style="position:absolute;left:38984;top:15128;width:11682;height:43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" fillcolor="window" strokecolor="#4f81bd" strokeweight="2pt">
                  <v:textbox>
                    <w:txbxContent>
                      <w:p w14:paraId="39709E7C" w14:textId="77777777" w:rsidR="00F25FCF" w:rsidRDefault="00F25FCF" w:rsidP="000F5770">
                        <w:pPr>
                          <w:pStyle w:val="NormalWeb"/>
                          <w:kinsoku w:val="0"/>
                          <w:overflowPunct w:val="0"/>
                          <w:spacing w:before="0" w:after="0" w:line="216" w:lineRule="auto"/>
                          <w:jc w:val="center"/>
                          <w:textAlignment w:val="baseline"/>
                        </w:pPr>
                        <w:r w:rsidRPr="003B5892">
                          <w:rPr>
                            <w:rFonts w:ascii="Calibri" w:hAnsi="Calibri"/>
                            <w:color w:val="000000"/>
                            <w:kern w:val="24"/>
                            <w:sz w:val="16"/>
                            <w:szCs w:val="16"/>
                          </w:rPr>
                          <w:t>Науковий Комітет</w:t>
                        </w:r>
                      </w:p>
                    </w:txbxContent>
                  </v:textbox>
                </v:rect>
                <v:rect id="Прямоугольник 48" o:spid="_x0000_s1036" style="position:absolute;left:50876;top:15128;width:12083;height:43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" fillcolor="window" strokecolor="#4f81bd" strokeweight="2pt">
                  <v:textbox>
                    <w:txbxContent>
                      <w:p w14:paraId="3D4DF92D" w14:textId="77777777" w:rsidR="00F25FCF" w:rsidRDefault="00F25FCF" w:rsidP="000F5770">
                        <w:pPr>
                          <w:pStyle w:val="NormalWeb"/>
                          <w:kinsoku w:val="0"/>
                          <w:overflowPunct w:val="0"/>
                          <w:spacing w:before="0" w:after="0" w:line="216" w:lineRule="auto"/>
                          <w:jc w:val="center"/>
                          <w:textAlignment w:val="baseline"/>
                        </w:pPr>
                        <w:r w:rsidRPr="003B5892">
                          <w:rPr>
                            <w:rFonts w:ascii="Calibri" w:hAnsi="Calibri"/>
                            <w:color w:val="000000"/>
                            <w:kern w:val="24"/>
                            <w:sz w:val="16"/>
                            <w:szCs w:val="16"/>
                          </w:rPr>
                          <w:t>Адміністративний Комітет</w:t>
                        </w:r>
                      </w:p>
                    </w:txbxContent>
                  </v:textbox>
                </v:rect>
                <v:rect id="Прямоугольник 49" o:spid="_x0000_s1037" style="position:absolute;left:2791;top:9670;width:14492;height:768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" fillcolor="#ffa2a1" strokecolor="#be4b48">
                  <v:fill color2="#ffe5e5" rotate="t" angle="180" colors="0 #ffa2a1;22938f #ffbebd;1 #ffe5e5" focus="100%" type="gradient"/>
                  <v:shadow on="t" color="black" opacity="24903f" origin=",.5" offset="0,.55556mm"/>
                  <v:textbox>
                    <w:txbxContent>
                      <w:p w14:paraId="527C8B5E" w14:textId="77777777" w:rsidR="00F25FCF" w:rsidRPr="00D12B20" w:rsidRDefault="00F25FCF" w:rsidP="000F5770">
                        <w:pPr>
                          <w:pStyle w:val="NormalWeb"/>
                          <w:kinsoku w:val="0"/>
                          <w:overflowPunct w:val="0"/>
                          <w:spacing w:before="0" w:after="0" w:line="216" w:lineRule="auto"/>
                          <w:jc w:val="center"/>
                          <w:textAlignment w:val="baseline"/>
                          <w:rPr>
                            <w:sz w:val="15"/>
                            <w:szCs w:val="15"/>
                          </w:rPr>
                        </w:pPr>
                        <w:r w:rsidRPr="003B5892">
                          <w:rPr>
                            <w:rFonts w:ascii="Calibri" w:hAnsi="Calibri"/>
                            <w:color w:val="000000"/>
                            <w:kern w:val="24"/>
                            <w:sz w:val="15"/>
                            <w:szCs w:val="15"/>
                          </w:rPr>
                          <w:t>Закон України ‟Про пріоритетні напрями наукової науково-технічної та інноваційної діяльності”</w:t>
                        </w:r>
                      </w:p>
                    </w:txbxContent>
                  </v:textbox>
                </v:rect>
                <v:roundrect id="Скругленный прямоугольник 50" o:spid="_x0000_s1038" style="position:absolute;left:89019;top:27538;width:9139;height:914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" fillcolor="window" strokecolor="#c0504d" strokeweight="2pt">
                  <v:textbox>
                    <w:txbxContent>
                      <w:p w14:paraId="62AF059C" w14:textId="77777777" w:rsidR="00F25FCF" w:rsidRDefault="00F25FCF" w:rsidP="000F5770"/>
                    </w:txbxContent>
                  </v:textbox>
                </v:roundrect>
                <v:roundrect id="Скругленный прямоугольник 51" o:spid="_x0000_s1039" style="position:absolute;left:52558;top:20921;width:13652;height:587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" fillcolor="window" strokecolor="#c0504d" strokeweight="2pt">
                  <v:textbox>
                    <w:txbxContent>
                      <w:p w14:paraId="47AD937B" w14:textId="77777777" w:rsidR="00F25FCF" w:rsidRPr="00D12B20" w:rsidRDefault="00F25FCF" w:rsidP="000F5770">
                        <w:pPr>
                          <w:pStyle w:val="NormalWeb"/>
                          <w:kinsoku w:val="0"/>
                          <w:overflowPunct w:val="0"/>
                          <w:spacing w:before="0" w:after="200" w:line="276" w:lineRule="auto"/>
                          <w:jc w:val="center"/>
                          <w:textAlignment w:val="baseline"/>
                          <w:rPr>
                            <w:sz w:val="20"/>
                            <w:szCs w:val="20"/>
                          </w:rPr>
                        </w:pPr>
                        <w:r w:rsidRPr="003B5892">
                          <w:rPr>
                            <w:rFonts w:ascii="Calibri" w:hAnsi="Calibri"/>
                            <w:color w:val="000000"/>
                            <w:kern w:val="24"/>
                            <w:sz w:val="20"/>
                            <w:szCs w:val="20"/>
                          </w:rPr>
                          <w:t>Мінекономіки</w:t>
                        </w:r>
                      </w:p>
                    </w:txbxContent>
                  </v:textbox>
                </v:roundrect>
                <v:roundrect id="Скругленный прямоугольник 52" o:spid="_x0000_s1040" style="position:absolute;left:71047;top:20482;width:9139;height:917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" fillcolor="window" strokecolor="#c0504d" strokeweight="2pt">
                  <v:textbox>
                    <w:txbxContent>
                      <w:p w14:paraId="366A5D6B" w14:textId="77777777" w:rsidR="00F25FCF" w:rsidRDefault="00F25FCF" w:rsidP="000F5770"/>
                    </w:txbxContent>
                  </v:textbox>
                </v:roundrect>
                <v:roundrect id="Скругленный прямоугольник 53" o:spid="_x0000_s1041" style="position:absolute;left:37951;top:23447;width:9139;height:483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" fillcolor="window" strokecolor="#c0504d" strokeweight="2pt">
                  <v:textbox>
                    <w:txbxContent>
                      <w:p w14:paraId="60220503" w14:textId="77777777" w:rsidR="00F25FCF" w:rsidRPr="00D12B20" w:rsidRDefault="00F25FCF" w:rsidP="000F5770">
                        <w:pPr>
                          <w:pStyle w:val="NormalWeb"/>
                          <w:kinsoku w:val="0"/>
                          <w:overflowPunct w:val="0"/>
                          <w:spacing w:before="0" w:after="200" w:line="276" w:lineRule="auto"/>
                          <w:jc w:val="center"/>
                          <w:textAlignment w:val="baseline"/>
                          <w:rPr>
                            <w:sz w:val="20"/>
                            <w:szCs w:val="20"/>
                          </w:rPr>
                        </w:pPr>
                        <w:r w:rsidRPr="003B5892">
                          <w:rPr>
                            <w:rFonts w:ascii="Calibri" w:hAnsi="Calibri"/>
                            <w:color w:val="000000"/>
                            <w:kern w:val="24"/>
                            <w:sz w:val="20"/>
                            <w:szCs w:val="20"/>
                          </w:rPr>
                          <w:t>Мінфін</w:t>
                        </w:r>
                      </w:p>
                    </w:txbxContent>
                  </v:textbox>
                </v:roundrect>
                <v:roundrect id="Скругленный прямоугольник 54" o:spid="_x0000_s1042" style="position:absolute;left:22904;top:10625;width:10306;height:669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" fillcolor="window" strokecolor="#c0504d" strokeweight="2pt">
                  <v:textbox>
                    <w:txbxContent>
                      <w:p w14:paraId="40544FDA" w14:textId="77777777" w:rsidR="00F25FCF" w:rsidRPr="00D12B20" w:rsidRDefault="00F25FCF" w:rsidP="000F5770">
                        <w:pPr>
                          <w:pStyle w:val="NormalWeb"/>
                          <w:kinsoku w:val="0"/>
                          <w:overflowPunct w:val="0"/>
                          <w:spacing w:before="0" w:after="0" w:line="216" w:lineRule="auto"/>
                          <w:jc w:val="center"/>
                          <w:textAlignment w:val="baseline"/>
                        </w:pPr>
                        <w:r w:rsidRPr="003B5892">
                          <w:rPr>
                            <w:rFonts w:ascii="Calibri" w:hAnsi="Calibri"/>
                            <w:color w:val="000000"/>
                            <w:kern w:val="24"/>
                          </w:rPr>
                          <w:t>Національні академії наук України</w:t>
                        </w:r>
                      </w:p>
                    </w:txbxContent>
                  </v:textbox>
                </v:roundrect>
                <v:roundrect id="Скругленный прямоугольник 56" o:spid="_x0000_s1043" style="position:absolute;left:3670;top:19768;width:12619;height:535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" fillcolor="window" strokecolor="#c0504d" strokeweight="2pt">
                  <v:textbox>
                    <w:txbxContent>
                      <w:p w14:paraId="6C4DD4C9" w14:textId="77777777" w:rsidR="00F25FCF" w:rsidRPr="00D12B20" w:rsidRDefault="00F25FCF" w:rsidP="000F5770">
                        <w:pPr>
                          <w:pStyle w:val="NormalWeb"/>
                          <w:kinsoku w:val="0"/>
                          <w:overflowPunct w:val="0"/>
                          <w:spacing w:before="0" w:after="0" w:line="216" w:lineRule="auto"/>
                          <w:jc w:val="center"/>
                          <w:textAlignment w:val="baseline"/>
                        </w:pPr>
                        <w:r w:rsidRPr="003B5892">
                          <w:rPr>
                            <w:rFonts w:ascii="Calibri" w:hAnsi="Calibri"/>
                            <w:color w:val="000000"/>
                            <w:kern w:val="24"/>
                          </w:rPr>
                          <w:t>Міністерство освіти і науки</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7" o:spid="_x0000_s1044" type="#_x0000_t67" style="position:absolute;left:8622;top:6507;width:1664;height:33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" adj="16281" fillcolor="#4f81bd" strokecolor="#385d8a" strokeweight="2pt">
                  <v:textbox>
                    <w:txbxContent>
                      <w:p w14:paraId="09E51FDF" w14:textId="77777777" w:rsidR="00F25FCF" w:rsidRDefault="00F25FCF" w:rsidP="000F5770"/>
                    </w:txbxContent>
                  </v:textbox>
                </v:shape>
                <v:shape id="Прямая со стрелкой 58" o:spid="_x0000_s1045" type="#_x0000_t32" style="position:absolute;left:50876;top:7248;width:0;height:387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" strokecolor="#4f81bd" strokeweight="3pt">
                  <v:stroke endarrow="open"/>
                  <v:shadow on="t" color="black" opacity="22937f" origin=",.5" offset="0,.63889mm"/>
                </v:shape>
                <v:roundrect id="Скругленный прямоугольник 59" o:spid="_x0000_s1046" style="position:absolute;left:72098;top:21031;width:9139;height:914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" fillcolor="window" strokecolor="#c0504d" strokeweight="2pt">
                  <v:textbox>
                    <w:txbxContent>
                      <w:p w14:paraId="63E2D5A3" w14:textId="77777777" w:rsidR="00F25FCF" w:rsidRDefault="00F25FCF" w:rsidP="000F5770"/>
                    </w:txbxContent>
                  </v:textbox>
                </v:roundrect>
                <v:roundrect id="Скругленный прямоугольник 60" o:spid="_x0000_s1047" style="position:absolute;left:73150;top:21745;width:9139;height:914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" fillcolor="window" strokecolor="#c0504d" strokeweight="2pt">
                  <v:textbox>
                    <w:txbxContent>
                      <w:p w14:paraId="544F1B47" w14:textId="77777777" w:rsidR="00F25FCF" w:rsidRDefault="00F25FCF" w:rsidP="000F5770"/>
                    </w:txbxContent>
                  </v:textbox>
                </v:roundrect>
                <v:roundrect id="Скругленный прямоугольник 61" o:spid="_x0000_s1048" style="position:absolute;left:74201;top:22706;width:9140;height:914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" fillcolor="window" strokecolor="#c0504d" strokeweight="2pt">
                  <v:textbox>
                    <w:txbxContent>
                      <w:p w14:paraId="2CB9DADD" w14:textId="77777777" w:rsidR="00F25FCF" w:rsidRPr="00D12B20" w:rsidRDefault="00F25FCF" w:rsidP="000F5770">
                        <w:pPr>
                          <w:pStyle w:val="NormalWeb"/>
                          <w:kinsoku w:val="0"/>
                          <w:overflowPunct w:val="0"/>
                          <w:spacing w:before="0" w:after="0" w:line="228" w:lineRule="auto"/>
                          <w:ind w:left="-57" w:right="-57"/>
                          <w:jc w:val="center"/>
                          <w:textAlignment w:val="baseline"/>
                          <w:rPr>
                            <w:sz w:val="16"/>
                            <w:szCs w:val="16"/>
                          </w:rPr>
                        </w:pPr>
                        <w:r w:rsidRPr="003B5892">
                          <w:rPr>
                            <w:rFonts w:ascii="Calibri" w:hAnsi="Calibri"/>
                            <w:color w:val="000000"/>
                            <w:kern w:val="24"/>
                            <w:sz w:val="16"/>
                            <w:szCs w:val="16"/>
                          </w:rPr>
                          <w:t>Галузеві міністерства(державні комітети, служби)</w:t>
                        </w:r>
                      </w:p>
                    </w:txbxContent>
                  </v:textbox>
                </v:roundrect>
                <v:roundrect id="Скругленный прямоугольник 62" o:spid="_x0000_s1049" style="position:absolute;left:88082;top:28170;width:9139;height:914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" fillcolor="window" strokecolor="#c0504d" strokeweight="2pt">
                  <v:textbox>
                    <w:txbxContent>
                      <w:p w14:paraId="4328D0B3" w14:textId="77777777" w:rsidR="00F25FCF" w:rsidRDefault="00F25FCF" w:rsidP="000F5770"/>
                    </w:txbxContent>
                  </v:textbox>
                </v:roundrect>
                <v:roundrect id="Скругленный прямоугольник 63" o:spid="_x0000_s1050" style="position:absolute;left:87241;top:29021;width:9139;height:914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" fillcolor="window" strokecolor="#c0504d" strokeweight="2pt">
                  <v:textbox>
                    <w:txbxContent>
                      <w:p w14:paraId="68DD60C4" w14:textId="77777777" w:rsidR="00F25FCF" w:rsidRDefault="00F25FCF" w:rsidP="000F5770"/>
                    </w:txbxContent>
                  </v:textbox>
                </v:roundrect>
                <v:roundrect id="Скругленный прямоугольник 64" o:spid="_x0000_s1051" style="position:absolute;left:86706;top:30064;width:9139;height:914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" fillcolor="window" strokecolor="#c0504d" strokeweight="2pt">
                  <v:textbox>
                    <w:txbxContent>
                      <w:p w14:paraId="27909E5F" w14:textId="77777777" w:rsidR="00F25FCF" w:rsidRDefault="00F25FCF" w:rsidP="000F5770">
                        <w:pPr>
                          <w:pStyle w:val="NormalWeb"/>
                          <w:kinsoku w:val="0"/>
                          <w:overflowPunct w:val="0"/>
                          <w:spacing w:before="0" w:after="0" w:line="216" w:lineRule="auto"/>
                          <w:jc w:val="center"/>
                          <w:textAlignment w:val="baseline"/>
                        </w:pPr>
                        <w:r w:rsidRPr="003B5892">
                          <w:rPr>
                            <w:rFonts w:ascii="Calibri" w:hAnsi="Calibri"/>
                            <w:color w:val="000000"/>
                            <w:kern w:val="24"/>
                            <w:sz w:val="13"/>
                            <w:szCs w:val="13"/>
                          </w:rPr>
                          <w:t>Обласні державні адміністрації</w:t>
                        </w:r>
                      </w:p>
                    </w:txbxContent>
                  </v:textbox>
                </v:roundrect>
                <v:shape id="Прямая со стрелкой 65" o:spid="_x0000_s1052" type="#_x0000_t32" style="position:absolute;left:66114;top:24079;width:4837;height:93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" strokecolor="#c0504d" strokeweight="3pt">
                  <v:stroke endarrow="open"/>
                  <v:shadow on="t" color="black" opacity="22937f" origin=",.5" offset="0,.63889mm"/>
                </v:shape>
                <v:shape id="Прямая со стрелкой 66" o:spid="_x0000_s1053" type="#_x0000_t32" style="position:absolute;left:16289;top:24161;width:21643;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" strokecolor="#c0504d" strokeweight="3pt">
                  <v:stroke endarrow="open"/>
                  <v:shadow on="t" color="black" opacity="22937f" origin=",.5" offset="0,.63889mm"/>
                </v:shape>
                <v:shape id="Прямая со стрелкой 67" o:spid="_x0000_s1054" type="#_x0000_t32" style="position:absolute;left:16289;top:21745;width:36269;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" strokecolor="#c0504d" strokeweight="3pt">
                  <v:stroke endarrow="open"/>
                  <v:shadow on="t" color="black" opacity="22937f" origin=",.5" offset="0,.63889mm"/>
                </v:shape>
                <v:shape id="Прямая со стрелкой 68" o:spid="_x0000_s1055" type="#_x0000_t32" style="position:absolute;left:17035;top:13865;width:5869;height: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" strokecolor="#c0504d" strokeweight="3pt">
                  <v:stroke endarrow="open"/>
                  <v:shadow on="t" color="black" opacity="22937f" origin=",.5" offset="0,.63889mm"/>
                </v:shape>
                <v:shape id="Прямая со стрелкой 69" o:spid="_x0000_s1056" type="#_x0000_t32" style="position:absolute;left:9769;top:17352;width:0;height:241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" strokecolor="#c0504d" strokeweight="3pt">
                  <v:stroke endarrow="open"/>
                  <v:shadow on="t" color="black" opacity="22937f" origin=",.5" offset="0,.63889mm"/>
                </v:shape>
                <v:shape id="Прямая со стрелкой 70" o:spid="_x0000_s1057" type="#_x0000_t32" style="position:absolute;left:33210;top:7248;width:4837;height:661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" strokecolor="#4f81bd" strokeweight="3pt">
                  <v:stroke endarrow="open"/>
                  <v:shadow on="t" color="black" opacity="22937f" origin=",.5" offset="0,.63889mm"/>
                </v:shape>
                <v:shape id="Прямоугольник с двумя вырезанными противолежащими углами 71" o:spid="_x0000_s1058" style="position:absolute;left:5774;top:34155;width:12198;height:8209;visibility:visible;mso-wrap-style:square;v-text-anchor:middle" coordsize="1219811,82094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" adj="-11796480,,5400" path="m,l1082985,r136826,136826l1219811,820940r,l136826,820940,,684114,,xe" fillcolor="#bcbcbc">
                  <v:fill color2="#ededed" rotate="t" angle="180" colors="0 #bcbcbc;22938f #d0d0d0;1 #ededed" focus="100%" type="gradient"/>
                  <v:stroke joinstyle="miter"/>
                  <v:shadow on="t" color="black" opacity="24903f" origin=",.5" offset="0,.55556mm"/>
                  <v:formulas/>
                  <v:path arrowok="t" o:connecttype="custom" o:connectlocs="0,0;1082985,0;1219811,136826;1219811,820940;1219811,820940;136826,820940;0,684114;0,0" o:connectangles="0,0,0,0,0,0,0,0" textboxrect="0,0,1219811,820940"/>
                  <v:textbox>
                    <w:txbxContent>
                      <w:p w14:paraId="2DB57968" w14:textId="77777777" w:rsidR="00F25FCF" w:rsidRDefault="00F25FCF" w:rsidP="000F5770"/>
                    </w:txbxContent>
                  </v:textbox>
                </v:shape>
                <v:shape id="Прямоугольник с двумя вырезанными противолежащими углами 72" o:spid="_x0000_s1059" style="position:absolute;left:7991;top:35748;width:13231;height:7550;visibility:visible;mso-wrap-style:square;v-text-anchor:middle" coordsize="1323055,75504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" adj="-11796480,,5400" path="m,l1197212,r125843,125843l1323055,755045r,l125843,755045,,629202,,xe" fillcolor="#bcbcbc">
                  <v:fill color2="#ededed" rotate="t" angle="180" colors="0 #bcbcbc;22938f #d0d0d0;1 #ededed" focus="100%" type="gradient"/>
                  <v:stroke joinstyle="miter"/>
                  <v:shadow on="t" color="black" opacity="24903f" origin=",.5" offset="0,.55556mm"/>
                  <v:formulas/>
                  <v:path arrowok="t" o:connecttype="custom" o:connectlocs="0,0;1197212,0;1323055,125843;1323055,755045;1323055,755045;125843,755045;0,629202;0,0" o:connectangles="0,0,0,0,0,0,0,0" textboxrect="0,0,1323055,755045"/>
                  <v:textbox>
                    <w:txbxContent>
                      <w:p w14:paraId="5076886F" w14:textId="77777777" w:rsidR="00F25FCF" w:rsidRDefault="00F25FCF" w:rsidP="000F5770"/>
                    </w:txbxContent>
                  </v:textbox>
                </v:shape>
                <v:shape id="Прямоугольник с двумя вырезанными противолежащими углами 73" o:spid="_x0000_s1060" style="position:absolute;left:9769;top:37203;width:14397;height:7468;visibility:visible;mso-wrap-style:square;v-text-anchor:middle" coordsize="1439682,74680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" adj="-11796480,,5400" path="m,l1315211,r124471,124471l1439682,746809r,l124471,746809,,622338,,xe" fillcolor="#bcbcbc">
                  <v:fill color2="#ededed" rotate="t" angle="180" colors="0 #bcbcbc;22938f #d0d0d0;1 #ededed" focus="100%" type="gradient"/>
                  <v:stroke joinstyle="miter"/>
                  <v:shadow on="t" color="black" opacity="24903f" origin=",.5" offset="0,.55556mm"/>
                  <v:formulas/>
                  <v:path arrowok="t" o:connecttype="custom" o:connectlocs="0,0;1315211,0;1439682,124471;1439682,746809;1439682,746809;124471,746809;0,622338;0,0" o:connectangles="0,0,0,0,0,0,0,0" textboxrect="0,0,1439682,746809"/>
                  <v:textbox>
                    <w:txbxContent>
                      <w:p w14:paraId="7F3F132E" w14:textId="77777777" w:rsidR="00F25FCF" w:rsidRPr="00D12B20" w:rsidRDefault="00F25FCF" w:rsidP="000F5770">
                        <w:pPr>
                          <w:pStyle w:val="NormalWeb"/>
                          <w:kinsoku w:val="0"/>
                          <w:overflowPunct w:val="0"/>
                          <w:spacing w:before="0" w:after="0" w:line="216" w:lineRule="auto"/>
                          <w:jc w:val="center"/>
                          <w:textAlignment w:val="baseline"/>
                          <w:rPr>
                            <w:sz w:val="20"/>
                            <w:szCs w:val="20"/>
                          </w:rPr>
                        </w:pPr>
                        <w:r w:rsidRPr="003B5892">
                          <w:rPr>
                            <w:rFonts w:ascii="Calibri" w:hAnsi="Calibri"/>
                            <w:color w:val="000000"/>
                            <w:kern w:val="24"/>
                            <w:sz w:val="20"/>
                            <w:szCs w:val="20"/>
                          </w:rPr>
                          <w:t>Державні науково-технічні програми</w:t>
                        </w:r>
                      </w:p>
                    </w:txbxContent>
                  </v:textbox>
                </v:shap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Шестиугольник 74" o:spid="_x0000_s1061" type="#_x0000_t9" style="position:absolute;left:41412;top:35528;width:20706;height:91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" adj="2384" fillcolor="window" strokecolor="#8064a2" strokeweight="2pt">
                  <v:textbox>
                    <w:txbxContent>
                      <w:p w14:paraId="0D6C8F23" w14:textId="77777777" w:rsidR="00F25FCF" w:rsidRDefault="00F25FCF" w:rsidP="000F5770"/>
                    </w:txbxContent>
                  </v:textbox>
                </v:shape>
                <v:shape id="Шестиугольник 75" o:spid="_x0000_s1062" type="#_x0000_t9" style="position:absolute;left:42980;top:36681;width:20706;height:94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" adj="2463" fillcolor="window" strokecolor="#8064a2" strokeweight="2pt">
                  <v:textbox>
                    <w:txbxContent>
                      <w:p w14:paraId="799C8E42" w14:textId="77777777" w:rsidR="00F25FCF" w:rsidRDefault="00F25FCF" w:rsidP="000F5770"/>
                    </w:txbxContent>
                  </v:textbox>
                </v:shape>
                <v:shape id="Шестиугольник 76" o:spid="_x0000_s1063" type="#_x0000_t9" style="position:absolute;left:44452;top:37724;width:20706;height:999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" adj="2606" fillcolor="window" strokecolor="#8064a2" strokeweight="2pt">
                  <v:textbox>
                    <w:txbxContent>
                      <w:p w14:paraId="57AE0E88" w14:textId="77777777" w:rsidR="00F25FCF" w:rsidRDefault="00F25FCF" w:rsidP="000F5770"/>
                    </w:txbxContent>
                  </v:textbox>
                </v:shape>
                <v:shape id="Шестиугольник 77" o:spid="_x0000_s1064" type="#_x0000_t9" style="position:absolute;left:46039;top:38685;width:20706;height:1048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" adj="2735" fillcolor="window" strokecolor="#8064a2" strokeweight="2pt">
                  <v:textbox>
                    <w:txbxContent>
                      <w:p w14:paraId="32CF22AF" w14:textId="77777777" w:rsidR="00F25FCF" w:rsidRPr="00D12B20" w:rsidRDefault="00F25FCF" w:rsidP="000F5770">
                        <w:pPr>
                          <w:pStyle w:val="NormalWeb"/>
                          <w:kinsoku w:val="0"/>
                          <w:overflowPunct w:val="0"/>
                          <w:spacing w:before="0" w:after="200" w:line="276" w:lineRule="auto"/>
                          <w:jc w:val="center"/>
                          <w:textAlignment w:val="baseline"/>
                          <w:rPr>
                            <w:sz w:val="20"/>
                            <w:szCs w:val="20"/>
                          </w:rPr>
                        </w:pPr>
                        <w:r w:rsidRPr="003B5892">
                          <w:rPr>
                            <w:rFonts w:ascii="Calibri" w:hAnsi="Calibri"/>
                            <w:color w:val="000000"/>
                            <w:kern w:val="24"/>
                            <w:sz w:val="20"/>
                            <w:szCs w:val="20"/>
                          </w:rPr>
                          <w:t>Державні наукові установи та заклади вищої освіти</w:t>
                        </w:r>
                      </w:p>
                    </w:txbxContent>
                  </v:textbox>
                </v:shape>
                <v:oval id="Овал 1713167186" o:spid="_x0000_s1065" style="position:absolute;left:75578;top:42557;width:17016;height:44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" fillcolor="window" strokecolor="#f79646" strokeweight="2pt">
                  <v:textbox>
                    <w:txbxContent>
                      <w:p w14:paraId="7235C030" w14:textId="77777777" w:rsidR="00F25FCF" w:rsidRDefault="00F25FCF" w:rsidP="000F5770">
                        <w:pPr>
                          <w:pStyle w:val="NormalWeb"/>
                          <w:kinsoku w:val="0"/>
                          <w:overflowPunct w:val="0"/>
                          <w:spacing w:before="0" w:after="200" w:line="276" w:lineRule="auto"/>
                          <w:jc w:val="center"/>
                          <w:textAlignment w:val="baseline"/>
                        </w:pPr>
                        <w:r w:rsidRPr="003B5892">
                          <w:rPr>
                            <w:rFonts w:ascii="Calibri" w:hAnsi="Calibri"/>
                            <w:color w:val="000000"/>
                            <w:kern w:val="24"/>
                            <w:sz w:val="16"/>
                            <w:szCs w:val="16"/>
                          </w:rPr>
                          <w:t> </w:t>
                        </w:r>
                      </w:p>
                    </w:txbxContent>
                  </v:textbox>
                </v:oval>
                <v:oval id="Овал 1704947337" o:spid="_x0000_s1066" style="position:absolute;left:77031;top:44039;width:17035;height:44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" fillcolor="window" strokecolor="#f79646" strokeweight="2pt">
                  <v:textbox>
                    <w:txbxContent>
                      <w:p w14:paraId="0A702104" w14:textId="77777777" w:rsidR="00F25FCF" w:rsidRDefault="00F25FCF" w:rsidP="000F5770">
                        <w:pPr>
                          <w:pStyle w:val="NormalWeb"/>
                          <w:kinsoku w:val="0"/>
                          <w:overflowPunct w:val="0"/>
                          <w:spacing w:before="0" w:after="200" w:line="276" w:lineRule="auto"/>
                          <w:jc w:val="center"/>
                          <w:textAlignment w:val="baseline"/>
                        </w:pPr>
                        <w:r w:rsidRPr="003B5892">
                          <w:rPr>
                            <w:rFonts w:ascii="Calibri" w:hAnsi="Calibri"/>
                            <w:color w:val="000000"/>
                            <w:kern w:val="24"/>
                            <w:sz w:val="16"/>
                            <w:szCs w:val="16"/>
                          </w:rPr>
                          <w:t> </w:t>
                        </w:r>
                      </w:p>
                    </w:txbxContent>
                  </v:textbox>
                </v:oval>
                <v:oval id="Овал 922887807" o:spid="_x0000_s1067" style="position:absolute;left:78618;top:45604;width:17016;height:44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" fillcolor="window" strokecolor="#f79646" strokeweight="2pt">
                  <v:textbox>
                    <w:txbxContent>
                      <w:p w14:paraId="048580AD" w14:textId="77777777" w:rsidR="00F25FCF" w:rsidRPr="00D12B20" w:rsidRDefault="00F25FCF" w:rsidP="000F5770">
                        <w:pPr>
                          <w:pStyle w:val="NormalWeb"/>
                          <w:kinsoku w:val="0"/>
                          <w:overflowPunct w:val="0"/>
                          <w:spacing w:before="0" w:after="200" w:line="276" w:lineRule="auto"/>
                          <w:jc w:val="center"/>
                          <w:textAlignment w:val="baseline"/>
                          <w:rPr>
                            <w:sz w:val="20"/>
                            <w:szCs w:val="20"/>
                          </w:rPr>
                        </w:pPr>
                        <w:r w:rsidRPr="003B5892">
                          <w:rPr>
                            <w:rFonts w:ascii="Calibri" w:hAnsi="Calibri"/>
                            <w:color w:val="000000"/>
                            <w:kern w:val="24"/>
                            <w:sz w:val="20"/>
                            <w:szCs w:val="20"/>
                          </w:rPr>
                          <w:t>Виробництво</w:t>
                        </w:r>
                      </w:p>
                    </w:txbxContent>
                  </v:textbox>
                </v:oval>
                <v:shape id="Прямая со стрелкой 81" o:spid="_x0000_s1068" type="#_x0000_t32" style="position:absolute;left:84182;top:39427;width:6940;height:313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" strokecolor="#c0504d" strokeweight="3pt">
                  <v:stroke endarrow="open"/>
                  <v:shadow on="t" color="black" opacity="22937f" origin=",.5" offset="0,.63889mm"/>
                </v:shape>
                <v:shape id="Прямая со стрелкой 82" o:spid="_x0000_s1069" type="#_x0000_t32" style="position:absolute;left:79555;top:31849;width:4627;height:1070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" strokecolor="#c0504d" strokeweight="3pt">
                  <v:stroke endarrow="open"/>
                  <v:shadow on="t" color="black" opacity="22937f" origin=",.5" offset="0,.63889mm"/>
                </v:shape>
                <v:shape id="Прямая со стрелкой 83" o:spid="_x0000_s1070" type="#_x0000_t32" style="position:absolute;left:23019;top:32782;width:3881;height:4421;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" strokecolor="#c0504d" strokeweight="3pt">
                  <v:stroke endarrow="open"/>
                  <v:shadow on="t" color="black" opacity="22937f" origin=",.5" offset="0,.63889mm"/>
                </v:shape>
                <v:shape id="Прямая со стрелкой 84" o:spid="_x0000_s1071" type="#_x0000_t32" style="position:absolute;left:10305;top:25122;width:1988;height:903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" strokecolor="#c0504d" strokeweight="3pt">
                  <v:stroke endarrow="open"/>
                  <v:shadow on="t" color="black" opacity="22937f" origin=",.5" offset="0,.63889mm"/>
                </v:shape>
                <v:shape id="Прямая со стрелкой 85" o:spid="_x0000_s1072" type="#_x0000_t32" style="position:absolute;left:24166;top:28170;width:18297;height:1051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" strokecolor="#4a7ebb" strokeweight="1.25pt">
                  <v:stroke dashstyle="1 1" endarrow="open"/>
                </v:shape>
                <v:shape id="Прямая со стрелкой 86" o:spid="_x0000_s1073" type="#_x0000_t32" style="position:absolute;left:52444;top:31849;width:26480;height:3679;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" strokecolor="#4a7ebb" strokeweight="1.25pt">
                  <v:stroke dashstyle="1 1" endarrow="open"/>
                </v:shape>
                <v:shape id="Прямая со стрелкой 87" o:spid="_x0000_s1074" type="#_x0000_t32" style="position:absolute;left:47090;top:26055;width:27111;height:486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" strokecolor="#4a7ebb" strokeweight="1.25pt">
                  <v:stroke dashstyle="1 1" endarrow="open"/>
                </v:shape>
                <v:shape id="Прямая со стрелкой 88" o:spid="_x0000_s1075" type="#_x0000_t32" style="position:absolute;left:47090;top:26055;width:39615;height:1092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" strokecolor="#4a7ebb" strokeweight="1.25pt">
                  <v:stroke dashstyle="1 1" endarrow="open"/>
                </v:shape>
                <v:shape id="Прямая со стрелкой 89" o:spid="_x0000_s1076" type="#_x0000_t32" style="position:absolute;left:28067;top:17654;width:9980;height:6095;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" strokecolor="#4a7ebb" strokeweight="1.25pt">
                  <v:stroke dashstyle="1 1" endarrow="open"/>
                </v:shape>
                <v:shape id="Прямая со стрелкой 90" o:spid="_x0000_s1077" type="#_x0000_t32" style="position:absolute;left:33210;top:26055;width:4627;height:326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" strokecolor="#4a7ebb" strokeweight="1.25pt">
                  <v:stroke dashstyle="1 1" endarrow="open"/>
                </v:shape>
                <v:shape id="Прямая со стрелкой 91" o:spid="_x0000_s1078" type="#_x0000_t32" style="position:absolute;left:66745;top:44039;width:10286;height:208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" strokecolor="#9bbb59" strokeweight="3pt">
                  <v:stroke endarrow="open"/>
                  <v:shadow on="t" color="black" opacity="22937f" origin=",.5" offset="0,.63889mm"/>
                </v:shape>
                <v:rect id="Прямоугольник 92" o:spid="_x0000_s1079" style="position:absolute;left:3670;top:47707;width:39310;height:158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" fillcolor="window" strokecolor="windowText" strokeweight="2pt">
                  <v:textbox>
                    <w:txbxContent>
                      <w:p w14:paraId="50584024" w14:textId="77777777" w:rsidR="00F25FCF" w:rsidRPr="00D12B20" w:rsidRDefault="00F25FCF" w:rsidP="000F5770">
                        <w:pPr>
                          <w:pStyle w:val="NormalWeb"/>
                          <w:kinsoku w:val="0"/>
                          <w:overflowPunct w:val="0"/>
                          <w:spacing w:before="0" w:after="0"/>
                          <w:ind w:left="1412"/>
                          <w:textAlignment w:val="baseline"/>
                          <w:rPr>
                            <w:sz w:val="16"/>
                            <w:szCs w:val="16"/>
                          </w:rPr>
                        </w:pPr>
                        <w:r w:rsidRPr="003B5892">
                          <w:rPr>
                            <w:rFonts w:ascii="Calibri" w:hAnsi="Calibri"/>
                            <w:b/>
                            <w:bCs/>
                            <w:color w:val="000000"/>
                            <w:kern w:val="24"/>
                            <w:sz w:val="16"/>
                            <w:szCs w:val="16"/>
                          </w:rPr>
                          <w:t>- пріоритетні напрями розвитку</w:t>
                        </w:r>
                      </w:p>
                      <w:p w14:paraId="64A1959E" w14:textId="77777777" w:rsidR="00F25FCF" w:rsidRPr="00D12B20" w:rsidRDefault="00F25FCF" w:rsidP="000F5770">
                        <w:pPr>
                          <w:pStyle w:val="NormalWeb"/>
                          <w:kinsoku w:val="0"/>
                          <w:overflowPunct w:val="0"/>
                          <w:spacing w:before="0" w:after="0"/>
                          <w:ind w:left="1412"/>
                          <w:textAlignment w:val="baseline"/>
                          <w:rPr>
                            <w:sz w:val="16"/>
                            <w:szCs w:val="16"/>
                          </w:rPr>
                        </w:pPr>
                        <w:r w:rsidRPr="003B5892">
                          <w:rPr>
                            <w:rFonts w:ascii="Calibri" w:hAnsi="Calibri"/>
                            <w:b/>
                            <w:bCs/>
                            <w:color w:val="000000"/>
                            <w:kern w:val="24"/>
                            <w:sz w:val="16"/>
                            <w:szCs w:val="16"/>
                          </w:rPr>
                          <w:t>- фінансування</w:t>
                        </w:r>
                      </w:p>
                      <w:p w14:paraId="25F5C7DC" w14:textId="77777777" w:rsidR="00F25FCF" w:rsidRPr="00D12B20" w:rsidRDefault="00F25FCF" w:rsidP="000F5770">
                        <w:pPr>
                          <w:pStyle w:val="NormalWeb"/>
                          <w:kinsoku w:val="0"/>
                          <w:overflowPunct w:val="0"/>
                          <w:spacing w:before="0" w:after="0"/>
                          <w:ind w:left="1412"/>
                          <w:textAlignment w:val="baseline"/>
                          <w:rPr>
                            <w:sz w:val="16"/>
                            <w:szCs w:val="16"/>
                          </w:rPr>
                        </w:pPr>
                        <w:r w:rsidRPr="003B5892">
                          <w:rPr>
                            <w:rFonts w:ascii="Calibri" w:hAnsi="Calibri"/>
                            <w:b/>
                            <w:bCs/>
                            <w:color w:val="000000"/>
                            <w:kern w:val="24"/>
                            <w:sz w:val="16"/>
                            <w:szCs w:val="16"/>
                          </w:rPr>
                          <w:t>- пропозиції наукових результатів</w:t>
                        </w:r>
                      </w:p>
                      <w:p w14:paraId="61010741" w14:textId="77777777" w:rsidR="00F25FCF" w:rsidRPr="00D12B20" w:rsidRDefault="00F25FCF" w:rsidP="000F5770">
                        <w:pPr>
                          <w:pStyle w:val="NormalWeb"/>
                          <w:kinsoku w:val="0"/>
                          <w:overflowPunct w:val="0"/>
                          <w:spacing w:before="0" w:after="0"/>
                          <w:ind w:left="1412"/>
                          <w:textAlignment w:val="baseline"/>
                          <w:rPr>
                            <w:sz w:val="16"/>
                            <w:szCs w:val="16"/>
                          </w:rPr>
                        </w:pPr>
                        <w:r w:rsidRPr="003B5892">
                          <w:rPr>
                            <w:rFonts w:ascii="Calibri" w:hAnsi="Calibri"/>
                            <w:b/>
                            <w:bCs/>
                            <w:color w:val="000000"/>
                            <w:kern w:val="24"/>
                            <w:sz w:val="16"/>
                            <w:szCs w:val="16"/>
                          </w:rPr>
                          <w:t>- пропозиції щодо пріоритетів розвитку</w:t>
                        </w:r>
                      </w:p>
                      <w:p w14:paraId="7F803BA0" w14:textId="77777777" w:rsidR="00F25FCF" w:rsidRPr="00D12B20" w:rsidRDefault="00F25FCF" w:rsidP="000F5770">
                        <w:pPr>
                          <w:pStyle w:val="NormalWeb"/>
                          <w:kinsoku w:val="0"/>
                          <w:overflowPunct w:val="0"/>
                          <w:spacing w:before="0" w:after="0"/>
                          <w:ind w:left="1412"/>
                          <w:textAlignment w:val="baseline"/>
                          <w:rPr>
                            <w:sz w:val="16"/>
                            <w:szCs w:val="16"/>
                          </w:rPr>
                        </w:pPr>
                        <w:r w:rsidRPr="003B5892">
                          <w:rPr>
                            <w:rFonts w:ascii="Calibri" w:hAnsi="Calibri"/>
                            <w:b/>
                            <w:bCs/>
                            <w:color w:val="000000"/>
                            <w:kern w:val="24"/>
                            <w:sz w:val="16"/>
                            <w:szCs w:val="16"/>
                          </w:rPr>
                          <w:t>- напрями науково-технічної та інноваційної діяльності</w:t>
                        </w:r>
                      </w:p>
                    </w:txbxContent>
                  </v:textbox>
                </v:rect>
                <v:shape id="Прямая со стрелкой 94" o:spid="_x0000_s1080" type="#_x0000_t32" style="position:absolute;left:6340;top:57753;width:4837;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" strokecolor="#4f81bd" strokeweight="3pt">
                  <v:stroke endarrow="open"/>
                  <v:shadow on="t" color="black" opacity="22937f" origin=",.5" offset="0,.63889mm"/>
                </v:shape>
                <v:shape id="Прямая со стрелкой 95" o:spid="_x0000_s1081" type="#_x0000_t32" style="position:absolute;left:6340;top:49769;width:4837;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" strokecolor="#c0504d" strokeweight="3pt">
                  <v:stroke endarrow="open"/>
                  <v:shadow on="t" color="black" opacity="22937f" origin=",.5" offset="0,.63889mm"/>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96" o:spid="_x0000_s1082" type="#_x0000_t13" style="position:absolute;left:6439;top:59759;width:4837;height:137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" adj="18535" fillcolor="#4f81bd" strokecolor="#385d8a" strokeweight="2pt">
                  <v:textbox>
                    <w:txbxContent>
                      <w:p w14:paraId="3FD6395D" w14:textId="77777777" w:rsidR="00F25FCF" w:rsidRDefault="00F25FCF" w:rsidP="000F5770"/>
                    </w:txbxContent>
                  </v:textbox>
                </v:shape>
                <v:shape id="Прямая со стрелкой 97" o:spid="_x0000_s1083" type="#_x0000_t32" style="position:absolute;left:6439;top:55112;width:4608;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" strokecolor="#9bbb59" strokeweight="3pt">
                  <v:stroke endarrow="open"/>
                  <v:shadow on="t" color="black" opacity="22937f" origin=",.5" offset="0,.63889mm"/>
                </v:shape>
                <v:shape id="Прямая со стрелкой 98" o:spid="_x0000_s1084" type="#_x0000_t32" style="position:absolute;left:6359;top:52623;width:4818;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" strokecolor="#4a7ebb" strokeweight="1.25pt">
                  <v:stroke dashstyle="1 1" endarrow="open"/>
                </v:shape>
                <v:shape id="Прямая со стрелкой 99" o:spid="_x0000_s1085" type="#_x0000_t32" style="position:absolute;left:26843;top:33154;width:24759;height:237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" strokecolor="#4a7ebb" strokeweight="1.25pt">
                  <v:stroke dashstyle="1 1" endarrow="open"/>
                </v:shape>
                <v:roundrect id="Скругленный прямоугольник 55" o:spid="_x0000_s1086" style="position:absolute;left:20591;top:26055;width:12504;height:709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" fillcolor="window" strokecolor="#c0504d" strokeweight="2pt">
                  <v:textbox>
                    <w:txbxContent>
                      <w:p w14:paraId="3DF77B09" w14:textId="77777777" w:rsidR="00F25FCF" w:rsidRPr="00483828" w:rsidRDefault="00F25FCF" w:rsidP="000F5770">
                        <w:pPr>
                          <w:pStyle w:val="NormalWeb"/>
                          <w:kinsoku w:val="0"/>
                          <w:overflowPunct w:val="0"/>
                          <w:spacing w:before="0" w:after="0" w:line="216" w:lineRule="auto"/>
                          <w:jc w:val="center"/>
                          <w:textAlignment w:val="baseline"/>
                          <w:rPr>
                            <w:sz w:val="16"/>
                            <w:szCs w:val="16"/>
                          </w:rPr>
                        </w:pPr>
                        <w:r w:rsidRPr="003B5892">
                          <w:rPr>
                            <w:rFonts w:ascii="Calibri" w:hAnsi="Calibri"/>
                            <w:color w:val="000000"/>
                            <w:kern w:val="24"/>
                            <w:sz w:val="16"/>
                            <w:szCs w:val="16"/>
                          </w:rPr>
                          <w:t>Національний фонд досліджень (гранти)</w:t>
                        </w:r>
                      </w:p>
                    </w:txbxContent>
                  </v:textbox>
                </v:roundrect>
              </v:group>
            </w:pict>
          </mc:Fallback>
        </mc:AlternateContent>
      </w:r>
    </w:p>
    <w:p w14:paraId="01A43EA0" w14:textId="7C42DB0C"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15031ED9"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33C33071"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62263A93"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Calibri" w:eastAsia="Times New Roman" w:hAnsi="Calibri" w:cs="Times New Roman"/>
          <w:noProof/>
          <w:kern w:val="0"/>
          <w:lang w:val="uk-UA" w:eastAsia="uk-UA"/>
          <w14:ligatures w14:val="none"/>
        </w:rPr>
        <mc:AlternateContent>
          <mc:Choice Requires="wps">
            <w:drawing>
              <wp:anchor distT="0" distB="0" distL="114300" distR="114300" simplePos="0" relativeHeight="251651584" behindDoc="0" locked="0" layoutInCell="1" allowOverlap="1" wp14:anchorId="70996D5B" wp14:editId="49051E37">
                <wp:simplePos x="0" y="0"/>
                <wp:positionH relativeFrom="column">
                  <wp:posOffset>1390650</wp:posOffset>
                </wp:positionH>
                <wp:positionV relativeFrom="paragraph">
                  <wp:posOffset>34290</wp:posOffset>
                </wp:positionV>
                <wp:extent cx="3387090" cy="849630"/>
                <wp:effectExtent l="0" t="0" r="80010" b="83820"/>
                <wp:wrapNone/>
                <wp:docPr id="129647656" name="Прямая со стрелкой 31"/>
                <wp:cNvGraphicFramePr/>
                <a:graphic xmlns:a="http://schemas.openxmlformats.org/drawingml/2006/main">
                  <a:graphicData uri="http://schemas.microsoft.com/office/word/2010/wordprocessingShape">
                    <wps:wsp>
                      <wps:cNvCnPr/>
                      <wps:spPr bwMode="auto">
                        <a:xfrm>
                          <a:off x="0" y="0"/>
                          <a:ext cx="3387090" cy="849630"/>
                        </a:xfrm>
                        <a:prstGeom prst="straightConnector1">
                          <a:avLst/>
                        </a:prstGeom>
                        <a:noFill/>
                        <a:ln w="15875" cap="flat" cmpd="sng" algn="ctr">
                          <a:solidFill>
                            <a:srgbClr val="4F81BD">
                              <a:shade val="95000"/>
                              <a:satMod val="105000"/>
                            </a:srgbClr>
                          </a:solidFill>
                          <a:prstDash val="sysDot"/>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0311C3B" id="Прямая со стрелкой 31" o:spid="_x0000_s1026" type="#_x0000_t32" style="position:absolute;margin-left:109.5pt;margin-top:2.7pt;width:266.7pt;height:66.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" strokecolor="#4a7ebb" strokeweight="1.25pt">
                <v:stroke dashstyle="1 1" endarrow="open"/>
              </v:shape>
            </w:pict>
          </mc:Fallback>
        </mc:AlternateContent>
      </w:r>
    </w:p>
    <w:p w14:paraId="6FA20196"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3523DA78" w14:textId="71E723B1" w:rsidR="000F5770" w:rsidRPr="003B5892" w:rsidRDefault="004C5E8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Calibri" w:eastAsia="Times New Roman" w:hAnsi="Calibri" w:cs="Times New Roman"/>
          <w:noProof/>
          <w:kern w:val="0"/>
          <w:lang w:val="uk-UA" w:eastAsia="uk-UA"/>
          <w14:ligatures w14:val="none"/>
        </w:rPr>
        <mc:AlternateContent>
          <mc:Choice Requires="wps">
            <w:drawing>
              <wp:anchor distT="0" distB="0" distL="114300" distR="114300" simplePos="0" relativeHeight="251658752" behindDoc="0" locked="0" layoutInCell="0" allowOverlap="1" wp14:anchorId="6464FC05" wp14:editId="0C76C495">
                <wp:simplePos x="0" y="0"/>
                <wp:positionH relativeFrom="margin">
                  <wp:posOffset>5871293</wp:posOffset>
                </wp:positionH>
                <wp:positionV relativeFrom="margin">
                  <wp:posOffset>2799849</wp:posOffset>
                </wp:positionV>
                <wp:extent cx="761365" cy="4824730"/>
                <wp:effectExtent l="0" t="0" r="0" b="0"/>
                <wp:wrapSquare wrapText="bothSides"/>
                <wp:docPr id="222170724"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1365" cy="482473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14:paraId="2D62D86A" w14:textId="5DBD066D" w:rsidR="00F25FCF" w:rsidRPr="003B5892" w:rsidRDefault="00F25FCF" w:rsidP="000F5770">
                            <w:pPr>
                              <w:pBdr>
                                <w:left w:val="single" w:sz="12" w:space="31" w:color="7BA0CD"/>
                              </w:pBdr>
                              <w:spacing w:before="240" w:after="0" w:line="240" w:lineRule="auto"/>
                              <w:ind w:left="-4253" w:firstLine="4253"/>
                              <w:jc w:val="center"/>
                              <w:rPr>
                                <w:rFonts w:ascii="Times New Roman" w:hAnsi="Times New Roman"/>
                                <w:iCs/>
                                <w:sz w:val="28"/>
                                <w:szCs w:val="28"/>
                                <w:lang w:val="ru-RU"/>
                              </w:rPr>
                            </w:pPr>
                            <w:r w:rsidRPr="003B5892">
                              <w:rPr>
                                <w:rFonts w:ascii="Times New Roman" w:hAnsi="Times New Roman"/>
                                <w:iCs/>
                                <w:sz w:val="28"/>
                                <w:szCs w:val="28"/>
                                <w:lang w:val="ru-RU"/>
                              </w:rPr>
                              <w:t>Рис. 1. Структура організації ННТД в Україні.</w:t>
                            </w:r>
                          </w:p>
                        </w:txbxContent>
                      </wps:txbx>
                      <wps:bodyPr rot="0" vert="vert270"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464FC05" id="Прямоугольник 2" o:spid="_x0000_s1087" style="position:absolute;left:0;text-align:left;margin-left:462.3pt;margin-top:220.45pt;width:59.95pt;height:379.9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" o:allowincell="f" filled="f" fillcolor="#4f81bd" stroked="f">
                <v:shadow color="#2f4d71" offset="1pt,1pt"/>
                <v:textbox style="layout-flow:vertical;mso-layout-flow-alt:bottom-to-top" inset="0,0,18pt,0">
                  <w:txbxContent>
                    <w:p w14:paraId="2D62D86A" w14:textId="5DBD066D" w:rsidR="00F25FCF" w:rsidRPr="003B5892" w:rsidRDefault="00F25FCF" w:rsidP="000F5770">
                      <w:pPr>
                        <w:pBdr>
                          <w:left w:val="single" w:sz="12" w:space="31" w:color="7BA0CD"/>
                        </w:pBdr>
                        <w:spacing w:before="240" w:after="0" w:line="240" w:lineRule="auto"/>
                        <w:ind w:left="-4253" w:firstLine="4253"/>
                        <w:jc w:val="center"/>
                        <w:rPr>
                          <w:rFonts w:ascii="Times New Roman" w:hAnsi="Times New Roman"/>
                          <w:iCs/>
                          <w:sz w:val="28"/>
                          <w:szCs w:val="28"/>
                          <w:lang w:val="ru-RU"/>
                        </w:rPr>
                      </w:pPr>
                      <w:r w:rsidRPr="003B5892">
                        <w:rPr>
                          <w:rFonts w:ascii="Times New Roman" w:hAnsi="Times New Roman"/>
                          <w:iCs/>
                          <w:sz w:val="28"/>
                          <w:szCs w:val="28"/>
                          <w:lang w:val="ru-RU"/>
                        </w:rPr>
                        <w:t>Рис. 1. Структура організації ННТД в Україні.</w:t>
                      </w:r>
                    </w:p>
                  </w:txbxContent>
                </v:textbox>
                <w10:wrap type="square" anchorx="margin" anchory="margin"/>
              </v:rect>
            </w:pict>
          </mc:Fallback>
        </mc:AlternateContent>
      </w:r>
    </w:p>
    <w:p w14:paraId="3B80F48D" w14:textId="69308E7B"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5D329F96" w14:textId="70ACCE3D"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7A211993" w14:textId="2224262C"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62DF25AB" w14:textId="73BF8EAF"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25B50855" w14:textId="6B417759"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2D0D7E58" w14:textId="7E6445D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79B4CB29" w14:textId="091B5884"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27E2D1E4" w14:textId="6DEC9B84"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439AE42E" w14:textId="772C19CF"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28309613" w14:textId="0A9380E4"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6AFA16D0" w14:textId="577A0B8F"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174A2772" w14:textId="511093D9"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12D7F9E3" w14:textId="191EF35D"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029A3928" w14:textId="336ACD4F"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718F7624" w14:textId="0FBBF3DB" w:rsidR="000F5770"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66BB8941" w14:textId="27E168AE" w:rsidR="00463231" w:rsidRDefault="00463231"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216B5C74" w14:textId="794BE48C" w:rsidR="00463231" w:rsidRDefault="00463231"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1186CF24" w14:textId="366689EC" w:rsidR="00463231" w:rsidRDefault="00463231"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5C5A87F6" w14:textId="7BB4A296" w:rsidR="00463231" w:rsidRDefault="00463231"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71A81EEB" w14:textId="4D113B70" w:rsidR="00463231" w:rsidRDefault="00463231"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58D6276C" w14:textId="7618DD4E" w:rsidR="00463231" w:rsidRDefault="00463231"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38D023D7" w14:textId="77777777" w:rsidR="00463231" w:rsidRDefault="00463231"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0DC318CE" w14:textId="6773F531" w:rsidR="00463231" w:rsidRDefault="00463231"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2809B06F" w14:textId="732E0387" w:rsidR="00463231" w:rsidRDefault="00463231"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3092CFD5" w14:textId="270D2A91" w:rsidR="00463231" w:rsidRDefault="00463231"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124A6096" w14:textId="01FD257F" w:rsidR="00463231" w:rsidRDefault="00463231"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14DE556A" w14:textId="1FAE4762" w:rsidR="00463231" w:rsidRDefault="00463231"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61581DC0" w14:textId="07D1FFF6" w:rsidR="00463231" w:rsidRDefault="00463231"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486DB841" w14:textId="4E2499EE" w:rsidR="00463231" w:rsidRPr="003B5892" w:rsidRDefault="00463231"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27B42F47" w14:textId="77777777" w:rsidR="000F5770" w:rsidRPr="006F5634"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sectPr w:rsidR="000F5770" w:rsidRPr="006F5634" w:rsidSect="00463231">
          <w:type w:val="continuous"/>
          <w:pgSz w:w="11906" w:h="16838"/>
          <w:pgMar w:top="1134" w:right="1134" w:bottom="1134" w:left="1134" w:header="709" w:footer="709" w:gutter="0"/>
          <w:cols w:space="708"/>
          <w:docGrid w:linePitch="360"/>
        </w:sectPr>
      </w:pPr>
    </w:p>
    <w:p w14:paraId="673B25F8" w14:textId="77777777" w:rsidR="00463231" w:rsidRDefault="00463231" w:rsidP="00023291">
      <w:pPr>
        <w:tabs>
          <w:tab w:val="left" w:pos="9638"/>
        </w:tabs>
        <w:spacing w:after="0" w:line="240" w:lineRule="auto"/>
        <w:jc w:val="both"/>
        <w:rPr>
          <w:rFonts w:ascii="Times New Roman" w:eastAsia="Times New Roman" w:hAnsi="Times New Roman" w:cs="Times New Roman"/>
          <w:color w:val="0A0A0A"/>
          <w:kern w:val="0"/>
          <w:sz w:val="28"/>
          <w:szCs w:val="28"/>
          <w:lang w:val="uk-UA" w:eastAsia="uk-UA"/>
          <w14:ligatures w14:val="none"/>
        </w:rPr>
      </w:pPr>
    </w:p>
    <w:p w14:paraId="6C62E186" w14:textId="5E0454EE" w:rsidR="00815545" w:rsidRPr="003B5892" w:rsidRDefault="00815545" w:rsidP="00023291">
      <w:pPr>
        <w:tabs>
          <w:tab w:val="left" w:pos="9638"/>
        </w:tabs>
        <w:spacing w:after="0" w:line="240" w:lineRule="auto"/>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color w:val="0A0A0A"/>
          <w:kern w:val="0"/>
          <w:sz w:val="28"/>
          <w:szCs w:val="28"/>
          <w:lang w:val="uk-UA" w:eastAsia="uk-UA"/>
          <w14:ligatures w14:val="none"/>
        </w:rPr>
        <w:lastRenderedPageBreak/>
        <w:t>коштів державного бюджету; проведення експертизи результатів наукової діяльності; організація і проведення моніторингу інноваційної діяльності підприємств та установ своєї галузі незалежно від їх підпорядкованості [4].</w:t>
      </w:r>
    </w:p>
    <w:p w14:paraId="2872C49F" w14:textId="77777777" w:rsidR="00815545" w:rsidRPr="003B5892" w:rsidRDefault="00815545"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ru-RU" w:eastAsia="uk-UA"/>
          <w14:ligatures w14:val="none"/>
        </w:rPr>
      </w:pPr>
      <w:r w:rsidRPr="003B5892">
        <w:rPr>
          <w:rFonts w:ascii="Times New Roman" w:eastAsia="Times New Roman" w:hAnsi="Times New Roman" w:cs="Times New Roman"/>
          <w:color w:val="0A0A0A"/>
          <w:kern w:val="0"/>
          <w:sz w:val="28"/>
          <w:szCs w:val="28"/>
          <w:lang w:val="uk-UA" w:eastAsia="uk-UA"/>
          <w14:ligatures w14:val="none"/>
        </w:rPr>
        <w:t xml:space="preserve">Таким чином, відповідно до положень законодавства України, система ННТД МО України є важливою та невіддільною складовою загальної організаційної структури ННТД держави, яка призначена для вирішення </w:t>
      </w:r>
    </w:p>
    <w:p w14:paraId="46868C70" w14:textId="77777777" w:rsidR="000F5770" w:rsidRPr="003B5892" w:rsidRDefault="000F5770" w:rsidP="00023291">
      <w:pPr>
        <w:tabs>
          <w:tab w:val="left" w:pos="9638"/>
        </w:tabs>
        <w:spacing w:after="0" w:line="240" w:lineRule="auto"/>
        <w:jc w:val="both"/>
        <w:rPr>
          <w:rFonts w:ascii="Times New Roman" w:eastAsia="Times New Roman" w:hAnsi="Times New Roman" w:cs="Times New Roman"/>
          <w:color w:val="0A0A0A"/>
          <w:kern w:val="0"/>
          <w:sz w:val="28"/>
          <w:szCs w:val="28"/>
          <w:lang w:val="ru-RU" w:eastAsia="uk-UA"/>
          <w14:ligatures w14:val="none"/>
        </w:rPr>
      </w:pPr>
      <w:r w:rsidRPr="003B5892">
        <w:rPr>
          <w:rFonts w:ascii="Times New Roman" w:eastAsia="Times New Roman" w:hAnsi="Times New Roman" w:cs="Times New Roman"/>
          <w:color w:val="0A0A0A"/>
          <w:kern w:val="0"/>
          <w:sz w:val="28"/>
          <w:szCs w:val="28"/>
          <w:lang w:val="uk-UA" w:eastAsia="uk-UA"/>
          <w14:ligatures w14:val="none"/>
        </w:rPr>
        <w:t>оборонних завдань. В умовах особливого періоду її значення з кожним днем зростає.</w:t>
      </w:r>
    </w:p>
    <w:p w14:paraId="32C66FC4"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shd w:val="clear" w:color="auto" w:fill="FFFFFF"/>
          <w:lang w:val="uk-UA"/>
          <w14:ligatures w14:val="none"/>
        </w:rPr>
      </w:pPr>
      <w:r w:rsidRPr="003B5892">
        <w:rPr>
          <w:rFonts w:ascii="Times New Roman" w:eastAsia="Times New Roman" w:hAnsi="Times New Roman" w:cs="Times New Roman"/>
          <w:color w:val="0A0A0A"/>
          <w:kern w:val="0"/>
          <w:sz w:val="28"/>
          <w:szCs w:val="28"/>
          <w:lang w:val="uk-UA" w:eastAsia="uk-UA"/>
          <w14:ligatures w14:val="none"/>
        </w:rPr>
        <w:t>Оновленим Положенням про організацію ННТД в системі МО України, яке затверджене наказом МО України від </w:t>
      </w:r>
      <w:r w:rsidRPr="003B5892">
        <w:rPr>
          <w:rFonts w:ascii="Times New Roman" w:eastAsia="Times New Roman" w:hAnsi="Times New Roman" w:cs="Times New Roman"/>
          <w:color w:val="0A0A0A"/>
          <w:kern w:val="0"/>
          <w:sz w:val="28"/>
          <w:szCs w:val="28"/>
          <w:shd w:val="clear" w:color="auto" w:fill="FFFFFF"/>
          <w:lang w:val="uk-UA"/>
          <w14:ligatures w14:val="none"/>
        </w:rPr>
        <w:t xml:space="preserve">16.07.2024 № 480 </w:t>
      </w:r>
      <w:r w:rsidRPr="003B5892">
        <w:rPr>
          <w:rFonts w:ascii="Times New Roman" w:eastAsia="Times New Roman" w:hAnsi="Times New Roman" w:cs="Times New Roman"/>
          <w:color w:val="0A0A0A"/>
          <w:kern w:val="0"/>
          <w:sz w:val="28"/>
          <w:szCs w:val="28"/>
          <w:lang w:val="uk-UA" w:eastAsia="uk-UA"/>
          <w14:ligatures w14:val="none"/>
        </w:rPr>
        <w:t>(Положення) [7] визначений склад системи ННТД МО України, до складу якої входять: система управління ННТД; система НУ, ВВНЗ, ВНП ЗВО, НП; система консультативно-дорадчих органів</w:t>
      </w:r>
      <w:r w:rsidRPr="003B5892">
        <w:rPr>
          <w:rFonts w:ascii="Times New Roman" w:eastAsia="Times New Roman" w:hAnsi="Times New Roman" w:cs="Times New Roman"/>
          <w:i/>
          <w:color w:val="0A0A0A"/>
          <w:kern w:val="0"/>
          <w:sz w:val="28"/>
          <w:szCs w:val="28"/>
          <w:lang w:val="uk-UA" w:eastAsia="uk-UA"/>
          <w14:ligatures w14:val="none"/>
        </w:rPr>
        <w:t xml:space="preserve">. </w:t>
      </w:r>
      <w:r w:rsidRPr="003B5892">
        <w:rPr>
          <w:rFonts w:ascii="Times New Roman" w:eastAsia="Times New Roman" w:hAnsi="Times New Roman" w:cs="Times New Roman"/>
          <w:color w:val="0A0A0A"/>
          <w:kern w:val="0"/>
          <w:sz w:val="28"/>
          <w:szCs w:val="28"/>
          <w:shd w:val="clear" w:color="auto" w:fill="FFFFFF"/>
          <w:lang w:val="uk-UA"/>
          <w14:ligatures w14:val="none"/>
        </w:rPr>
        <w:t xml:space="preserve">Система НУ, ВВНЗ, ВНП ЗВО сфери управління </w:t>
      </w:r>
      <w:r w:rsidRPr="003B5892">
        <w:rPr>
          <w:rFonts w:ascii="Times New Roman" w:eastAsia="Times New Roman" w:hAnsi="Times New Roman" w:cs="Times New Roman"/>
          <w:color w:val="0A0A0A"/>
          <w:kern w:val="0"/>
          <w:sz w:val="28"/>
          <w:szCs w:val="28"/>
          <w:lang w:val="uk-UA" w:eastAsia="uk-UA"/>
          <w14:ligatures w14:val="none"/>
        </w:rPr>
        <w:t xml:space="preserve">МО України </w:t>
      </w:r>
      <w:r w:rsidRPr="003B5892">
        <w:rPr>
          <w:rFonts w:ascii="Times New Roman" w:eastAsia="Times New Roman" w:hAnsi="Times New Roman" w:cs="Times New Roman"/>
          <w:color w:val="0A0A0A"/>
          <w:kern w:val="0"/>
          <w:sz w:val="28"/>
          <w:szCs w:val="28"/>
          <w:shd w:val="clear" w:color="auto" w:fill="FFFFFF"/>
          <w:lang w:val="uk-UA"/>
          <w14:ligatures w14:val="none"/>
        </w:rPr>
        <w:t xml:space="preserve">з її основними складовими </w:t>
      </w:r>
      <w:r w:rsidRPr="003B5892">
        <w:rPr>
          <w:rFonts w:ascii="Times New Roman" w:eastAsia="Times New Roman" w:hAnsi="Times New Roman" w:cs="Times New Roman"/>
          <w:kern w:val="0"/>
          <w:sz w:val="28"/>
          <w:szCs w:val="28"/>
          <w:lang w:val="uk-UA" w:eastAsia="uk"/>
          <w14:ligatures w14:val="none"/>
        </w:rPr>
        <w:t>ННТД</w:t>
      </w:r>
      <w:r w:rsidRPr="003B5892">
        <w:rPr>
          <w:rFonts w:ascii="Times New Roman" w:eastAsia="Times New Roman" w:hAnsi="Times New Roman" w:cs="Times New Roman"/>
          <w:color w:val="0A0A0A"/>
          <w:kern w:val="0"/>
          <w:sz w:val="28"/>
          <w:szCs w:val="28"/>
          <w:shd w:val="clear" w:color="auto" w:fill="FFFFFF"/>
          <w:lang w:val="uk-UA"/>
          <w14:ligatures w14:val="none"/>
        </w:rPr>
        <w:t xml:space="preserve"> схематично представлена </w:t>
      </w:r>
      <w:r w:rsidRPr="003B5892">
        <w:rPr>
          <w:rFonts w:ascii="Times New Roman" w:eastAsia="Times New Roman" w:hAnsi="Times New Roman" w:cs="Times New Roman"/>
          <w:kern w:val="0"/>
          <w:sz w:val="28"/>
          <w:szCs w:val="28"/>
          <w:shd w:val="clear" w:color="auto" w:fill="FFFFFF"/>
          <w:lang w:val="uk-UA"/>
          <w14:ligatures w14:val="none"/>
        </w:rPr>
        <w:t xml:space="preserve">на рисунку 2. </w:t>
      </w:r>
    </w:p>
    <w:p w14:paraId="01BA8C32" w14:textId="77777777" w:rsidR="000F5770" w:rsidRPr="003B5892" w:rsidRDefault="000F5770" w:rsidP="00023291">
      <w:pPr>
        <w:shd w:val="clear" w:color="auto" w:fill="FFFFFF"/>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color w:val="000000"/>
          <w:kern w:val="0"/>
          <w:sz w:val="28"/>
          <w:szCs w:val="28"/>
          <w:lang w:val="uk-UA" w:eastAsia="uk-UA"/>
          <w14:ligatures w14:val="none"/>
        </w:rPr>
        <w:t xml:space="preserve">Протягом </w:t>
      </w:r>
      <w:r w:rsidRPr="003B5892">
        <w:rPr>
          <w:rFonts w:ascii="Times New Roman" w:eastAsia="Times New Roman" w:hAnsi="Times New Roman" w:cs="Times New Roman"/>
          <w:color w:val="0A0A0A"/>
          <w:kern w:val="0"/>
          <w:sz w:val="28"/>
          <w:szCs w:val="28"/>
          <w:lang w:val="uk-UA" w:eastAsia="uk-UA"/>
          <w14:ligatures w14:val="none"/>
        </w:rPr>
        <w:t>останніх років у МО України</w:t>
      </w:r>
      <w:r w:rsidRPr="003B5892">
        <w:rPr>
          <w:rFonts w:ascii="Calibri" w:eastAsia="Times New Roman" w:hAnsi="Calibri" w:cs="Times New Roman"/>
          <w:color w:val="0A0A0A"/>
          <w:kern w:val="0"/>
          <w:sz w:val="28"/>
          <w:szCs w:val="28"/>
          <w:lang w:val="uk-UA" w:eastAsia="uk-UA"/>
          <w14:ligatures w14:val="none"/>
        </w:rPr>
        <w:t xml:space="preserve"> </w:t>
      </w:r>
      <w:r w:rsidRPr="003B5892">
        <w:rPr>
          <w:rFonts w:ascii="Times New Roman" w:eastAsia="Times New Roman" w:hAnsi="Times New Roman" w:cs="Times New Roman"/>
          <w:color w:val="0A0A0A"/>
          <w:kern w:val="0"/>
          <w:sz w:val="28"/>
          <w:szCs w:val="28"/>
          <w:lang w:val="uk-UA" w:eastAsia="uk-UA"/>
          <w14:ligatures w14:val="none"/>
        </w:rPr>
        <w:t>та ГШ ЗС України з метою підвищення ефективності функціонування системи ННТД проведено комплекс заходів щодо її удосконалення. Реалізація зазначених заходів здійснювалася шляхом:</w:t>
      </w:r>
    </w:p>
    <w:p w14:paraId="6CA11368" w14:textId="77777777" w:rsidR="000F5770" w:rsidRPr="003B5892" w:rsidRDefault="000F5770" w:rsidP="00023291">
      <w:pPr>
        <w:shd w:val="clear" w:color="auto" w:fill="FFFFFF"/>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color w:val="0A0A0A"/>
          <w:kern w:val="0"/>
          <w:sz w:val="28"/>
          <w:szCs w:val="28"/>
          <w:lang w:val="uk-UA" w:eastAsia="uk-UA"/>
          <w14:ligatures w14:val="none"/>
        </w:rPr>
        <w:t>структурування системи НУ, НП ВВНЗ і НП ВНП ЗВО за підпорядкованістю, науковою проблематикою, рівнями наукових досліджень (стратегічний, оперативний та тактичний). Структурування системи передбачало забезпечення необхідної концентрації наукового потенціалу з метою підвищення рівня організації наукових досліджень, оптимізації чисельності управлінських структур і підрозділів забезпечення;</w:t>
      </w:r>
    </w:p>
    <w:p w14:paraId="7A72744A" w14:textId="77777777" w:rsidR="000F5770" w:rsidRPr="003B5892" w:rsidRDefault="000F5770" w:rsidP="00023291">
      <w:pPr>
        <w:shd w:val="clear" w:color="auto" w:fill="FFFFFF"/>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color w:val="0A0A0A"/>
          <w:kern w:val="0"/>
          <w:sz w:val="28"/>
          <w:szCs w:val="28"/>
          <w:lang w:val="uk-UA" w:eastAsia="uk-UA"/>
          <w14:ligatures w14:val="none"/>
        </w:rPr>
        <w:t>виключення дублювання під час проведення НУ, НП ВВНЗ і НП ВНП ЗВО досліджень за визначеними науковими напрямами. Наказом МО України</w:t>
      </w:r>
      <w:r w:rsidRPr="003B5892">
        <w:rPr>
          <w:rFonts w:ascii="Calibri" w:eastAsia="Times New Roman" w:hAnsi="Calibri" w:cs="Times New Roman"/>
          <w:color w:val="0A0A0A"/>
          <w:kern w:val="0"/>
          <w:sz w:val="28"/>
          <w:szCs w:val="28"/>
          <w:lang w:val="uk-UA" w:eastAsia="uk-UA"/>
          <w14:ligatures w14:val="none"/>
        </w:rPr>
        <w:t xml:space="preserve"> </w:t>
      </w:r>
      <w:r w:rsidRPr="003B5892">
        <w:rPr>
          <w:rFonts w:ascii="Calibri" w:eastAsia="Times New Roman" w:hAnsi="Calibri" w:cs="Times New Roman"/>
          <w:color w:val="0A0A0A"/>
          <w:kern w:val="0"/>
          <w:sz w:val="28"/>
          <w:szCs w:val="28"/>
          <w:shd w:val="clear" w:color="auto" w:fill="FFFFFF"/>
          <w:lang w:val="uk-UA"/>
          <w14:ligatures w14:val="none"/>
        </w:rPr>
        <w:t xml:space="preserve"> </w:t>
      </w:r>
      <w:r w:rsidRPr="003B5892">
        <w:rPr>
          <w:rFonts w:ascii="Times New Roman" w:eastAsia="Times New Roman" w:hAnsi="Times New Roman" w:cs="Times New Roman"/>
          <w:color w:val="0A0A0A"/>
          <w:kern w:val="0"/>
          <w:sz w:val="28"/>
          <w:szCs w:val="28"/>
          <w:lang w:val="uk-UA" w:eastAsia="uk-UA"/>
          <w14:ligatures w14:val="none"/>
        </w:rPr>
        <w:t>від 29.11.2025 року № 837</w:t>
      </w:r>
      <w:r w:rsidRPr="003B5892">
        <w:rPr>
          <w:rFonts w:ascii="Times New Roman" w:eastAsia="Times New Roman" w:hAnsi="Times New Roman" w:cs="Times New Roman"/>
          <w:color w:val="0A0A0A"/>
          <w:kern w:val="0"/>
          <w:sz w:val="28"/>
          <w:szCs w:val="28"/>
          <w:lang w:val="ru-RU" w:eastAsia="uk-UA"/>
          <w14:ligatures w14:val="none"/>
        </w:rPr>
        <w:t>/</w:t>
      </w:r>
      <w:r w:rsidRPr="003B5892">
        <w:rPr>
          <w:rFonts w:ascii="Times New Roman" w:eastAsia="Times New Roman" w:hAnsi="Times New Roman" w:cs="Times New Roman"/>
          <w:color w:val="0A0A0A"/>
          <w:kern w:val="0"/>
          <w:sz w:val="28"/>
          <w:szCs w:val="28"/>
          <w:lang w:val="uk-UA" w:eastAsia="uk-UA"/>
          <w14:ligatures w14:val="none"/>
        </w:rPr>
        <w:t>нт затверджено оновлений розподіл основних напрямів наукових досліджень між НУ, НП ВВНЗ і НП ВНП ЗВО системи МО України</w:t>
      </w:r>
      <w:r w:rsidRPr="003B5892">
        <w:rPr>
          <w:rFonts w:ascii="Calibri" w:eastAsia="Times New Roman" w:hAnsi="Calibri" w:cs="Times New Roman"/>
          <w:color w:val="0A0A0A"/>
          <w:kern w:val="0"/>
          <w:sz w:val="28"/>
          <w:szCs w:val="28"/>
          <w:shd w:val="clear" w:color="auto" w:fill="FFFFFF"/>
          <w:lang w:val="uk-UA"/>
          <w14:ligatures w14:val="none"/>
        </w:rPr>
        <w:t xml:space="preserve"> </w:t>
      </w:r>
      <w:r w:rsidRPr="003B5892">
        <w:rPr>
          <w:rFonts w:ascii="Times New Roman" w:eastAsia="Times New Roman" w:hAnsi="Times New Roman" w:cs="Times New Roman"/>
          <w:spacing w:val="-2"/>
          <w:kern w:val="28"/>
          <w:sz w:val="28"/>
          <w:szCs w:val="28"/>
          <w:lang w:val="uk-UA"/>
          <w14:ligatures w14:val="none"/>
        </w:rPr>
        <w:t>[8]</w:t>
      </w:r>
      <w:r w:rsidRPr="003B5892">
        <w:rPr>
          <w:rFonts w:ascii="Times New Roman" w:eastAsia="Times New Roman" w:hAnsi="Times New Roman" w:cs="Times New Roman"/>
          <w:color w:val="0A0A0A"/>
          <w:kern w:val="0"/>
          <w:sz w:val="28"/>
          <w:szCs w:val="28"/>
          <w:lang w:val="uk-UA" w:eastAsia="uk-UA"/>
          <w14:ligatures w14:val="none"/>
        </w:rPr>
        <w:t>;</w:t>
      </w:r>
    </w:p>
    <w:p w14:paraId="13E4473A" w14:textId="77777777" w:rsidR="000F5770" w:rsidRPr="003B5892" w:rsidRDefault="000F5770" w:rsidP="00023291">
      <w:pPr>
        <w:shd w:val="clear" w:color="auto" w:fill="FFFFFF"/>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color w:val="0A0A0A"/>
          <w:kern w:val="0"/>
          <w:sz w:val="28"/>
          <w:szCs w:val="28"/>
          <w:lang w:val="uk-UA" w:eastAsia="uk-UA"/>
          <w14:ligatures w14:val="none"/>
        </w:rPr>
        <w:t>забезпечення максимального впровадження результатів наукових досліджень у практику діяльності МО України, ЗС України та освітній процес у ВВНЗ (ВНП ЗВО);</w:t>
      </w:r>
    </w:p>
    <w:p w14:paraId="378D37CA" w14:textId="77777777" w:rsidR="000F5770" w:rsidRPr="003B5892" w:rsidRDefault="000F5770" w:rsidP="00023291">
      <w:pPr>
        <w:shd w:val="clear" w:color="auto" w:fill="FFFFFF"/>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color w:val="0A0A0A"/>
          <w:kern w:val="0"/>
          <w:sz w:val="28"/>
          <w:szCs w:val="28"/>
          <w:lang w:val="uk-UA" w:eastAsia="uk-UA"/>
          <w14:ligatures w14:val="none"/>
        </w:rPr>
        <w:t>підвищення вимог до ефективності функціонування системи ННТД.</w:t>
      </w:r>
    </w:p>
    <w:p w14:paraId="3FA2114E" w14:textId="77777777" w:rsidR="000F5770" w:rsidRPr="003B5892" w:rsidRDefault="000F5770" w:rsidP="00023291">
      <w:pPr>
        <w:shd w:val="clear" w:color="auto" w:fill="FFFFFF"/>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color w:val="0A0A0A"/>
          <w:kern w:val="0"/>
          <w:sz w:val="28"/>
          <w:szCs w:val="28"/>
          <w:lang w:val="uk-UA" w:eastAsia="uk-UA"/>
          <w14:ligatures w14:val="none"/>
        </w:rPr>
        <w:t xml:space="preserve">У МО України опрацьовано новий порядок планування ННТД, побудований відповідно до Закону України “Про національну безпеку України” </w:t>
      </w:r>
      <w:r w:rsidRPr="003B5892">
        <w:rPr>
          <w:rFonts w:ascii="Times New Roman" w:eastAsia="Times New Roman" w:hAnsi="Times New Roman" w:cs="Times New Roman"/>
          <w:spacing w:val="-2"/>
          <w:kern w:val="28"/>
          <w:sz w:val="28"/>
          <w:szCs w:val="28"/>
          <w:lang w:val="uk-UA"/>
          <w14:ligatures w14:val="none"/>
        </w:rPr>
        <w:t>[9],</w:t>
      </w:r>
      <w:r w:rsidRPr="003B5892">
        <w:rPr>
          <w:rFonts w:ascii="Times New Roman" w:eastAsia="Times New Roman" w:hAnsi="Times New Roman" w:cs="Times New Roman"/>
          <w:color w:val="0A0A0A"/>
          <w:kern w:val="0"/>
          <w:sz w:val="28"/>
          <w:szCs w:val="28"/>
          <w:lang w:val="uk-UA" w:eastAsia="uk-UA"/>
          <w14:ligatures w14:val="none"/>
        </w:rPr>
        <w:t xml:space="preserve"> з урахуванням підходів стратегічного планування, який бере до уваги сучасні практики і досвід держав-членів НАТО та інтегрований у порядок оборонного планування на основі спроможностей в МО України та ЗС України.</w:t>
      </w:r>
    </w:p>
    <w:p w14:paraId="3A085B47" w14:textId="51F23404" w:rsidR="00FB1BC6" w:rsidRPr="003B5892" w:rsidRDefault="000F5770" w:rsidP="00FB1BC6">
      <w:pPr>
        <w:shd w:val="clear" w:color="auto" w:fill="FFFFFF"/>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3B5892">
        <w:rPr>
          <w:rFonts w:ascii="Times New Roman" w:eastAsia="Times New Roman" w:hAnsi="Times New Roman" w:cs="Times New Roman"/>
          <w:kern w:val="0"/>
          <w:sz w:val="28"/>
          <w:szCs w:val="28"/>
          <w:lang w:val="uk-UA"/>
          <w14:ligatures w14:val="none"/>
        </w:rPr>
        <w:t>Наукові дослідження в системі ННТД здійснюються:</w:t>
      </w:r>
    </w:p>
    <w:p w14:paraId="6442FFA3" w14:textId="5749938E" w:rsidR="000F5770" w:rsidRPr="003B5892" w:rsidRDefault="000F5770" w:rsidP="00023291">
      <w:pPr>
        <w:shd w:val="clear" w:color="auto" w:fill="FFFFFF"/>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kern w:val="0"/>
          <w:sz w:val="28"/>
          <w:szCs w:val="28"/>
          <w:lang w:val="uk-UA"/>
          <w14:ligatures w14:val="none"/>
        </w:rPr>
        <w:t xml:space="preserve">на стратегічному рівні Центром воєнно-стратегічних досліджень Національного університету оборони України (НУОУ), Центральним науково-дослідним інститутом озброєння та військової техніки ЗС України, Державним науково-дослідним інститутом авіації, які функціонують у складі </w:t>
      </w:r>
      <w:r w:rsidRPr="003B5892">
        <w:rPr>
          <w:rFonts w:ascii="Times New Roman" w:eastAsia="Times New Roman" w:hAnsi="Times New Roman" w:cs="Times New Roman"/>
          <w:color w:val="0A0A0A"/>
          <w:kern w:val="0"/>
          <w:sz w:val="28"/>
          <w:szCs w:val="28"/>
          <w:lang w:val="uk-UA" w:eastAsia="uk-UA"/>
          <w14:ligatures w14:val="none"/>
        </w:rPr>
        <w:t>МО України</w:t>
      </w:r>
      <w:r w:rsidRPr="003B5892">
        <w:rPr>
          <w:rFonts w:ascii="Times New Roman" w:eastAsia="Times New Roman" w:hAnsi="Times New Roman" w:cs="Times New Roman"/>
          <w:kern w:val="0"/>
          <w:sz w:val="28"/>
          <w:szCs w:val="28"/>
          <w:lang w:val="uk-UA"/>
          <w14:ligatures w14:val="none"/>
        </w:rPr>
        <w:t xml:space="preserve">, а також Центральним науково-дослідним інститутом ЗС України та Державним </w:t>
      </w:r>
    </w:p>
    <w:p w14:paraId="7955FE95" w14:textId="77777777" w:rsidR="000F5770" w:rsidRPr="003B5892" w:rsidRDefault="000F5770" w:rsidP="00023291">
      <w:pPr>
        <w:shd w:val="clear" w:color="auto" w:fill="FFFFFF"/>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sectPr w:rsidR="000F5770" w:rsidRPr="003B5892" w:rsidSect="00A908CF">
          <w:type w:val="continuous"/>
          <w:pgSz w:w="11906" w:h="16838"/>
          <w:pgMar w:top="1134" w:right="1134" w:bottom="1134" w:left="1134" w:header="709" w:footer="709" w:gutter="0"/>
          <w:cols w:space="708"/>
          <w:docGrid w:linePitch="360"/>
        </w:sectPr>
      </w:pPr>
    </w:p>
    <w:p w14:paraId="73148952" w14:textId="00D598F8"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75E4FDE8" w14:textId="21112CC6"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6CED9581" w14:textId="1DF982E1"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718D692D" w14:textId="4FE17338"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5908D22A" w14:textId="0813CE2E"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427387F9" w14:textId="5EF731AD" w:rsidR="000F5770" w:rsidRPr="003B5892" w:rsidRDefault="000C456C"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r>
        <w:rPr>
          <w:rFonts w:ascii="Times New Roman" w:eastAsia="Times New Roman" w:hAnsi="Times New Roman" w:cs="Times New Roman"/>
          <w:noProof/>
          <w:kern w:val="0"/>
          <w:sz w:val="28"/>
          <w:szCs w:val="28"/>
          <w:lang w:val="uk-UA" w:eastAsia="uk-UA"/>
        </w:rPr>
        <mc:AlternateContent>
          <mc:Choice Requires="wps">
            <w:drawing>
              <wp:anchor distT="0" distB="0" distL="114300" distR="114300" simplePos="0" relativeHeight="251759616" behindDoc="0" locked="0" layoutInCell="1" allowOverlap="1" wp14:anchorId="63E5B409" wp14:editId="1719AE43">
                <wp:simplePos x="0" y="0"/>
                <wp:positionH relativeFrom="column">
                  <wp:posOffset>5910967</wp:posOffset>
                </wp:positionH>
                <wp:positionV relativeFrom="paragraph">
                  <wp:posOffset>205541</wp:posOffset>
                </wp:positionV>
                <wp:extent cx="413468" cy="5947575"/>
                <wp:effectExtent l="0" t="0" r="18415" b="8890"/>
                <wp:wrapNone/>
                <wp:docPr id="437072841" name="Rectangle 222"/>
                <wp:cNvGraphicFramePr/>
                <a:graphic xmlns:a="http://schemas.openxmlformats.org/drawingml/2006/main">
                  <a:graphicData uri="http://schemas.microsoft.com/office/word/2010/wordprocessingShape">
                    <wps:wsp>
                      <wps:cNvSpPr/>
                      <wps:spPr>
                        <a:xfrm>
                          <a:off x="0" y="0"/>
                          <a:ext cx="413468" cy="59475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4AE1DDF3" w14:textId="4C13D581" w:rsidR="000C456C" w:rsidRDefault="000C456C" w:rsidP="000C456C">
                            <w:pPr>
                              <w:jc w:val="center"/>
                            </w:pPr>
                            <w:r w:rsidRPr="003B5892">
                              <w:rPr>
                                <w:rFonts w:ascii="Times New Roman" w:eastAsia="Times New Roman" w:hAnsi="Times New Roman" w:cs="Times New Roman"/>
                                <w:kern w:val="0"/>
                                <w:sz w:val="28"/>
                                <w:szCs w:val="28"/>
                                <w:lang w:val="uk-UA"/>
                                <w14:ligatures w14:val="none"/>
                              </w:rPr>
                              <w:t>Рис. 2. Система НУ, ВВНЗ, ВНП ЗВО сфери управління МО України</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E5B409" id="Rectangle 222" o:spid="_x0000_s1088" style="position:absolute;margin-left:465.45pt;margin-top:16.2pt;width:32.55pt;height:468.3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" fillcolor="white [3201]" strokecolor="#70ad47 [3209]" strokeweight="1pt">
                <v:textbox style="layout-flow:vertical;mso-layout-flow-alt:bottom-to-top">
                  <w:txbxContent>
                    <w:p w14:paraId="4AE1DDF3" w14:textId="4C13D581" w:rsidR="000C456C" w:rsidRDefault="000C456C" w:rsidP="000C456C">
                      <w:pPr>
                        <w:jc w:val="center"/>
                      </w:pPr>
                      <w:r w:rsidRPr="003B5892">
                        <w:rPr>
                          <w:rFonts w:ascii="Times New Roman" w:eastAsia="Times New Roman" w:hAnsi="Times New Roman" w:cs="Times New Roman"/>
                          <w:kern w:val="0"/>
                          <w:sz w:val="28"/>
                          <w:szCs w:val="28"/>
                          <w:lang w:val="uk-UA"/>
                          <w14:ligatures w14:val="none"/>
                        </w:rPr>
                        <w:t>Рис. 2. Система НУ, ВВНЗ, ВНП ЗВО сфери управління МО України</w:t>
                      </w:r>
                    </w:p>
                  </w:txbxContent>
                </v:textbox>
              </v:rect>
            </w:pict>
          </mc:Fallback>
        </mc:AlternateContent>
      </w:r>
    </w:p>
    <w:p w14:paraId="653438D1" w14:textId="26CB43DD" w:rsidR="000F5770" w:rsidRPr="003B5892" w:rsidRDefault="00463231"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r w:rsidRPr="003B5892">
        <w:rPr>
          <w:rFonts w:ascii="Times New Roman" w:eastAsia="Times New Roman" w:hAnsi="Times New Roman" w:cs="Times New Roman"/>
          <w:noProof/>
          <w:kern w:val="0"/>
          <w:sz w:val="28"/>
          <w:szCs w:val="28"/>
          <w:lang w:val="uk-UA" w:eastAsia="uk-UA"/>
          <w14:ligatures w14:val="none"/>
        </w:rPr>
        <mc:AlternateContent>
          <mc:Choice Requires="wpg">
            <w:drawing>
              <wp:anchor distT="0" distB="0" distL="114300" distR="114300" simplePos="0" relativeHeight="251663872" behindDoc="0" locked="0" layoutInCell="1" allowOverlap="1" wp14:anchorId="5B97F361" wp14:editId="56EDBE22">
                <wp:simplePos x="0" y="0"/>
                <wp:positionH relativeFrom="column">
                  <wp:posOffset>-1049512</wp:posOffset>
                </wp:positionH>
                <wp:positionV relativeFrom="paragraph">
                  <wp:posOffset>321167</wp:posOffset>
                </wp:positionV>
                <wp:extent cx="8235663" cy="5534660"/>
                <wp:effectExtent l="35878" t="40322" r="106362" b="106363"/>
                <wp:wrapNone/>
                <wp:docPr id="893487551" name="Группа 1"/>
                <wp:cNvGraphicFramePr/>
                <a:graphic xmlns:a="http://schemas.openxmlformats.org/drawingml/2006/main">
                  <a:graphicData uri="http://schemas.microsoft.com/office/word/2010/wordprocessingGroup">
                    <wpg:wgp>
                      <wpg:cNvGrpSpPr/>
                      <wpg:grpSpPr>
                        <a:xfrm rot="16200000">
                          <a:off x="0" y="0"/>
                          <a:ext cx="8235663" cy="5534660"/>
                          <a:chOff x="0" y="0"/>
                          <a:chExt cx="8912225" cy="4143375"/>
                        </a:xfrm>
                      </wpg:grpSpPr>
                      <wps:wsp>
                        <wps:cNvPr id="581644480" name="Rectangle 10"/>
                        <wps:cNvSpPr>
                          <a:spLocks noChangeArrowheads="1"/>
                        </wps:cNvSpPr>
                        <wps:spPr bwMode="auto">
                          <a:xfrm>
                            <a:off x="3071813" y="922337"/>
                            <a:ext cx="2700337" cy="215900"/>
                          </a:xfrm>
                          <a:prstGeom prst="rect">
                            <a:avLst/>
                          </a:prstGeom>
                          <a:solidFill>
                            <a:sysClr val="window" lastClr="FFFFFF"/>
                          </a:solidFill>
                          <a:ln w="12700" algn="ctr">
                            <a:solidFill>
                              <a:srgbClr val="FF0000"/>
                            </a:solidFill>
                            <a:miter lim="800000"/>
                            <a:headEnd/>
                            <a:tailEnd/>
                          </a:ln>
                          <a:effectLst>
                            <a:outerShdw blurRad="50800" dist="38100" dir="2700000" algn="tl" rotWithShape="0">
                              <a:srgbClr val="FF0000">
                                <a:alpha val="40000"/>
                              </a:srgbClr>
                            </a:outerShdw>
                          </a:effectLst>
                        </wps:spPr>
                        <wps:txbx>
                          <w:txbxContent>
                            <w:p w14:paraId="7983AEA9" w14:textId="77777777" w:rsidR="00F25FCF" w:rsidRDefault="00F25FCF" w:rsidP="000F5770">
                              <w:pPr>
                                <w:pStyle w:val="NormalWeb"/>
                                <w:spacing w:before="0" w:after="0"/>
                                <w:jc w:val="center"/>
                              </w:pPr>
                              <w:r>
                                <w:rPr>
                                  <w:rFonts w:ascii="Arial Narrow" w:eastAsia="Microsoft YaHei" w:hAnsi="Arial Narrow" w:cs="Arial"/>
                                  <w:b/>
                                  <w:bCs/>
                                  <w:color w:val="0D0D0D"/>
                                  <w14:textFill>
                                    <w14:solidFill>
                                      <w14:srgbClr w14:val="0D0D0D">
                                        <w14:lumMod w14:val="95000"/>
                                        <w14:lumOff w14:val="5000"/>
                                      </w14:srgbClr>
                                    </w14:solidFill>
                                  </w14:textFill>
                                </w:rPr>
                                <w:t>ГЕНЕРАЛЬНИЙ ШТАБ ЗБРОЙНИХ СИЛ УКРАЇНИ</w:t>
                              </w:r>
                            </w:p>
                          </w:txbxContent>
                        </wps:txbx>
                        <wps:bodyPr lIns="0" tIns="0" rIns="0" bIns="0" anchor="ctr"/>
                      </wps:wsp>
                      <wps:wsp>
                        <wps:cNvPr id="1546203917" name="Rectangle 5815"/>
                        <wps:cNvSpPr>
                          <a:spLocks noChangeArrowheads="1"/>
                        </wps:cNvSpPr>
                        <wps:spPr bwMode="auto">
                          <a:xfrm>
                            <a:off x="1943100" y="3621087"/>
                            <a:ext cx="1439863" cy="522288"/>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18F3D313"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Української військово-медичної академії </w:t>
                              </w:r>
                            </w:p>
                            <w:p w14:paraId="5CF54356" w14:textId="77777777" w:rsidR="00F25FCF" w:rsidRDefault="00F25FCF" w:rsidP="00FB1BC6">
                              <w:pPr>
                                <w:pStyle w:val="NormalWeb"/>
                                <w:spacing w:before="0" w:after="0"/>
                                <w:ind w:firstLine="0"/>
                                <w:jc w:val="center"/>
                              </w:pPr>
                              <w:r>
                                <w:rPr>
                                  <w:rFonts w:ascii="Arial Narrow" w:eastAsia="Microsoft YaHei" w:hAnsi="Arial Narrow" w:cs="Arial"/>
                                  <w:i/>
                                  <w:iCs/>
                                  <w:color w:val="0D0D0D"/>
                                  <w:sz w:val="16"/>
                                  <w:szCs w:val="16"/>
                                  <w14:textFill>
                                    <w14:solidFill>
                                      <w14:srgbClr w14:val="0D0D0D">
                                        <w14:lumMod w14:val="95000"/>
                                        <w14:lumOff w14:val="5000"/>
                                      </w14:srgbClr>
                                    </w14:solidFill>
                                  </w14:textFill>
                                </w:rPr>
                                <w:t>(Науково-дослідний інститут проблем військової медицини)</w:t>
                              </w:r>
                            </w:p>
                          </w:txbxContent>
                        </wps:txbx>
                        <wps:bodyPr lIns="0" tIns="0" rIns="0" bIns="0" anchor="ctr"/>
                      </wps:wsp>
                      <wps:wsp>
                        <wps:cNvPr id="519335212" name="Rectangle 10"/>
                        <wps:cNvSpPr>
                          <a:spLocks noChangeArrowheads="1"/>
                        </wps:cNvSpPr>
                        <wps:spPr bwMode="auto">
                          <a:xfrm>
                            <a:off x="1371600" y="1238250"/>
                            <a:ext cx="1362075" cy="417512"/>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543D9BBF"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Науково-дослідний центр </w:t>
                              </w:r>
                            </w:p>
                            <w:p w14:paraId="5A8CBFAF"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гуманітарних </w:t>
                              </w:r>
                              <w:r>
                                <w:rPr>
                                  <w:rFonts w:ascii="Arial Narrow" w:eastAsia="Microsoft YaHei" w:hAnsi="Arial Narrow" w:cs="Arial"/>
                                  <w:b/>
                                  <w:bCs/>
                                  <w:color w:val="0D0D0D"/>
                                  <w:sz w:val="16"/>
                                  <w:szCs w:val="16"/>
                                  <w:lang w:val="ru-RU"/>
                                  <w14:textFill>
                                    <w14:solidFill>
                                      <w14:srgbClr w14:val="0D0D0D">
                                        <w14:lumMod w14:val="95000"/>
                                        <w14:lumOff w14:val="5000"/>
                                      </w14:srgbClr>
                                    </w14:solidFill>
                                  </w14:textFill>
                                </w:rPr>
                                <w:t xml:space="preserve">проблем </w:t>
                              </w:r>
                            </w:p>
                            <w:p w14:paraId="64A2797C"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ЗС України</w:t>
                              </w:r>
                            </w:p>
                          </w:txbxContent>
                        </wps:txbx>
                        <wps:bodyPr lIns="0" tIns="0" rIns="0" bIns="0" anchor="ctr"/>
                      </wps:wsp>
                      <wps:wsp>
                        <wps:cNvPr id="484903149" name="Rectangle 10"/>
                        <wps:cNvSpPr>
                          <a:spLocks noChangeArrowheads="1"/>
                        </wps:cNvSpPr>
                        <wps:spPr bwMode="auto">
                          <a:xfrm>
                            <a:off x="3783013" y="1168400"/>
                            <a:ext cx="1360487" cy="520700"/>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5F2CBD9E" w14:textId="77777777" w:rsidR="00F25FCF" w:rsidRDefault="00F25FCF" w:rsidP="00FB1BC6">
                              <w:pPr>
                                <w:pStyle w:val="NormalWeb"/>
                                <w:spacing w:before="0" w:after="0"/>
                                <w:ind w:firstLine="0"/>
                                <w:jc w:val="center"/>
                                <w:textAlignment w:val="baseline"/>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 Державний науково-дослідний інститут випробувань і  сертифікації </w:t>
                              </w:r>
                              <w:r>
                                <w:rPr>
                                  <w:rFonts w:ascii="Arial Narrow" w:hAnsi="Arial Narrow" w:cs="Arial"/>
                                  <w:b/>
                                  <w:bCs/>
                                  <w:color w:val="0D0D0D"/>
                                  <w:sz w:val="16"/>
                                  <w:szCs w:val="16"/>
                                  <w14:textFill>
                                    <w14:solidFill>
                                      <w14:srgbClr w14:val="0D0D0D">
                                        <w14:lumMod w14:val="95000"/>
                                        <w14:lumOff w14:val="5000"/>
                                      </w14:srgbClr>
                                    </w14:solidFill>
                                  </w14:textFill>
                                </w:rPr>
                                <w:t xml:space="preserve">озброєння та військової техніки </w:t>
                              </w:r>
                            </w:p>
                          </w:txbxContent>
                        </wps:txbx>
                        <wps:bodyPr lIns="0" tIns="0" rIns="0" bIns="0" anchor="ctr"/>
                      </wps:wsp>
                      <wps:wsp>
                        <wps:cNvPr id="838006004" name="Rectangle 14"/>
                        <wps:cNvSpPr>
                          <a:spLocks noChangeArrowheads="1"/>
                        </wps:cNvSpPr>
                        <wps:spPr bwMode="auto">
                          <a:xfrm>
                            <a:off x="0" y="3252787"/>
                            <a:ext cx="1138238" cy="652463"/>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289E1F5E"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Військового інституту телекомунікацій та інформатизації </w:t>
                              </w:r>
                              <w:r>
                                <w:rPr>
                                  <w:rFonts w:ascii="Arial Narrow" w:eastAsia="Microsoft YaHei" w:hAnsi="Arial Narrow" w:cs="Arial"/>
                                  <w:b/>
                                  <w:bCs/>
                                  <w:color w:val="0D0D0D"/>
                                  <w:sz w:val="16"/>
                                  <w:szCs w:val="16"/>
                                  <w14:textFill>
                                    <w14:solidFill>
                                      <w14:srgbClr w14:val="0D0D0D">
                                        <w14:lumMod w14:val="95000"/>
                                        <w14:lumOff w14:val="5000"/>
                                      </w14:srgbClr>
                                    </w14:solidFill>
                                  </w14:textFill>
                                </w:rPr>
                                <w:br/>
                              </w:r>
                              <w:r>
                                <w:rPr>
                                  <w:rFonts w:ascii="Arial Narrow" w:eastAsia="Microsoft YaHei" w:hAnsi="Arial Narrow" w:cs="Arial"/>
                                  <w:i/>
                                  <w:iCs/>
                                  <w:color w:val="0D0D0D"/>
                                  <w:sz w:val="16"/>
                                  <w:szCs w:val="16"/>
                                  <w14:textFill>
                                    <w14:solidFill>
                                      <w14:srgbClr w14:val="0D0D0D">
                                        <w14:lumMod w14:val="95000"/>
                                        <w14:lumOff w14:val="5000"/>
                                      </w14:srgbClr>
                                    </w14:solidFill>
                                  </w14:textFill>
                                </w:rPr>
                                <w:t>(Науковий центр зв</w:t>
                              </w:r>
                              <w:r>
                                <w:rPr>
                                  <w:rFonts w:ascii="Arial Narrow" w:eastAsia="Microsoft YaHei" w:hAnsi="Arial Narrow" w:cs="Arial"/>
                                  <w:i/>
                                  <w:iCs/>
                                  <w:color w:val="0D0D0D"/>
                                  <w:sz w:val="16"/>
                                  <w:szCs w:val="16"/>
                                  <w:lang w:val="en-US"/>
                                  <w14:textFill>
                                    <w14:solidFill>
                                      <w14:srgbClr w14:val="0D0D0D">
                                        <w14:lumMod w14:val="95000"/>
                                        <w14:lumOff w14:val="5000"/>
                                      </w14:srgbClr>
                                    </w14:solidFill>
                                  </w14:textFill>
                                </w:rPr>
                                <w:t>’</w:t>
                              </w:r>
                              <w:r>
                                <w:rPr>
                                  <w:rFonts w:ascii="Arial Narrow" w:eastAsia="Microsoft YaHei" w:hAnsi="Arial Narrow" w:cs="Arial"/>
                                  <w:i/>
                                  <w:iCs/>
                                  <w:color w:val="0D0D0D"/>
                                  <w:sz w:val="16"/>
                                  <w:szCs w:val="16"/>
                                  <w14:textFill>
                                    <w14:solidFill>
                                      <w14:srgbClr w14:val="0D0D0D">
                                        <w14:lumMod w14:val="95000"/>
                                        <w14:lumOff w14:val="5000"/>
                                      </w14:srgbClr>
                                    </w14:solidFill>
                                  </w14:textFill>
                                </w:rPr>
                                <w:t xml:space="preserve">язку та інформатизації)  </w:t>
                              </w:r>
                            </w:p>
                          </w:txbxContent>
                        </wps:txbx>
                        <wps:bodyPr lIns="0" tIns="0" rIns="0" bIns="0" anchor="ctr"/>
                      </wps:wsp>
                      <wps:wsp>
                        <wps:cNvPr id="1801527921" name="Rectangle 10"/>
                        <wps:cNvSpPr>
                          <a:spLocks noChangeArrowheads="1"/>
                        </wps:cNvSpPr>
                        <wps:spPr bwMode="auto">
                          <a:xfrm>
                            <a:off x="2533650" y="0"/>
                            <a:ext cx="3852863" cy="215900"/>
                          </a:xfrm>
                          <a:prstGeom prst="rect">
                            <a:avLst/>
                          </a:prstGeom>
                          <a:solidFill>
                            <a:sysClr val="window" lastClr="FFFFFF"/>
                          </a:solidFill>
                          <a:ln w="12700" algn="ctr">
                            <a:solidFill>
                              <a:srgbClr val="FF0000"/>
                            </a:solidFill>
                            <a:miter lim="800000"/>
                            <a:headEnd/>
                            <a:tailEnd/>
                          </a:ln>
                          <a:effectLst>
                            <a:outerShdw blurRad="50800" dist="38100" dir="2700000" algn="tl" rotWithShape="0">
                              <a:srgbClr val="FF0000">
                                <a:alpha val="40000"/>
                              </a:srgbClr>
                            </a:outerShdw>
                          </a:effectLst>
                        </wps:spPr>
                        <wps:txbx>
                          <w:txbxContent>
                            <w:p w14:paraId="334B7EEE" w14:textId="77777777" w:rsidR="00F25FCF" w:rsidRDefault="00F25FCF" w:rsidP="000F5770">
                              <w:pPr>
                                <w:pStyle w:val="NormalWeb"/>
                                <w:spacing w:before="0" w:after="0"/>
                                <w:jc w:val="center"/>
                              </w:pPr>
                              <w:r>
                                <w:rPr>
                                  <w:rFonts w:ascii="Arial Narrow" w:eastAsia="Microsoft YaHei" w:hAnsi="Arial Narrow" w:cs="Arial"/>
                                  <w:b/>
                                  <w:bCs/>
                                  <w:color w:val="0D0D0D"/>
                                  <w14:textFill>
                                    <w14:solidFill>
                                      <w14:srgbClr w14:val="0D0D0D">
                                        <w14:lumMod w14:val="95000"/>
                                        <w14:lumOff w14:val="5000"/>
                                      </w14:srgbClr>
                                    </w14:solidFill>
                                  </w14:textFill>
                                </w:rPr>
                                <w:t>МІНІСТЕРСТВО ОБОРОНИ УКРАЇНИ</w:t>
                              </w:r>
                            </w:p>
                          </w:txbxContent>
                        </wps:txbx>
                        <wps:bodyPr lIns="0" tIns="0" rIns="0" bIns="0" anchor="ctr"/>
                      </wps:wsp>
                      <wps:wsp>
                        <wps:cNvPr id="1689838132" name="Rectangle 10"/>
                        <wps:cNvSpPr>
                          <a:spLocks noChangeArrowheads="1"/>
                        </wps:cNvSpPr>
                        <wps:spPr bwMode="auto">
                          <a:xfrm>
                            <a:off x="1495425" y="274637"/>
                            <a:ext cx="1116013" cy="522288"/>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33DB7ACD"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Центральний </w:t>
                              </w:r>
                            </w:p>
                            <w:p w14:paraId="0602D5EE"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науково-дослідний інститут</w:t>
                              </w:r>
                            </w:p>
                            <w:p w14:paraId="35D5BB91" w14:textId="77777777" w:rsidR="00F25FCF" w:rsidRDefault="00F25FCF" w:rsidP="00FB1BC6">
                              <w:pPr>
                                <w:pStyle w:val="NormalWeb"/>
                                <w:spacing w:before="0" w:after="0"/>
                                <w:ind w:firstLine="0"/>
                                <w:jc w:val="center"/>
                              </w:pPr>
                              <w:r>
                                <w:rPr>
                                  <w:rFonts w:ascii="Arial Narrow" w:eastAsia="Microsoft YaHei" w:hAnsi="Arial Narrow" w:cs="Arial"/>
                                  <w:b/>
                                  <w:bCs/>
                                  <w:color w:val="0D0D0D"/>
                                  <w:spacing w:val="-4"/>
                                  <w:sz w:val="16"/>
                                  <w:szCs w:val="16"/>
                                  <w14:textFill>
                                    <w14:solidFill>
                                      <w14:srgbClr w14:val="0D0D0D">
                                        <w14:lumMod w14:val="95000"/>
                                        <w14:lumOff w14:val="5000"/>
                                      </w14:srgbClr>
                                    </w14:solidFill>
                                  </w14:textFill>
                                </w:rPr>
                                <w:t xml:space="preserve">ОВТ </w:t>
                              </w:r>
                              <w:r>
                                <w:rPr>
                                  <w:rFonts w:ascii="Arial Narrow" w:eastAsia="Microsoft YaHei" w:hAnsi="Arial Narrow" w:cs="Arial"/>
                                  <w:b/>
                                  <w:bCs/>
                                  <w:color w:val="0D0D0D"/>
                                  <w:sz w:val="16"/>
                                  <w:szCs w:val="16"/>
                                  <w14:textFill>
                                    <w14:solidFill>
                                      <w14:srgbClr w14:val="0D0D0D">
                                        <w14:lumMod w14:val="95000"/>
                                        <w14:lumOff w14:val="5000"/>
                                      </w14:srgbClr>
                                    </w14:solidFill>
                                  </w14:textFill>
                                </w:rPr>
                                <w:t>ЗС України</w:t>
                              </w:r>
                            </w:p>
                          </w:txbxContent>
                        </wps:txbx>
                        <wps:bodyPr lIns="0" tIns="0" rIns="0" bIns="0" anchor="ctr"/>
                      </wps:wsp>
                      <wps:wsp>
                        <wps:cNvPr id="651558847" name="Rectangle 10"/>
                        <wps:cNvSpPr>
                          <a:spLocks noChangeArrowheads="1"/>
                        </wps:cNvSpPr>
                        <wps:spPr bwMode="auto">
                          <a:xfrm>
                            <a:off x="2746375" y="277812"/>
                            <a:ext cx="1116013" cy="520700"/>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2B4E0A3C"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Державний </w:t>
                              </w:r>
                            </w:p>
                            <w:p w14:paraId="6BEB5D29"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науково-дослідний інститут авіації  </w:t>
                              </w:r>
                            </w:p>
                          </w:txbxContent>
                        </wps:txbx>
                        <wps:bodyPr lIns="0" tIns="0" rIns="0" bIns="0" anchor="ctr"/>
                      </wps:wsp>
                      <wps:wsp>
                        <wps:cNvPr id="1539194208" name="Rectangle 11"/>
                        <wps:cNvSpPr>
                          <a:spLocks noChangeArrowheads="1"/>
                        </wps:cNvSpPr>
                        <wps:spPr bwMode="auto">
                          <a:xfrm>
                            <a:off x="1588" y="273050"/>
                            <a:ext cx="1360487" cy="522287"/>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299C368E"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Національний університет оборони України</w:t>
                              </w:r>
                            </w:p>
                            <w:p w14:paraId="68E5A679" w14:textId="77777777" w:rsidR="00F25FCF" w:rsidRDefault="00F25FCF" w:rsidP="00FB1BC6">
                              <w:pPr>
                                <w:pStyle w:val="NormalWeb"/>
                                <w:spacing w:before="0" w:after="0"/>
                                <w:ind w:firstLine="0"/>
                                <w:jc w:val="center"/>
                              </w:pPr>
                              <w:r>
                                <w:rPr>
                                  <w:rFonts w:ascii="Arial Narrow" w:eastAsia="Microsoft YaHei" w:hAnsi="Arial Narrow" w:cs="Arial"/>
                                  <w:i/>
                                  <w:iCs/>
                                  <w:color w:val="0D0D0D"/>
                                  <w:sz w:val="16"/>
                                  <w:szCs w:val="16"/>
                                  <w14:textFill>
                                    <w14:solidFill>
                                      <w14:srgbClr w14:val="0D0D0D">
                                        <w14:lumMod w14:val="95000"/>
                                        <w14:lumOff w14:val="5000"/>
                                      </w14:srgbClr>
                                    </w14:solidFill>
                                  </w14:textFill>
                                </w:rPr>
                                <w:t>(Центр воєнно-стратегічних досліджень, інші наук. підрозділи)</w:t>
                              </w:r>
                            </w:p>
                          </w:txbxContent>
                        </wps:txbx>
                        <wps:bodyPr lIns="0" tIns="0" rIns="0" bIns="0" anchor="ctr"/>
                      </wps:wsp>
                      <wps:wsp>
                        <wps:cNvPr id="870180592" name="Rectangle 13"/>
                        <wps:cNvSpPr>
                          <a:spLocks noChangeArrowheads="1"/>
                        </wps:cNvSpPr>
                        <wps:spPr bwMode="auto">
                          <a:xfrm>
                            <a:off x="4008438" y="273050"/>
                            <a:ext cx="1116012" cy="522287"/>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524694DD"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Науково-дослідний інститут</w:t>
                              </w:r>
                            </w:p>
                            <w:p w14:paraId="78C9CD34" w14:textId="77777777" w:rsidR="00F25FCF" w:rsidRDefault="00F25FCF" w:rsidP="00FB1BC6">
                              <w:pPr>
                                <w:pStyle w:val="NormalWeb"/>
                                <w:spacing w:before="0" w:after="0"/>
                                <w:ind w:firstLine="0"/>
                                <w:jc w:val="center"/>
                              </w:pPr>
                              <w:r>
                                <w:rPr>
                                  <w:rFonts w:ascii="Arial Narrow" w:hAnsi="Arial Narrow" w:cs="Arial"/>
                                  <w:b/>
                                  <w:bCs/>
                                  <w:color w:val="0D0D0D"/>
                                  <w:sz w:val="16"/>
                                  <w:szCs w:val="16"/>
                                  <w14:textFill>
                                    <w14:solidFill>
                                      <w14:srgbClr w14:val="0D0D0D">
                                        <w14:lumMod w14:val="95000"/>
                                        <w14:lumOff w14:val="5000"/>
                                      </w14:srgbClr>
                                    </w14:solidFill>
                                  </w14:textFill>
                                </w:rPr>
                                <w:t>воєнної розвідки</w:t>
                              </w:r>
                            </w:p>
                          </w:txbxContent>
                        </wps:txbx>
                        <wps:bodyPr lIns="0" tIns="0" rIns="0" bIns="0" anchor="ctr"/>
                      </wps:wsp>
                      <wps:wsp>
                        <wps:cNvPr id="1319887006" name="Rectangle 10"/>
                        <wps:cNvSpPr>
                          <a:spLocks noChangeArrowheads="1"/>
                        </wps:cNvSpPr>
                        <wps:spPr bwMode="auto">
                          <a:xfrm>
                            <a:off x="6537325" y="269875"/>
                            <a:ext cx="1116013" cy="522287"/>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4EB33138"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Науково-методичний </w:t>
                              </w:r>
                              <w:r>
                                <w:rPr>
                                  <w:rFonts w:ascii="Arial Narrow" w:eastAsia="Microsoft YaHei" w:hAnsi="Arial Narrow" w:cs="Arial"/>
                                  <w:b/>
                                  <w:bCs/>
                                  <w:color w:val="0D0D0D"/>
                                  <w:sz w:val="16"/>
                                  <w:szCs w:val="16"/>
                                  <w14:textFill>
                                    <w14:solidFill>
                                      <w14:srgbClr w14:val="0D0D0D">
                                        <w14:lumMod w14:val="95000"/>
                                        <w14:lumOff w14:val="5000"/>
                                      </w14:srgbClr>
                                    </w14:solidFill>
                                  </w14:textFill>
                                </w:rPr>
                                <w:br/>
                                <w:t>центр кадрової політики МО України</w:t>
                              </w:r>
                            </w:p>
                          </w:txbxContent>
                        </wps:txbx>
                        <wps:bodyPr lIns="0" tIns="0" rIns="0" bIns="0" anchor="ctr"/>
                      </wps:wsp>
                      <wps:wsp>
                        <wps:cNvPr id="1901429895" name="Rectangle 13"/>
                        <wps:cNvSpPr>
                          <a:spLocks noChangeArrowheads="1"/>
                        </wps:cNvSpPr>
                        <wps:spPr bwMode="auto">
                          <a:xfrm>
                            <a:off x="7796213" y="268287"/>
                            <a:ext cx="1116012" cy="522288"/>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3F87489B"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Військово-юридичний</w:t>
                              </w:r>
                            </w:p>
                            <w:p w14:paraId="43F93F98"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інститут Національного </w:t>
                              </w:r>
                              <w:r>
                                <w:rPr>
                                  <w:rFonts w:ascii="Arial Narrow" w:eastAsia="Microsoft YaHei" w:hAnsi="Arial Narrow" w:cs="Arial"/>
                                  <w:b/>
                                  <w:bCs/>
                                  <w:color w:val="0D0D0D"/>
                                  <w:spacing w:val="-4"/>
                                  <w:sz w:val="16"/>
                                  <w:szCs w:val="16"/>
                                  <w14:textFill>
                                    <w14:solidFill>
                                      <w14:srgbClr w14:val="0D0D0D">
                                        <w14:lumMod w14:val="95000"/>
                                        <w14:lumOff w14:val="5000"/>
                                      </w14:srgbClr>
                                    </w14:solidFill>
                                  </w14:textFill>
                                </w:rPr>
                                <w:t xml:space="preserve">юридичного університету </w:t>
                              </w:r>
                            </w:p>
                            <w:p w14:paraId="4C098987" w14:textId="77777777" w:rsidR="00F25FCF" w:rsidRDefault="00F25FCF" w:rsidP="000F5770">
                              <w:pPr>
                                <w:pStyle w:val="NormalWeb"/>
                                <w:spacing w:before="0" w:after="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ім. Я. Мудрого </w:t>
                              </w:r>
                              <w:r>
                                <w:rPr>
                                  <w:rFonts w:ascii="Arial Narrow" w:eastAsia="Microsoft YaHei" w:hAnsi="Arial Narrow" w:cs="Arial"/>
                                  <w:b/>
                                  <w:bCs/>
                                  <w:i/>
                                  <w:iCs/>
                                  <w:color w:val="0D0D0D"/>
                                  <w:sz w:val="16"/>
                                  <w:szCs w:val="16"/>
                                  <w14:textFill>
                                    <w14:solidFill>
                                      <w14:srgbClr w14:val="0D0D0D">
                                        <w14:lumMod w14:val="95000"/>
                                        <w14:lumOff w14:val="5000"/>
                                      </w14:srgbClr>
                                    </w14:solidFill>
                                  </w14:textFill>
                                </w:rPr>
                                <w:t xml:space="preserve">(НДЛ)  </w:t>
                              </w:r>
                            </w:p>
                          </w:txbxContent>
                        </wps:txbx>
                        <wps:bodyPr lIns="0" tIns="0" rIns="0" bIns="0" anchor="ctr"/>
                      </wps:wsp>
                      <wps:wsp>
                        <wps:cNvPr id="1783374887" name="Rectangle 10"/>
                        <wps:cNvSpPr>
                          <a:spLocks noChangeArrowheads="1"/>
                        </wps:cNvSpPr>
                        <wps:spPr bwMode="auto">
                          <a:xfrm>
                            <a:off x="11113" y="1173162"/>
                            <a:ext cx="1360487" cy="417513"/>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541181AB" w14:textId="77777777" w:rsidR="00F25FCF" w:rsidRDefault="00F25FCF" w:rsidP="00FB1BC6">
                              <w:pPr>
                                <w:pStyle w:val="NormalWeb"/>
                                <w:tabs>
                                  <w:tab w:val="left" w:pos="0"/>
                                </w:tabs>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Центральний </w:t>
                              </w:r>
                            </w:p>
                            <w:p w14:paraId="3EA866B2" w14:textId="77777777" w:rsidR="00F25FCF" w:rsidRDefault="00F25FCF" w:rsidP="00FB1BC6">
                              <w:pPr>
                                <w:pStyle w:val="NormalWeb"/>
                                <w:tabs>
                                  <w:tab w:val="left" w:pos="0"/>
                                </w:tabs>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науково-дослідний інститут</w:t>
                              </w:r>
                            </w:p>
                            <w:p w14:paraId="5D7891E1" w14:textId="77777777" w:rsidR="00F25FCF" w:rsidRDefault="00F25FCF" w:rsidP="00FB1BC6">
                              <w:pPr>
                                <w:pStyle w:val="NormalWeb"/>
                                <w:tabs>
                                  <w:tab w:val="left" w:pos="0"/>
                                </w:tabs>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ЗС України </w:t>
                              </w:r>
                            </w:p>
                          </w:txbxContent>
                        </wps:txbx>
                        <wps:bodyPr lIns="0" tIns="0" rIns="0" bIns="0" anchor="ctr"/>
                      </wps:wsp>
                      <wps:wsp>
                        <wps:cNvPr id="757285822" name="Rectangle 10"/>
                        <wps:cNvSpPr>
                          <a:spLocks noChangeArrowheads="1"/>
                        </wps:cNvSpPr>
                        <wps:spPr bwMode="auto">
                          <a:xfrm>
                            <a:off x="69850" y="922337"/>
                            <a:ext cx="2700338" cy="215900"/>
                          </a:xfrm>
                          <a:prstGeom prst="rect">
                            <a:avLst/>
                          </a:prstGeom>
                          <a:solidFill>
                            <a:sysClr val="window" lastClr="FFFFFF"/>
                          </a:solidFill>
                          <a:ln w="12700" algn="ctr">
                            <a:solidFill>
                              <a:srgbClr val="FF0000"/>
                            </a:solidFill>
                            <a:miter lim="800000"/>
                            <a:headEnd/>
                            <a:tailEnd/>
                          </a:ln>
                          <a:effectLst>
                            <a:outerShdw blurRad="50800" dist="38100" dir="2700000" algn="tl" rotWithShape="0">
                              <a:srgbClr val="FF0000">
                                <a:alpha val="40000"/>
                              </a:srgbClr>
                            </a:outerShdw>
                          </a:effectLst>
                        </wps:spPr>
                        <wps:txbx>
                          <w:txbxContent>
                            <w:p w14:paraId="7CC2E8FB" w14:textId="77777777" w:rsidR="00F25FCF" w:rsidRDefault="00F25FCF" w:rsidP="000F5770">
                              <w:pPr>
                                <w:pStyle w:val="NormalWeb"/>
                                <w:spacing w:before="0" w:after="0"/>
                                <w:jc w:val="center"/>
                              </w:pPr>
                              <w:r>
                                <w:rPr>
                                  <w:rFonts w:ascii="Arial Narrow" w:eastAsia="Microsoft YaHei" w:hAnsi="Arial Narrow" w:cs="Arial"/>
                                  <w:b/>
                                  <w:bCs/>
                                  <w:color w:val="0D0D0D"/>
                                  <w14:textFill>
                                    <w14:solidFill>
                                      <w14:srgbClr w14:val="0D0D0D">
                                        <w14:lumMod w14:val="95000"/>
                                        <w14:lumOff w14:val="5000"/>
                                      </w14:srgbClr>
                                    </w14:solidFill>
                                  </w14:textFill>
                                </w:rPr>
                                <w:t>ГОЛОВНОКОМАНДУВАЧ ЗБРОЙНИХ СИЛ УКРАЇНИ</w:t>
                              </w:r>
                            </w:p>
                          </w:txbxContent>
                        </wps:txbx>
                        <wps:bodyPr lIns="0" tIns="0" rIns="0" bIns="0" anchor="ctr"/>
                      </wps:wsp>
                      <wps:wsp>
                        <wps:cNvPr id="423971262" name="Rectangle 10"/>
                        <wps:cNvSpPr>
                          <a:spLocks noChangeArrowheads="1"/>
                        </wps:cNvSpPr>
                        <wps:spPr bwMode="auto">
                          <a:xfrm>
                            <a:off x="7269163" y="2114550"/>
                            <a:ext cx="1439862" cy="647700"/>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742DC0EA" w14:textId="77777777" w:rsidR="00F25FCF" w:rsidRDefault="00F25FCF" w:rsidP="00FB1BC6">
                              <w:pPr>
                                <w:pStyle w:val="NormalWeb"/>
                                <w:spacing w:before="0" w:after="0"/>
                                <w:ind w:firstLine="0"/>
                                <w:jc w:val="center"/>
                                <w:textAlignment w:val="baseline"/>
                              </w:pPr>
                              <w:r>
                                <w:rPr>
                                  <w:rFonts w:ascii="Arial Narrow" w:eastAsia="Microsoft YaHei" w:hAnsi="Arial Narrow" w:cs="Arial"/>
                                  <w:b/>
                                  <w:bCs/>
                                  <w:color w:val="0D0D0D"/>
                                  <w:sz w:val="16"/>
                                  <w:szCs w:val="16"/>
                                  <w14:textFill>
                                    <w14:solidFill>
                                      <w14:srgbClr w14:val="0D0D0D">
                                        <w14:lumMod w14:val="95000"/>
                                        <w14:lumOff w14:val="5000"/>
                                      </w14:srgbClr>
                                    </w14:solidFill>
                                  </w14:textFill>
                                </w:rPr>
                                <w:t>Інститут Військово-Морських</w:t>
                              </w:r>
                              <w:r>
                                <w:rPr>
                                  <w:rFonts w:ascii="Arial Narrow" w:eastAsia="Microsoft YaHei" w:hAnsi="Arial Narrow" w:cs="Arial"/>
                                  <w:b/>
                                  <w:bCs/>
                                  <w:color w:val="0D0D0D"/>
                                  <w:sz w:val="16"/>
                                  <w:szCs w:val="16"/>
                                  <w14:textFill>
                                    <w14:solidFill>
                                      <w14:srgbClr w14:val="0D0D0D">
                                        <w14:lumMod w14:val="95000"/>
                                        <w14:lumOff w14:val="5000"/>
                                      </w14:srgbClr>
                                    </w14:solidFill>
                                  </w14:textFill>
                                </w:rPr>
                                <w:br/>
                                <w:t xml:space="preserve"> Сил Національного університету “Одеська морська академія”</w:t>
                              </w:r>
                            </w:p>
                            <w:p w14:paraId="1A4EBA5C" w14:textId="77777777" w:rsidR="00F25FCF" w:rsidRDefault="00F25FCF" w:rsidP="00FB1BC6">
                              <w:pPr>
                                <w:pStyle w:val="NormalWeb"/>
                                <w:spacing w:before="0" w:after="0"/>
                                <w:ind w:firstLine="0"/>
                                <w:jc w:val="center"/>
                                <w:textAlignment w:val="baseline"/>
                              </w:pPr>
                              <w:r>
                                <w:rPr>
                                  <w:rFonts w:ascii="Arial Narrow" w:eastAsia="Microsoft YaHei" w:hAnsi="Arial Narrow" w:cs="Arial"/>
                                  <w:i/>
                                  <w:iCs/>
                                  <w:color w:val="0D0D0D"/>
                                  <w:sz w:val="16"/>
                                  <w:szCs w:val="16"/>
                                  <w14:textFill>
                                    <w14:solidFill>
                                      <w14:srgbClr w14:val="0D0D0D">
                                        <w14:lumMod w14:val="95000"/>
                                        <w14:lumOff w14:val="5000"/>
                                      </w14:srgbClr>
                                    </w14:solidFill>
                                  </w14:textFill>
                                </w:rPr>
                                <w:t>(Науково-дослідний центр ЗС України «Державний океанаріум»)</w:t>
                              </w:r>
                            </w:p>
                          </w:txbxContent>
                        </wps:txbx>
                        <wps:bodyPr lIns="0" tIns="0" rIns="0" bIns="0" anchor="ctr"/>
                      </wps:wsp>
                      <wps:wsp>
                        <wps:cNvPr id="1496527802" name="Rectangle 8"/>
                        <wps:cNvSpPr>
                          <a:spLocks noChangeArrowheads="1"/>
                        </wps:cNvSpPr>
                        <wps:spPr bwMode="auto">
                          <a:xfrm>
                            <a:off x="4951413" y="2114550"/>
                            <a:ext cx="1439862" cy="436562"/>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7197455C"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Харківський національний університет Повітряних Сил</w:t>
                              </w:r>
                            </w:p>
                            <w:p w14:paraId="534CC797" w14:textId="77777777" w:rsidR="00F25FCF" w:rsidRDefault="00F25FCF" w:rsidP="00FB1BC6">
                              <w:pPr>
                                <w:pStyle w:val="NormalWeb"/>
                                <w:spacing w:before="0" w:after="0"/>
                                <w:ind w:firstLine="0"/>
                                <w:jc w:val="center"/>
                              </w:pPr>
                              <w:r>
                                <w:rPr>
                                  <w:rFonts w:ascii="Arial Narrow" w:eastAsia="Microsoft YaHei" w:hAnsi="Arial Narrow" w:cs="Arial"/>
                                  <w:i/>
                                  <w:iCs/>
                                  <w:color w:val="0D0D0D"/>
                                  <w:sz w:val="16"/>
                                  <w:szCs w:val="16"/>
                                  <w14:textFill>
                                    <w14:solidFill>
                                      <w14:srgbClr w14:val="0D0D0D">
                                        <w14:lumMod w14:val="95000"/>
                                        <w14:lumOff w14:val="5000"/>
                                      </w14:srgbClr>
                                    </w14:solidFill>
                                  </w14:textFill>
                                </w:rPr>
                                <w:t>(Науковий центр  Повітряних Сил)</w:t>
                              </w:r>
                            </w:p>
                          </w:txbxContent>
                        </wps:txbx>
                        <wps:bodyPr lIns="0" tIns="0" rIns="0" bIns="0" anchor="ctr"/>
                      </wps:wsp>
                      <wps:wsp>
                        <wps:cNvPr id="1842678345" name="Rectangle 15"/>
                        <wps:cNvSpPr>
                          <a:spLocks noChangeArrowheads="1"/>
                        </wps:cNvSpPr>
                        <wps:spPr bwMode="auto">
                          <a:xfrm>
                            <a:off x="1282700" y="2665412"/>
                            <a:ext cx="1136650" cy="522288"/>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4E1A2424"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Житомирський </w:t>
                              </w:r>
                            </w:p>
                            <w:p w14:paraId="5BE9571D"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військовий інститут</w:t>
                              </w:r>
                            </w:p>
                            <w:p w14:paraId="21BFCBCE" w14:textId="77777777" w:rsidR="00F25FCF" w:rsidRDefault="00F25FCF" w:rsidP="00FB1BC6">
                              <w:pPr>
                                <w:pStyle w:val="NormalWeb"/>
                                <w:spacing w:before="0" w:after="0"/>
                                <w:ind w:firstLine="0"/>
                                <w:jc w:val="center"/>
                              </w:pPr>
                              <w:r>
                                <w:rPr>
                                  <w:rFonts w:ascii="Arial Narrow" w:eastAsia="Microsoft YaHei" w:hAnsi="Arial Narrow" w:cs="Arial"/>
                                  <w:i/>
                                  <w:iCs/>
                                  <w:color w:val="0D0D0D"/>
                                  <w:sz w:val="16"/>
                                  <w:szCs w:val="16"/>
                                  <w14:textFill>
                                    <w14:solidFill>
                                      <w14:srgbClr w14:val="0D0D0D">
                                        <w14:lumMod w14:val="95000"/>
                                        <w14:lumOff w14:val="5000"/>
                                      </w14:srgbClr>
                                    </w14:solidFill>
                                  </w14:textFill>
                                </w:rPr>
                                <w:t>(Науково-дослідний центр</w:t>
                              </w:r>
                              <w:r>
                                <w:rPr>
                                  <w:rFonts w:ascii="Arial Narrow" w:eastAsia="Microsoft YaHei" w:hAnsi="Arial Narrow" w:cs="Arial"/>
                                  <w:b/>
                                  <w:bCs/>
                                  <w:color w:val="0D0D0D"/>
                                  <w:sz w:val="16"/>
                                  <w:szCs w:val="16"/>
                                  <w14:textFill>
                                    <w14:solidFill>
                                      <w14:srgbClr w14:val="0D0D0D">
                                        <w14:lumMod w14:val="95000"/>
                                        <w14:lumOff w14:val="5000"/>
                                      </w14:srgbClr>
                                    </w14:solidFill>
                                  </w14:textFill>
                                </w:rPr>
                                <w:t>)</w:t>
                              </w:r>
                            </w:p>
                          </w:txbxContent>
                        </wps:txbx>
                        <wps:bodyPr lIns="0" tIns="0" rIns="0" bIns="0" anchor="ctr"/>
                      </wps:wsp>
                      <wps:wsp>
                        <wps:cNvPr id="125578592" name="Rectangle 13"/>
                        <wps:cNvSpPr>
                          <a:spLocks noChangeArrowheads="1"/>
                        </wps:cNvSpPr>
                        <wps:spPr bwMode="auto">
                          <a:xfrm>
                            <a:off x="2559050" y="2085975"/>
                            <a:ext cx="1439863" cy="522287"/>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7EE5FD8B"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Військовий інститут </w:t>
                              </w:r>
                            </w:p>
                            <w:p w14:paraId="583CAA37"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Київського національного університету  ім. Т.Шевченка</w:t>
                              </w:r>
                            </w:p>
                            <w:p w14:paraId="2A5AEF67" w14:textId="77777777" w:rsidR="00F25FCF" w:rsidRDefault="00F25FCF" w:rsidP="00FB1BC6">
                              <w:pPr>
                                <w:pStyle w:val="NormalWeb"/>
                                <w:spacing w:before="0" w:after="0"/>
                                <w:ind w:firstLine="0"/>
                                <w:jc w:val="center"/>
                              </w:pPr>
                              <w:r>
                                <w:rPr>
                                  <w:rFonts w:ascii="Arial Narrow" w:eastAsia="Microsoft YaHei" w:hAnsi="Arial Narrow" w:cs="Arial"/>
                                  <w:i/>
                                  <w:iCs/>
                                  <w:color w:val="0D0D0D"/>
                                  <w:sz w:val="16"/>
                                  <w:szCs w:val="16"/>
                                  <w14:textFill>
                                    <w14:solidFill>
                                      <w14:srgbClr w14:val="0D0D0D">
                                        <w14:lumMod w14:val="95000"/>
                                        <w14:lumOff w14:val="5000"/>
                                      </w14:srgbClr>
                                    </w14:solidFill>
                                  </w14:textFill>
                                </w:rPr>
                                <w:t>(Науково-дослідний центр)</w:t>
                              </w:r>
                            </w:p>
                          </w:txbxContent>
                        </wps:txbx>
                        <wps:bodyPr lIns="0" tIns="0" rIns="0" bIns="0" anchor="ctr"/>
                      </wps:wsp>
                      <wps:wsp>
                        <wps:cNvPr id="1957862875" name="Rectangle 7"/>
                        <wps:cNvSpPr>
                          <a:spLocks noChangeArrowheads="1"/>
                        </wps:cNvSpPr>
                        <wps:spPr bwMode="auto">
                          <a:xfrm>
                            <a:off x="0" y="2085975"/>
                            <a:ext cx="1138238" cy="522287"/>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56DEBD44"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Національна  академія </w:t>
                              </w:r>
                            </w:p>
                            <w:p w14:paraId="3A0FC72D" w14:textId="77777777" w:rsidR="00F25FCF" w:rsidRDefault="00F25FCF" w:rsidP="00FB1BC6">
                              <w:pPr>
                                <w:pStyle w:val="NormalWeb"/>
                                <w:spacing w:before="0" w:after="0"/>
                                <w:ind w:firstLine="0"/>
                                <w:jc w:val="center"/>
                                <w:textAlignment w:val="baseline"/>
                              </w:pPr>
                              <w:r>
                                <w:rPr>
                                  <w:rFonts w:ascii="Arial Narrow" w:eastAsia="Microsoft YaHei" w:hAnsi="Arial Narrow" w:cs="Arial"/>
                                  <w:b/>
                                  <w:bCs/>
                                  <w:color w:val="0D0D0D"/>
                                  <w:sz w:val="16"/>
                                  <w:szCs w:val="16"/>
                                  <w14:textFill>
                                    <w14:solidFill>
                                      <w14:srgbClr w14:val="0D0D0D">
                                        <w14:lumMod w14:val="95000"/>
                                        <w14:lumOff w14:val="5000"/>
                                      </w14:srgbClr>
                                    </w14:solidFill>
                                  </w14:textFill>
                                </w:rPr>
                                <w:t>сухопутних військ</w:t>
                              </w:r>
                            </w:p>
                            <w:p w14:paraId="0A58CB4A" w14:textId="77777777" w:rsidR="00F25FCF" w:rsidRDefault="00F25FCF" w:rsidP="00FB1BC6">
                              <w:pPr>
                                <w:pStyle w:val="NormalWeb"/>
                                <w:spacing w:before="0" w:after="0"/>
                                <w:ind w:firstLine="0"/>
                                <w:jc w:val="center"/>
                                <w:textAlignment w:val="baseline"/>
                              </w:pPr>
                              <w:r>
                                <w:rPr>
                                  <w:rFonts w:ascii="Arial Narrow" w:eastAsia="Microsoft YaHei" w:hAnsi="Arial Narrow" w:cs="Arial"/>
                                  <w:i/>
                                  <w:iCs/>
                                  <w:color w:val="0D0D0D"/>
                                  <w:sz w:val="16"/>
                                  <w:szCs w:val="16"/>
                                  <w14:textFill>
                                    <w14:solidFill>
                                      <w14:srgbClr w14:val="0D0D0D">
                                        <w14:lumMod w14:val="95000"/>
                                        <w14:lumOff w14:val="5000"/>
                                      </w14:srgbClr>
                                    </w14:solidFill>
                                  </w14:textFill>
                                </w:rPr>
                                <w:t xml:space="preserve">(Науковий центр </w:t>
                              </w:r>
                              <w:r>
                                <w:rPr>
                                  <w:rFonts w:ascii="Arial Narrow" w:hAnsi="Arial Narrow" w:cs="Arial"/>
                                  <w:i/>
                                  <w:iCs/>
                                  <w:color w:val="0D0D0D"/>
                                  <w:sz w:val="16"/>
                                  <w:szCs w:val="16"/>
                                  <w14:textFill>
                                    <w14:solidFill>
                                      <w14:srgbClr w14:val="0D0D0D">
                                        <w14:lumMod w14:val="95000"/>
                                        <w14:lumOff w14:val="5000"/>
                                      </w14:srgbClr>
                                    </w14:solidFill>
                                  </w14:textFill>
                                </w:rPr>
                                <w:t>сухопутних військ)</w:t>
                              </w:r>
                              <w:r>
                                <w:rPr>
                                  <w:rFonts w:ascii="Arial Narrow" w:eastAsia="Microsoft YaHei" w:hAnsi="Arial Narrow" w:cs="Arial"/>
                                  <w:i/>
                                  <w:iCs/>
                                  <w:color w:val="0D0D0D"/>
                                  <w:sz w:val="16"/>
                                  <w:szCs w:val="16"/>
                                  <w14:textFill>
                                    <w14:solidFill>
                                      <w14:srgbClr w14:val="0D0D0D">
                                        <w14:lumMod w14:val="95000"/>
                                        <w14:lumOff w14:val="5000"/>
                                      </w14:srgbClr>
                                    </w14:solidFill>
                                  </w14:textFill>
                                </w:rPr>
                                <w:t xml:space="preserve">  </w:t>
                              </w:r>
                            </w:p>
                          </w:txbxContent>
                        </wps:txbx>
                        <wps:bodyPr lIns="0" tIns="0" rIns="0" bIns="0" anchor="ctr"/>
                      </wps:wsp>
                      <wps:wsp>
                        <wps:cNvPr id="250885638" name="Rectangle 10"/>
                        <wps:cNvSpPr>
                          <a:spLocks noChangeArrowheads="1"/>
                        </wps:cNvSpPr>
                        <wps:spPr bwMode="auto">
                          <a:xfrm>
                            <a:off x="1277938" y="2085975"/>
                            <a:ext cx="1138237" cy="522287"/>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1C6B6A71"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Військова  академія </w:t>
                              </w:r>
                            </w:p>
                            <w:p w14:paraId="5FDF3ADB"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м. Одеса </w:t>
                              </w:r>
                            </w:p>
                            <w:p w14:paraId="11E1BA2E" w14:textId="77777777" w:rsidR="00F25FCF" w:rsidRDefault="00F25FCF" w:rsidP="00FB1BC6">
                              <w:pPr>
                                <w:pStyle w:val="NormalWeb"/>
                                <w:spacing w:before="0" w:after="0"/>
                                <w:ind w:firstLine="0"/>
                                <w:jc w:val="center"/>
                              </w:pPr>
                              <w:r>
                                <w:rPr>
                                  <w:rFonts w:ascii="Arial Narrow" w:eastAsia="Microsoft YaHei" w:hAnsi="Arial Narrow" w:cs="Arial"/>
                                  <w:i/>
                                  <w:iCs/>
                                  <w:color w:val="0D0D0D"/>
                                  <w:sz w:val="16"/>
                                  <w:szCs w:val="16"/>
                                  <w14:textFill>
                                    <w14:solidFill>
                                      <w14:srgbClr w14:val="0D0D0D">
                                        <w14:lumMod w14:val="95000"/>
                                        <w14:lumOff w14:val="5000"/>
                                      </w14:srgbClr>
                                    </w14:solidFill>
                                  </w14:textFill>
                                </w:rPr>
                                <w:t>(Науковий центр)</w:t>
                              </w:r>
                            </w:p>
                          </w:txbxContent>
                        </wps:txbx>
                        <wps:bodyPr lIns="0" tIns="0" rIns="0" bIns="0" anchor="ctr"/>
                      </wps:wsp>
                      <wps:wsp>
                        <wps:cNvPr id="1178268902" name="Rectangle 13"/>
                        <wps:cNvSpPr>
                          <a:spLocks noChangeArrowheads="1"/>
                        </wps:cNvSpPr>
                        <wps:spPr bwMode="auto">
                          <a:xfrm>
                            <a:off x="2559050" y="2665412"/>
                            <a:ext cx="1439863" cy="522288"/>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502CC6A9"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Військовий інститут танкових військ Національного технічного університету “Харківський політехнічний інститут”</w:t>
                              </w:r>
                              <w:r>
                                <w:rPr>
                                  <w:rFonts w:ascii="Arial Narrow" w:hAnsi="Arial Narrow" w:cs="Arial"/>
                                  <w:b/>
                                  <w:bCs/>
                                  <w:color w:val="0D0D0D"/>
                                  <w:sz w:val="16"/>
                                  <w:szCs w:val="16"/>
                                  <w14:textFill>
                                    <w14:solidFill>
                                      <w14:srgbClr w14:val="0D0D0D">
                                        <w14:lumMod w14:val="95000"/>
                                        <w14:lumOff w14:val="5000"/>
                                      </w14:srgbClr>
                                    </w14:solidFill>
                                  </w14:textFill>
                                </w:rPr>
                                <w:t xml:space="preserve"> </w:t>
                              </w:r>
                              <w:r>
                                <w:rPr>
                                  <w:rFonts w:ascii="Arial Narrow" w:hAnsi="Arial Narrow" w:cs="Arial"/>
                                  <w:i/>
                                  <w:iCs/>
                                  <w:color w:val="0D0D0D"/>
                                  <w:sz w:val="16"/>
                                  <w:szCs w:val="16"/>
                                  <w14:textFill>
                                    <w14:solidFill>
                                      <w14:srgbClr w14:val="0D0D0D">
                                        <w14:lumMod w14:val="95000"/>
                                        <w14:lumOff w14:val="5000"/>
                                      </w14:srgbClr>
                                    </w14:solidFill>
                                  </w14:textFill>
                                </w:rPr>
                                <w:t>(НДЛ)</w:t>
                              </w:r>
                            </w:p>
                          </w:txbxContent>
                        </wps:txbx>
                        <wps:bodyPr lIns="0" tIns="0" rIns="0" bIns="0" anchor="ctr"/>
                      </wps:wsp>
                      <wps:wsp>
                        <wps:cNvPr id="1703017509" name="Rectangle 10"/>
                        <wps:cNvSpPr>
                          <a:spLocks noChangeArrowheads="1"/>
                        </wps:cNvSpPr>
                        <wps:spPr bwMode="auto">
                          <a:xfrm>
                            <a:off x="1588" y="2665412"/>
                            <a:ext cx="1138237" cy="522288"/>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5F8FCC1A"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Науково-дослідний </w:t>
                              </w:r>
                            </w:p>
                            <w:p w14:paraId="2A95F776"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центр ракетних військ і артилерії </w:t>
                              </w:r>
                            </w:p>
                          </w:txbxContent>
                        </wps:txbx>
                        <wps:bodyPr lIns="0" tIns="0" rIns="0" bIns="0" anchor="ctr"/>
                      </wps:wsp>
                      <wps:wsp>
                        <wps:cNvPr id="1536128032" name="Rectangle 10"/>
                        <wps:cNvSpPr>
                          <a:spLocks noChangeArrowheads="1"/>
                        </wps:cNvSpPr>
                        <wps:spPr bwMode="auto">
                          <a:xfrm>
                            <a:off x="985838" y="1801812"/>
                            <a:ext cx="1717675" cy="247650"/>
                          </a:xfrm>
                          <a:prstGeom prst="rect">
                            <a:avLst/>
                          </a:prstGeom>
                          <a:solidFill>
                            <a:sysClr val="window" lastClr="FFFFFF"/>
                          </a:solidFill>
                          <a:ln w="12700" algn="ctr">
                            <a:solidFill>
                              <a:srgbClr val="FF0000"/>
                            </a:solidFill>
                            <a:miter lim="800000"/>
                            <a:headEnd/>
                            <a:tailEnd/>
                          </a:ln>
                          <a:effectLst>
                            <a:outerShdw blurRad="50800" dist="38100" dir="2700000" algn="tl" rotWithShape="0">
                              <a:srgbClr val="FF0000">
                                <a:alpha val="40000"/>
                              </a:srgbClr>
                            </a:outerShdw>
                          </a:effectLst>
                        </wps:spPr>
                        <wps:txbx>
                          <w:txbxContent>
                            <w:p w14:paraId="68452514" w14:textId="77777777" w:rsidR="00F25FCF" w:rsidRDefault="00F25FCF" w:rsidP="000F5770">
                              <w:pPr>
                                <w:pStyle w:val="NormalWeb"/>
                                <w:spacing w:before="0" w:after="0"/>
                                <w:jc w:val="center"/>
                              </w:pPr>
                              <w:r>
                                <w:rPr>
                                  <w:rFonts w:ascii="Arial Narrow" w:hAnsi="Arial Narrow" w:cs="Arial"/>
                                  <w:b/>
                                  <w:bCs/>
                                  <w:color w:val="0D0D0D"/>
                                  <w14:textFill>
                                    <w14:solidFill>
                                      <w14:srgbClr w14:val="0D0D0D">
                                        <w14:lumMod w14:val="95000"/>
                                        <w14:lumOff w14:val="5000"/>
                                      </w14:srgbClr>
                                    </w14:solidFill>
                                  </w14:textFill>
                                </w:rPr>
                                <w:t xml:space="preserve">Командування Сухопутних військ  </w:t>
                              </w:r>
                            </w:p>
                          </w:txbxContent>
                        </wps:txbx>
                        <wps:bodyPr lIns="0" tIns="0" rIns="0" bIns="0" anchor="ctr"/>
                      </wps:wsp>
                      <wps:wsp>
                        <wps:cNvPr id="1772105158" name="Rectangle 10"/>
                        <wps:cNvSpPr>
                          <a:spLocks noChangeArrowheads="1"/>
                        </wps:cNvSpPr>
                        <wps:spPr bwMode="auto">
                          <a:xfrm>
                            <a:off x="7131050" y="1827212"/>
                            <a:ext cx="1717675" cy="247650"/>
                          </a:xfrm>
                          <a:prstGeom prst="rect">
                            <a:avLst/>
                          </a:prstGeom>
                          <a:solidFill>
                            <a:sysClr val="window" lastClr="FFFFFF"/>
                          </a:solidFill>
                          <a:ln w="12700" algn="ctr">
                            <a:solidFill>
                              <a:srgbClr val="FF0000"/>
                            </a:solidFill>
                            <a:miter lim="800000"/>
                            <a:headEnd/>
                            <a:tailEnd/>
                          </a:ln>
                          <a:effectLst>
                            <a:outerShdw blurRad="50800" dist="38100" dir="2700000" algn="tl" rotWithShape="0">
                              <a:srgbClr val="FF0000">
                                <a:alpha val="40000"/>
                              </a:srgbClr>
                            </a:outerShdw>
                          </a:effectLst>
                        </wps:spPr>
                        <wps:txbx>
                          <w:txbxContent>
                            <w:p w14:paraId="51C30709" w14:textId="77777777" w:rsidR="00F25FCF" w:rsidRDefault="00F25FCF" w:rsidP="000F5770">
                              <w:pPr>
                                <w:pStyle w:val="NormalWeb"/>
                                <w:spacing w:before="0" w:after="0" w:line="228" w:lineRule="auto"/>
                                <w:jc w:val="center"/>
                              </w:pPr>
                              <w:r>
                                <w:rPr>
                                  <w:rFonts w:ascii="Arial Narrow" w:hAnsi="Arial Narrow" w:cs="Arial"/>
                                  <w:b/>
                                  <w:bCs/>
                                  <w:color w:val="0D0D0D"/>
                                  <w14:textFill>
                                    <w14:solidFill>
                                      <w14:srgbClr w14:val="0D0D0D">
                                        <w14:lumMod w14:val="95000"/>
                                        <w14:lumOff w14:val="5000"/>
                                      </w14:srgbClr>
                                    </w14:solidFill>
                                  </w14:textFill>
                                </w:rPr>
                                <w:t xml:space="preserve">Командування </w:t>
                              </w:r>
                            </w:p>
                            <w:p w14:paraId="41F1D869" w14:textId="77777777" w:rsidR="00F25FCF" w:rsidRDefault="00F25FCF" w:rsidP="000F5770">
                              <w:pPr>
                                <w:pStyle w:val="NormalWeb"/>
                                <w:spacing w:before="0" w:after="0" w:line="228" w:lineRule="auto"/>
                                <w:jc w:val="center"/>
                              </w:pPr>
                              <w:r>
                                <w:rPr>
                                  <w:rFonts w:ascii="Arial Narrow" w:hAnsi="Arial Narrow" w:cs="Arial"/>
                                  <w:b/>
                                  <w:bCs/>
                                  <w:color w:val="0D0D0D"/>
                                  <w14:textFill>
                                    <w14:solidFill>
                                      <w14:srgbClr w14:val="0D0D0D">
                                        <w14:lumMod w14:val="95000"/>
                                        <w14:lumOff w14:val="5000"/>
                                      </w14:srgbClr>
                                    </w14:solidFill>
                                  </w14:textFill>
                                </w:rPr>
                                <w:t>Військово-Морських Сил</w:t>
                              </w:r>
                            </w:p>
                          </w:txbxContent>
                        </wps:txbx>
                        <wps:bodyPr lIns="0" tIns="0" rIns="0" bIns="0" anchor="ctr"/>
                      </wps:wsp>
                      <wps:wsp>
                        <wps:cNvPr id="1339653272" name="Rectangle 10"/>
                        <wps:cNvSpPr>
                          <a:spLocks noChangeArrowheads="1"/>
                        </wps:cNvSpPr>
                        <wps:spPr bwMode="auto">
                          <a:xfrm>
                            <a:off x="4852988" y="1827212"/>
                            <a:ext cx="1717675" cy="247650"/>
                          </a:xfrm>
                          <a:prstGeom prst="rect">
                            <a:avLst/>
                          </a:prstGeom>
                          <a:solidFill>
                            <a:sysClr val="window" lastClr="FFFFFF"/>
                          </a:solidFill>
                          <a:ln w="12700" algn="ctr">
                            <a:solidFill>
                              <a:srgbClr val="FF0000"/>
                            </a:solidFill>
                            <a:miter lim="800000"/>
                            <a:headEnd/>
                            <a:tailEnd/>
                          </a:ln>
                          <a:effectLst>
                            <a:outerShdw blurRad="50800" dist="38100" dir="2700000" algn="tl" rotWithShape="0">
                              <a:srgbClr val="FF0000">
                                <a:alpha val="40000"/>
                              </a:srgbClr>
                            </a:outerShdw>
                          </a:effectLst>
                        </wps:spPr>
                        <wps:txbx>
                          <w:txbxContent>
                            <w:p w14:paraId="2B6CAC7C" w14:textId="77777777" w:rsidR="00F25FCF" w:rsidRDefault="00F25FCF" w:rsidP="000F5770">
                              <w:pPr>
                                <w:pStyle w:val="NormalWeb"/>
                                <w:spacing w:before="0" w:after="0"/>
                                <w:jc w:val="center"/>
                              </w:pPr>
                              <w:r>
                                <w:rPr>
                                  <w:rFonts w:ascii="Arial Narrow" w:hAnsi="Arial Narrow" w:cs="Arial"/>
                                  <w:b/>
                                  <w:bCs/>
                                  <w:color w:val="0D0D0D"/>
                                  <w14:textFill>
                                    <w14:solidFill>
                                      <w14:srgbClr w14:val="0D0D0D">
                                        <w14:lumMod w14:val="95000"/>
                                        <w14:lumOff w14:val="5000"/>
                                      </w14:srgbClr>
                                    </w14:solidFill>
                                  </w14:textFill>
                                </w:rPr>
                                <w:t>Командування Повітряних Сил</w:t>
                              </w:r>
                            </w:p>
                          </w:txbxContent>
                        </wps:txbx>
                        <wps:bodyPr lIns="0" tIns="0" rIns="0" bIns="0" anchor="ctr"/>
                      </wps:wsp>
                      <wps:wsp>
                        <wps:cNvPr id="1036835678" name="Rectangle 10"/>
                        <wps:cNvSpPr>
                          <a:spLocks noChangeArrowheads="1"/>
                        </wps:cNvSpPr>
                        <wps:spPr bwMode="auto">
                          <a:xfrm>
                            <a:off x="1809750" y="3330575"/>
                            <a:ext cx="1714500" cy="247650"/>
                          </a:xfrm>
                          <a:prstGeom prst="rect">
                            <a:avLst/>
                          </a:prstGeom>
                          <a:solidFill>
                            <a:sysClr val="window" lastClr="FFFFFF"/>
                          </a:solidFill>
                          <a:ln w="12700" algn="ctr">
                            <a:solidFill>
                              <a:srgbClr val="FF0000"/>
                            </a:solidFill>
                            <a:miter lim="800000"/>
                            <a:headEnd/>
                            <a:tailEnd/>
                          </a:ln>
                          <a:effectLst>
                            <a:outerShdw blurRad="50800" dist="38100" dir="2700000" algn="tl" rotWithShape="0">
                              <a:srgbClr val="FF0000">
                                <a:alpha val="40000"/>
                              </a:srgbClr>
                            </a:outerShdw>
                          </a:effectLst>
                        </wps:spPr>
                        <wps:txbx>
                          <w:txbxContent>
                            <w:p w14:paraId="42351213" w14:textId="77777777" w:rsidR="00F25FCF" w:rsidRDefault="00F25FCF" w:rsidP="000F5770">
                              <w:pPr>
                                <w:pStyle w:val="NormalWeb"/>
                                <w:spacing w:before="0" w:after="0"/>
                                <w:jc w:val="center"/>
                              </w:pPr>
                              <w:r>
                                <w:rPr>
                                  <w:rFonts w:ascii="Arial Narrow" w:hAnsi="Arial Narrow" w:cs="Arial"/>
                                  <w:b/>
                                  <w:bCs/>
                                  <w:color w:val="0D0D0D"/>
                                  <w14:textFill>
                                    <w14:solidFill>
                                      <w14:srgbClr w14:val="0D0D0D">
                                        <w14:lumMod w14:val="95000"/>
                                        <w14:lumOff w14:val="5000"/>
                                      </w14:srgbClr>
                                    </w14:solidFill>
                                  </w14:textFill>
                                </w:rPr>
                                <w:t>Командування Медичних сил</w:t>
                              </w:r>
                            </w:p>
                          </w:txbxContent>
                        </wps:txbx>
                        <wps:bodyPr lIns="0" tIns="0" rIns="0" bIns="0" anchor="ctr"/>
                      </wps:wsp>
                      <wps:wsp>
                        <wps:cNvPr id="2010122028" name="Rectangle 10"/>
                        <wps:cNvSpPr>
                          <a:spLocks noChangeArrowheads="1"/>
                        </wps:cNvSpPr>
                        <wps:spPr bwMode="auto">
                          <a:xfrm>
                            <a:off x="5900738" y="1173162"/>
                            <a:ext cx="1439862" cy="522288"/>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5CE4E632" w14:textId="77777777" w:rsidR="00F25FCF" w:rsidRDefault="00F25FCF" w:rsidP="00FB1BC6">
                              <w:pPr>
                                <w:pStyle w:val="NormalWeb"/>
                                <w:spacing w:before="0" w:after="0"/>
                                <w:ind w:firstLine="0"/>
                                <w:jc w:val="center"/>
                                <w:textAlignment w:val="baseline"/>
                              </w:pPr>
                              <w:r>
                                <w:rPr>
                                  <w:rFonts w:ascii="Arial Narrow" w:hAnsi="Arial Narrow" w:cs="Arial"/>
                                  <w:b/>
                                  <w:bCs/>
                                  <w:color w:val="0D0D0D"/>
                                  <w:sz w:val="16"/>
                                  <w:szCs w:val="16"/>
                                  <w14:textFill>
                                    <w14:solidFill>
                                      <w14:srgbClr w14:val="0D0D0D">
                                        <w14:lumMod w14:val="95000"/>
                                        <w14:lumOff w14:val="5000"/>
                                      </w14:srgbClr>
                                    </w14:solidFill>
                                  </w14:textFill>
                                </w:rPr>
                                <w:t xml:space="preserve">Кафедра військової підготовки спеціалістів ДССТ Українського державного університету науки і технологій </w:t>
                              </w:r>
                              <w:r>
                                <w:rPr>
                                  <w:rFonts w:ascii="Arial Narrow" w:eastAsia="Microsoft YaHei" w:hAnsi="Arial Narrow" w:cs="Arial"/>
                                  <w:b/>
                                  <w:bCs/>
                                  <w:i/>
                                  <w:iCs/>
                                  <w:color w:val="0D0D0D"/>
                                  <w:sz w:val="16"/>
                                  <w:szCs w:val="16"/>
                                  <w14:textFill>
                                    <w14:solidFill>
                                      <w14:srgbClr w14:val="0D0D0D">
                                        <w14:lumMod w14:val="95000"/>
                                        <w14:lumOff w14:val="5000"/>
                                      </w14:srgbClr>
                                    </w14:solidFill>
                                  </w14:textFill>
                                </w:rPr>
                                <w:t>(НДЛ)</w:t>
                              </w:r>
                            </w:p>
                          </w:txbxContent>
                        </wps:txbx>
                        <wps:bodyPr lIns="0" tIns="0" rIns="0" bIns="0" anchor="ctr"/>
                      </wps:wsp>
                      <wps:wsp>
                        <wps:cNvPr id="2086447203" name="Rectangle 10"/>
                        <wps:cNvSpPr>
                          <a:spLocks noChangeArrowheads="1"/>
                        </wps:cNvSpPr>
                        <wps:spPr bwMode="auto">
                          <a:xfrm>
                            <a:off x="6161088" y="922337"/>
                            <a:ext cx="2700337" cy="215900"/>
                          </a:xfrm>
                          <a:prstGeom prst="rect">
                            <a:avLst/>
                          </a:prstGeom>
                          <a:solidFill>
                            <a:sysClr val="window" lastClr="FFFFFF"/>
                          </a:solidFill>
                          <a:ln w="12700" algn="ctr">
                            <a:solidFill>
                              <a:srgbClr val="FF0000"/>
                            </a:solidFill>
                            <a:miter lim="800000"/>
                            <a:headEnd/>
                            <a:tailEnd/>
                          </a:ln>
                          <a:effectLst>
                            <a:outerShdw blurRad="50800" dist="38100" dir="2700000" algn="tl" rotWithShape="0">
                              <a:srgbClr val="FF0000">
                                <a:alpha val="40000"/>
                              </a:srgbClr>
                            </a:outerShdw>
                          </a:effectLst>
                        </wps:spPr>
                        <wps:txbx>
                          <w:txbxContent>
                            <w:p w14:paraId="01070382" w14:textId="77777777" w:rsidR="00F25FCF" w:rsidRDefault="00F25FCF" w:rsidP="000F5770">
                              <w:pPr>
                                <w:pStyle w:val="NormalWeb"/>
                                <w:spacing w:before="0" w:after="0"/>
                                <w:jc w:val="center"/>
                              </w:pPr>
                              <w:r>
                                <w:rPr>
                                  <w:rFonts w:ascii="Arial Narrow" w:eastAsia="Microsoft YaHei" w:hAnsi="Arial Narrow" w:cs="Arial"/>
                                  <w:b/>
                                  <w:bCs/>
                                  <w:color w:val="0D0D0D"/>
                                  <w14:textFill>
                                    <w14:solidFill>
                                      <w14:srgbClr w14:val="0D0D0D">
                                        <w14:lumMod w14:val="95000"/>
                                        <w14:lumOff w14:val="5000"/>
                                      </w14:srgbClr>
                                    </w14:solidFill>
                                  </w14:textFill>
                                </w:rPr>
                                <w:t>ДЕРЖАВНА СПЕЦІАЛЬНА СЛУЖБА ТРАНСПОРТУ</w:t>
                              </w:r>
                            </w:p>
                          </w:txbxContent>
                        </wps:txbx>
                        <wps:bodyPr lIns="0" tIns="0" rIns="0" bIns="0" anchor="ctr"/>
                      </wps:wsp>
                      <wps:wsp>
                        <wps:cNvPr id="56352574" name="Rectangle 10"/>
                        <wps:cNvSpPr>
                          <a:spLocks noChangeArrowheads="1"/>
                        </wps:cNvSpPr>
                        <wps:spPr bwMode="auto">
                          <a:xfrm>
                            <a:off x="7470775" y="1177925"/>
                            <a:ext cx="1439863" cy="522287"/>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772827C2" w14:textId="77777777" w:rsidR="00F25FCF" w:rsidRDefault="00F25FCF" w:rsidP="00FB1BC6">
                              <w:pPr>
                                <w:pStyle w:val="NormalWeb"/>
                                <w:spacing w:before="0" w:after="0"/>
                                <w:ind w:firstLine="0"/>
                                <w:jc w:val="center"/>
                                <w:textAlignment w:val="baseline"/>
                              </w:pPr>
                              <w:r>
                                <w:rPr>
                                  <w:rFonts w:ascii="Arial Narrow" w:hAnsi="Arial Narrow" w:cs="Arial"/>
                                  <w:b/>
                                  <w:bCs/>
                                  <w:color w:val="0D0D0D"/>
                                  <w:sz w:val="16"/>
                                  <w:szCs w:val="16"/>
                                  <w14:textFill>
                                    <w14:solidFill>
                                      <w14:srgbClr w14:val="0D0D0D">
                                        <w14:lumMod w14:val="95000"/>
                                        <w14:lumOff w14:val="5000"/>
                                      </w14:srgbClr>
                                    </w14:solidFill>
                                  </w14:textFill>
                                </w:rPr>
                                <w:t>НДВ наукового і науково-технічного забезпечення протимінної діяльності</w:t>
                              </w:r>
                            </w:p>
                            <w:p w14:paraId="5A8A2788" w14:textId="77777777" w:rsidR="00F25FCF" w:rsidRDefault="00F25FCF" w:rsidP="00FB1BC6">
                              <w:pPr>
                                <w:pStyle w:val="NormalWeb"/>
                                <w:spacing w:before="0" w:after="0"/>
                                <w:ind w:firstLine="0"/>
                                <w:jc w:val="center"/>
                                <w:textAlignment w:val="baseline"/>
                              </w:pPr>
                              <w:r>
                                <w:rPr>
                                  <w:rFonts w:ascii="Arial Narrow" w:hAnsi="Arial Narrow" w:cs="Arial"/>
                                  <w:b/>
                                  <w:bCs/>
                                  <w:color w:val="0D0D0D"/>
                                  <w:sz w:val="16"/>
                                  <w:szCs w:val="16"/>
                                  <w14:textFill>
                                    <w14:solidFill>
                                      <w14:srgbClr w14:val="0D0D0D">
                                        <w14:lumMod w14:val="95000"/>
                                        <w14:lumOff w14:val="5000"/>
                                      </w14:srgbClr>
                                    </w14:solidFill>
                                  </w14:textFill>
                                </w:rPr>
                                <w:t>Центру протимінної діяльності</w:t>
                              </w:r>
                            </w:p>
                          </w:txbxContent>
                        </wps:txbx>
                        <wps:bodyPr lIns="0" tIns="0" rIns="0" bIns="0" anchor="ctr"/>
                      </wps:wsp>
                      <wps:wsp>
                        <wps:cNvPr id="9113207" name="Rectangle 8"/>
                        <wps:cNvSpPr>
                          <a:spLocks noChangeArrowheads="1"/>
                        </wps:cNvSpPr>
                        <wps:spPr bwMode="auto">
                          <a:xfrm>
                            <a:off x="5511800" y="3616325"/>
                            <a:ext cx="1800225" cy="519112"/>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158FB525" w14:textId="77777777" w:rsidR="00F25FCF" w:rsidRPr="008325A7" w:rsidRDefault="00F25FCF" w:rsidP="00FB1BC6">
                              <w:pPr>
                                <w:pStyle w:val="NormalWeb"/>
                                <w:spacing w:before="0" w:after="0" w:line="228" w:lineRule="auto"/>
                                <w:ind w:firstLine="0"/>
                                <w:jc w:val="center"/>
                                <w:rPr>
                                  <w:rFonts w:ascii="Arial Narrow" w:eastAsia="Microsoft YaHei" w:hAnsi="Arial Narrow" w:cs="Arial"/>
                                  <w:b/>
                                  <w:bCs/>
                                  <w:color w:val="0D0D0D"/>
                                  <w:sz w:val="16"/>
                                  <w:szCs w:val="16"/>
                                  <w14:textFill>
                                    <w14:solidFill>
                                      <w14:srgbClr w14:val="0D0D0D">
                                        <w14:lumMod w14:val="95000"/>
                                        <w14:lumOff w14:val="5000"/>
                                      </w14:srgbClr>
                                    </w14:solidFill>
                                  </w14:textFill>
                                </w:rPr>
                              </w:pPr>
                              <w:r w:rsidRPr="00DF2E80">
                                <w:rPr>
                                  <w:rFonts w:ascii="Arial Narrow" w:eastAsia="Microsoft YaHei" w:hAnsi="Arial Narrow" w:cs="Arial"/>
                                  <w:b/>
                                  <w:bCs/>
                                  <w:color w:val="0D0D0D"/>
                                  <w:sz w:val="16"/>
                                  <w:szCs w:val="16"/>
                                  <w14:textFill>
                                    <w14:solidFill>
                                      <w14:srgbClr w14:val="0D0D0D">
                                        <w14:lumMod w14:val="95000"/>
                                        <w14:lumOff w14:val="5000"/>
                                      </w14:srgbClr>
                                    </w14:solidFill>
                                  </w14:textFill>
                                </w:rPr>
                                <w:t>Науково-дослідний центр Сил підтримки Збройних Сил України</w:t>
                              </w:r>
                            </w:p>
                            <w:p w14:paraId="45250829" w14:textId="77777777" w:rsidR="00F25FCF" w:rsidRDefault="00F25FCF" w:rsidP="00FB1BC6">
                              <w:pPr>
                                <w:pStyle w:val="NormalWeb"/>
                                <w:spacing w:before="0" w:after="0" w:line="228" w:lineRule="auto"/>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Кафедра військової підготовки </w:t>
                              </w:r>
                            </w:p>
                            <w:p w14:paraId="38B6E952" w14:textId="77777777" w:rsidR="00F25FCF" w:rsidRDefault="00F25FCF" w:rsidP="00FB1BC6">
                              <w:pPr>
                                <w:pStyle w:val="NormalWeb"/>
                                <w:spacing w:before="0" w:after="0" w:line="228" w:lineRule="auto"/>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Кам’янець-Подільського національного університету імені Івана Огієнка </w:t>
                              </w:r>
                              <w:r>
                                <w:rPr>
                                  <w:rFonts w:ascii="Arial Narrow" w:eastAsia="Microsoft YaHei" w:hAnsi="Arial Narrow" w:cs="Arial"/>
                                  <w:i/>
                                  <w:iCs/>
                                  <w:color w:val="0D0D0D"/>
                                  <w:sz w:val="16"/>
                                  <w:szCs w:val="16"/>
                                  <w14:textFill>
                                    <w14:solidFill>
                                      <w14:srgbClr w14:val="0D0D0D">
                                        <w14:lumMod w14:val="95000"/>
                                        <w14:lumOff w14:val="5000"/>
                                      </w14:srgbClr>
                                    </w14:solidFill>
                                  </w14:textFill>
                                </w:rPr>
                                <w:t>(НДЛ застосування підрозділів інженерних військ)</w:t>
                              </w:r>
                            </w:p>
                          </w:txbxContent>
                        </wps:txbx>
                        <wps:bodyPr lIns="0" tIns="0" rIns="0" bIns="0" anchor="ctr"/>
                      </wps:wsp>
                      <wps:wsp>
                        <wps:cNvPr id="494041334" name="Rectangle 10"/>
                        <wps:cNvSpPr>
                          <a:spLocks noChangeArrowheads="1"/>
                        </wps:cNvSpPr>
                        <wps:spPr bwMode="auto">
                          <a:xfrm>
                            <a:off x="5549900" y="3328987"/>
                            <a:ext cx="1717675" cy="247650"/>
                          </a:xfrm>
                          <a:prstGeom prst="rect">
                            <a:avLst/>
                          </a:prstGeom>
                          <a:solidFill>
                            <a:sysClr val="window" lastClr="FFFFFF"/>
                          </a:solidFill>
                          <a:ln w="12700" algn="ctr">
                            <a:solidFill>
                              <a:srgbClr val="FF0000"/>
                            </a:solidFill>
                            <a:miter lim="800000"/>
                            <a:headEnd/>
                            <a:tailEnd/>
                          </a:ln>
                          <a:effectLst>
                            <a:outerShdw blurRad="50800" dist="38100" dir="2700000" algn="tl" rotWithShape="0">
                              <a:srgbClr val="FF0000">
                                <a:alpha val="40000"/>
                              </a:srgbClr>
                            </a:outerShdw>
                          </a:effectLst>
                        </wps:spPr>
                        <wps:txbx>
                          <w:txbxContent>
                            <w:p w14:paraId="148857C7" w14:textId="77777777" w:rsidR="00F25FCF" w:rsidRDefault="00F25FCF" w:rsidP="000F5770">
                              <w:pPr>
                                <w:pStyle w:val="NormalWeb"/>
                                <w:spacing w:before="0" w:after="0"/>
                                <w:jc w:val="center"/>
                              </w:pPr>
                              <w:r>
                                <w:rPr>
                                  <w:rFonts w:ascii="Arial Narrow" w:hAnsi="Arial Narrow" w:cs="Arial"/>
                                  <w:b/>
                                  <w:bCs/>
                                  <w:color w:val="0D0D0D"/>
                                  <w14:textFill>
                                    <w14:solidFill>
                                      <w14:srgbClr w14:val="0D0D0D">
                                        <w14:lumMod w14:val="95000"/>
                                        <w14:lumOff w14:val="5000"/>
                                      </w14:srgbClr>
                                    </w14:solidFill>
                                  </w14:textFill>
                                </w:rPr>
                                <w:t>Командування Сил підтримки</w:t>
                              </w:r>
                            </w:p>
                          </w:txbxContent>
                        </wps:txbx>
                        <wps:bodyPr lIns="0" tIns="0" rIns="0" bIns="0" anchor="ctr"/>
                      </wps:wsp>
                      <wps:wsp>
                        <wps:cNvPr id="1122025807" name="Rectangle 7"/>
                        <wps:cNvSpPr>
                          <a:spLocks noChangeArrowheads="1"/>
                        </wps:cNvSpPr>
                        <wps:spPr bwMode="auto">
                          <a:xfrm>
                            <a:off x="4532313" y="2632075"/>
                            <a:ext cx="1138237" cy="522287"/>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7D03304F"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Кафедра військової підготовки Національного авіаційного університету</w:t>
                              </w:r>
                            </w:p>
                            <w:p w14:paraId="7E6139A3" w14:textId="77777777" w:rsidR="00F25FCF" w:rsidRDefault="00F25FCF" w:rsidP="00FB1BC6">
                              <w:pPr>
                                <w:pStyle w:val="NormalWeb"/>
                                <w:spacing w:before="0" w:after="0"/>
                                <w:ind w:firstLine="0"/>
                                <w:jc w:val="center"/>
                              </w:pPr>
                              <w:r>
                                <w:rPr>
                                  <w:rFonts w:ascii="Arial Narrow" w:hAnsi="Arial Narrow" w:cs="Arial"/>
                                  <w:i/>
                                  <w:iCs/>
                                  <w:color w:val="0D0D0D"/>
                                  <w:sz w:val="16"/>
                                  <w:szCs w:val="16"/>
                                  <w14:textFill>
                                    <w14:solidFill>
                                      <w14:srgbClr w14:val="0D0D0D">
                                        <w14:lumMod w14:val="95000"/>
                                        <w14:lumOff w14:val="5000"/>
                                      </w14:srgbClr>
                                    </w14:solidFill>
                                  </w14:textFill>
                                </w:rPr>
                                <w:t>(НДЛ)</w:t>
                              </w: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 </w:t>
                              </w:r>
                            </w:p>
                          </w:txbxContent>
                        </wps:txbx>
                        <wps:bodyPr lIns="0" tIns="0" rIns="0" bIns="0" anchor="ctr"/>
                      </wps:wsp>
                      <wps:wsp>
                        <wps:cNvPr id="1089040661" name="Rectangle 10"/>
                        <wps:cNvSpPr>
                          <a:spLocks noChangeArrowheads="1"/>
                        </wps:cNvSpPr>
                        <wps:spPr bwMode="auto">
                          <a:xfrm>
                            <a:off x="5770563" y="2632075"/>
                            <a:ext cx="1138237" cy="522287"/>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0C3D4C6B"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Кафедра військової підготовки Одеського державного екологічного університету </w:t>
                              </w:r>
                              <w:r>
                                <w:rPr>
                                  <w:rFonts w:ascii="Arial Narrow" w:hAnsi="Arial Narrow" w:cs="Arial"/>
                                  <w:i/>
                                  <w:iCs/>
                                  <w:color w:val="0D0D0D"/>
                                  <w:sz w:val="16"/>
                                  <w:szCs w:val="16"/>
                                  <w14:textFill>
                                    <w14:solidFill>
                                      <w14:srgbClr w14:val="0D0D0D">
                                        <w14:lumMod w14:val="95000"/>
                                        <w14:lumOff w14:val="5000"/>
                                      </w14:srgbClr>
                                    </w14:solidFill>
                                  </w14:textFill>
                                </w:rPr>
                                <w:t>(НДЛ)</w:t>
                              </w:r>
                            </w:p>
                          </w:txbxContent>
                        </wps:txbx>
                        <wps:bodyPr lIns="0" tIns="0" rIns="0" bIns="0" anchor="ctr"/>
                      </wps:wsp>
                      <wps:wsp>
                        <wps:cNvPr id="1511413441" name="Rectangle 8"/>
                        <wps:cNvSpPr>
                          <a:spLocks noChangeArrowheads="1"/>
                        </wps:cNvSpPr>
                        <wps:spPr bwMode="auto">
                          <a:xfrm>
                            <a:off x="3816350" y="3616325"/>
                            <a:ext cx="1439863" cy="519112"/>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49532424" w14:textId="77777777" w:rsidR="00F25FCF" w:rsidRPr="00DF2E80" w:rsidRDefault="00F25FCF" w:rsidP="00FB1BC6">
                              <w:pPr>
                                <w:pStyle w:val="NormalWeb"/>
                                <w:spacing w:before="0" w:after="0"/>
                                <w:ind w:firstLine="0"/>
                                <w:jc w:val="center"/>
                                <w:rPr>
                                  <w:rFonts w:ascii="Arial Narrow" w:eastAsia="Microsoft YaHei" w:hAnsi="Arial Narrow" w:cs="Arial"/>
                                  <w:b/>
                                  <w:bCs/>
                                  <w:color w:val="0D0D0D"/>
                                  <w:sz w:val="16"/>
                                  <w:szCs w:val="16"/>
                                  <w14:textFill>
                                    <w14:solidFill>
                                      <w14:srgbClr w14:val="0D0D0D">
                                        <w14:lumMod w14:val="95000"/>
                                        <w14:lumOff w14:val="5000"/>
                                      </w14:srgbClr>
                                    </w14:solidFill>
                                  </w14:textFill>
                                </w:rP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НДЛ військових еталонів Метрологічного центру військових еталонів ЗС України </w:t>
                              </w:r>
                            </w:p>
                          </w:txbxContent>
                        </wps:txbx>
                        <wps:bodyPr lIns="0" tIns="0" rIns="0" bIns="0" anchor="ctr"/>
                      </wps:wsp>
                      <wps:wsp>
                        <wps:cNvPr id="254440548" name="Rectangle 10"/>
                        <wps:cNvSpPr>
                          <a:spLocks noChangeArrowheads="1"/>
                        </wps:cNvSpPr>
                        <wps:spPr bwMode="auto">
                          <a:xfrm>
                            <a:off x="3679825" y="3328987"/>
                            <a:ext cx="1717675" cy="247650"/>
                          </a:xfrm>
                          <a:prstGeom prst="rect">
                            <a:avLst/>
                          </a:prstGeom>
                          <a:solidFill>
                            <a:sysClr val="window" lastClr="FFFFFF"/>
                          </a:solidFill>
                          <a:ln w="12700" algn="ctr">
                            <a:solidFill>
                              <a:srgbClr val="FF0000"/>
                            </a:solidFill>
                            <a:miter lim="800000"/>
                            <a:headEnd/>
                            <a:tailEnd/>
                          </a:ln>
                          <a:effectLst>
                            <a:outerShdw blurRad="50800" dist="38100" dir="2700000" algn="tl" rotWithShape="0">
                              <a:srgbClr val="FF0000">
                                <a:alpha val="40000"/>
                              </a:srgbClr>
                            </a:outerShdw>
                          </a:effectLst>
                        </wps:spPr>
                        <wps:txbx>
                          <w:txbxContent>
                            <w:p w14:paraId="785276D9" w14:textId="77777777" w:rsidR="00F25FCF" w:rsidRDefault="00F25FCF" w:rsidP="000F5770">
                              <w:pPr>
                                <w:pStyle w:val="NormalWeb"/>
                                <w:spacing w:before="0" w:after="0"/>
                                <w:jc w:val="center"/>
                              </w:pPr>
                              <w:r>
                                <w:rPr>
                                  <w:rFonts w:ascii="Arial Narrow" w:hAnsi="Arial Narrow" w:cs="Arial"/>
                                  <w:b/>
                                  <w:bCs/>
                                  <w:color w:val="0D0D0D"/>
                                  <w14:textFill>
                                    <w14:solidFill>
                                      <w14:srgbClr w14:val="0D0D0D">
                                        <w14:lumMod w14:val="95000"/>
                                        <w14:lumOff w14:val="5000"/>
                                      </w14:srgbClr>
                                    </w14:solidFill>
                                  </w14:textFill>
                                </w:rPr>
                                <w:t>Командування Сил логістики</w:t>
                              </w:r>
                            </w:p>
                          </w:txbxContent>
                        </wps:txbx>
                        <wps:bodyPr lIns="0" tIns="0" rIns="0" bIns="0" anchor="ctr"/>
                      </wps:wsp>
                      <wps:wsp>
                        <wps:cNvPr id="1995199215" name="Rectangle 13"/>
                        <wps:cNvSpPr>
                          <a:spLocks noChangeArrowheads="1"/>
                        </wps:cNvSpPr>
                        <wps:spPr bwMode="auto">
                          <a:xfrm>
                            <a:off x="5270500" y="273050"/>
                            <a:ext cx="1116013" cy="522287"/>
                          </a:xfrm>
                          <a:prstGeom prst="rect">
                            <a:avLst/>
                          </a:prstGeom>
                          <a:solidFill>
                            <a:sysClr val="window" lastClr="FFFFFF"/>
                          </a:solidFill>
                          <a:ln w="19050" algn="ctr">
                            <a:solidFill>
                              <a:srgbClr val="000099"/>
                            </a:solidFill>
                            <a:miter lim="800000"/>
                            <a:headEnd/>
                            <a:tailEnd/>
                          </a:ln>
                          <a:effectLst>
                            <a:outerShdw blurRad="50800" dist="38100" dir="2700000" algn="tl" rotWithShape="0">
                              <a:prstClr val="black">
                                <a:alpha val="40000"/>
                              </a:prstClr>
                            </a:outerShdw>
                          </a:effectLst>
                        </wps:spPr>
                        <wps:txbx>
                          <w:txbxContent>
                            <w:p w14:paraId="1DB9BE78"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Воєнна академія </w:t>
                              </w:r>
                              <w:r>
                                <w:rPr>
                                  <w:rFonts w:ascii="Arial Narrow" w:eastAsia="Microsoft YaHei" w:hAnsi="Arial Narrow" w:cs="Arial"/>
                                  <w:b/>
                                  <w:bCs/>
                                  <w:color w:val="0D0D0D"/>
                                  <w:sz w:val="16"/>
                                  <w:szCs w:val="16"/>
                                  <w14:textFill>
                                    <w14:solidFill>
                                      <w14:srgbClr w14:val="0D0D0D">
                                        <w14:lumMod w14:val="95000"/>
                                        <w14:lumOff w14:val="5000"/>
                                      </w14:srgbClr>
                                    </w14:solidFill>
                                  </w14:textFill>
                                </w:rPr>
                                <w:br/>
                                <w:t>ім. Є.Березняка</w:t>
                              </w:r>
                            </w:p>
                          </w:txbxContent>
                        </wps:txbx>
                        <wps:bodyPr lIns="0" tIns="0" rIns="0" bIns="0" anchor="ctr"/>
                      </wps:wsp>
                    </wpg:wgp>
                  </a:graphicData>
                </a:graphic>
                <wp14:sizeRelH relativeFrom="margin">
                  <wp14:pctWidth>0</wp14:pctWidth>
                </wp14:sizeRelH>
                <wp14:sizeRelV relativeFrom="margin">
                  <wp14:pctHeight>0</wp14:pctHeight>
                </wp14:sizeRelV>
              </wp:anchor>
            </w:drawing>
          </mc:Choice>
          <mc:Fallback>
            <w:pict>
              <v:group w14:anchorId="5B97F361" id="Группа 1" o:spid="_x0000_s1089" style="position:absolute;margin-left:-82.65pt;margin-top:25.3pt;width:648.5pt;height:435.8pt;rotation:-90;z-index:251663872;mso-width-relative:margin;mso-height-relative:margin" coordsize="89122,414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">
                <v:rect id="Rectangle 10" o:spid="_x0000_s1090" style="position:absolute;left:30718;top:9223;width:27003;height:21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" fillcolor="window" strokecolor="red" strokeweight="1pt">
                  <v:shadow on="t" color="red" opacity="26214f" origin="-.5,-.5" offset=".74836mm,.74836mm"/>
                  <v:textbox inset="0,0,0,0">
                    <w:txbxContent>
                      <w:p w14:paraId="7983AEA9" w14:textId="77777777" w:rsidR="00F25FCF" w:rsidRDefault="00F25FCF" w:rsidP="000F5770">
                        <w:pPr>
                          <w:pStyle w:val="NormalWeb"/>
                          <w:spacing w:before="0" w:after="0"/>
                          <w:jc w:val="center"/>
                        </w:pPr>
                        <w:r>
                          <w:rPr>
                            <w:rFonts w:ascii="Arial Narrow" w:eastAsia="Microsoft YaHei" w:hAnsi="Arial Narrow" w:cs="Arial"/>
                            <w:b/>
                            <w:bCs/>
                            <w:color w:val="0D0D0D"/>
                            <w14:textFill>
                              <w14:solidFill>
                                <w14:srgbClr w14:val="0D0D0D">
                                  <w14:lumMod w14:val="95000"/>
                                  <w14:lumOff w14:val="5000"/>
                                </w14:srgbClr>
                              </w14:solidFill>
                            </w14:textFill>
                          </w:rPr>
                          <w:t>ГЕНЕРАЛЬНИЙ ШТАБ ЗБРОЙНИХ СИЛ УКРАЇНИ</w:t>
                        </w:r>
                      </w:p>
                    </w:txbxContent>
                  </v:textbox>
                </v:rect>
                <v:rect id="Rectangle 5815" o:spid="_x0000_s1091" style="position:absolute;left:19431;top:36210;width:14398;height:52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" fillcolor="window" strokecolor="#009" strokeweight="1.5pt">
                  <v:shadow on="t" color="black" opacity="26214f" origin="-.5,-.5" offset=".74836mm,.74836mm"/>
                  <v:textbox inset="0,0,0,0">
                    <w:txbxContent>
                      <w:p w14:paraId="18F3D313"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Української військово-медичної академії </w:t>
                        </w:r>
                      </w:p>
                      <w:p w14:paraId="5CF54356" w14:textId="77777777" w:rsidR="00F25FCF" w:rsidRDefault="00F25FCF" w:rsidP="00FB1BC6">
                        <w:pPr>
                          <w:pStyle w:val="NormalWeb"/>
                          <w:spacing w:before="0" w:after="0"/>
                          <w:ind w:firstLine="0"/>
                          <w:jc w:val="center"/>
                        </w:pPr>
                        <w:r>
                          <w:rPr>
                            <w:rFonts w:ascii="Arial Narrow" w:eastAsia="Microsoft YaHei" w:hAnsi="Arial Narrow" w:cs="Arial"/>
                            <w:i/>
                            <w:iCs/>
                            <w:color w:val="0D0D0D"/>
                            <w:sz w:val="16"/>
                            <w:szCs w:val="16"/>
                            <w14:textFill>
                              <w14:solidFill>
                                <w14:srgbClr w14:val="0D0D0D">
                                  <w14:lumMod w14:val="95000"/>
                                  <w14:lumOff w14:val="5000"/>
                                </w14:srgbClr>
                              </w14:solidFill>
                            </w14:textFill>
                          </w:rPr>
                          <w:t>(Науково-дослідний інститут проблем військової медицини)</w:t>
                        </w:r>
                      </w:p>
                    </w:txbxContent>
                  </v:textbox>
                </v:rect>
                <v:rect id="Rectangle 10" o:spid="_x0000_s1092" style="position:absolute;left:13716;top:12382;width:13620;height:41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" fillcolor="window" strokecolor="#009" strokeweight="1.5pt">
                  <v:shadow on="t" color="black" opacity="26214f" origin="-.5,-.5" offset=".74836mm,.74836mm"/>
                  <v:textbox inset="0,0,0,0">
                    <w:txbxContent>
                      <w:p w14:paraId="543D9BBF"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Науково-дослідний центр </w:t>
                        </w:r>
                      </w:p>
                      <w:p w14:paraId="5A8CBFAF"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гуманітарних </w:t>
                        </w:r>
                        <w:r>
                          <w:rPr>
                            <w:rFonts w:ascii="Arial Narrow" w:eastAsia="Microsoft YaHei" w:hAnsi="Arial Narrow" w:cs="Arial"/>
                            <w:b/>
                            <w:bCs/>
                            <w:color w:val="0D0D0D"/>
                            <w:sz w:val="16"/>
                            <w:szCs w:val="16"/>
                            <w:lang w:val="ru-RU"/>
                            <w14:textFill>
                              <w14:solidFill>
                                <w14:srgbClr w14:val="0D0D0D">
                                  <w14:lumMod w14:val="95000"/>
                                  <w14:lumOff w14:val="5000"/>
                                </w14:srgbClr>
                              </w14:solidFill>
                            </w14:textFill>
                          </w:rPr>
                          <w:t xml:space="preserve">проблем </w:t>
                        </w:r>
                      </w:p>
                      <w:p w14:paraId="64A2797C"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ЗС України</w:t>
                        </w:r>
                      </w:p>
                    </w:txbxContent>
                  </v:textbox>
                </v:rect>
                <v:rect id="Rectangle 10" o:spid="_x0000_s1093" style="position:absolute;left:37830;top:11684;width:13605;height:520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" fillcolor="window" strokecolor="#009" strokeweight="1.5pt">
                  <v:shadow on="t" color="black" opacity="26214f" origin="-.5,-.5" offset=".74836mm,.74836mm"/>
                  <v:textbox inset="0,0,0,0">
                    <w:txbxContent>
                      <w:p w14:paraId="5F2CBD9E" w14:textId="77777777" w:rsidR="00F25FCF" w:rsidRDefault="00F25FCF" w:rsidP="00FB1BC6">
                        <w:pPr>
                          <w:pStyle w:val="NormalWeb"/>
                          <w:spacing w:before="0" w:after="0"/>
                          <w:ind w:firstLine="0"/>
                          <w:jc w:val="center"/>
                          <w:textAlignment w:val="baseline"/>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 Державний науково-дослідний інститут випробувань і  сертифікації </w:t>
                        </w:r>
                        <w:r>
                          <w:rPr>
                            <w:rFonts w:ascii="Arial Narrow" w:hAnsi="Arial Narrow" w:cs="Arial"/>
                            <w:b/>
                            <w:bCs/>
                            <w:color w:val="0D0D0D"/>
                            <w:sz w:val="16"/>
                            <w:szCs w:val="16"/>
                            <w14:textFill>
                              <w14:solidFill>
                                <w14:srgbClr w14:val="0D0D0D">
                                  <w14:lumMod w14:val="95000"/>
                                  <w14:lumOff w14:val="5000"/>
                                </w14:srgbClr>
                              </w14:solidFill>
                            </w14:textFill>
                          </w:rPr>
                          <w:t xml:space="preserve">озброєння та військової техніки </w:t>
                        </w:r>
                      </w:p>
                    </w:txbxContent>
                  </v:textbox>
                </v:rect>
                <v:rect id="Rectangle 14" o:spid="_x0000_s1094" style="position:absolute;top:32527;width:11382;height:65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" fillcolor="window" strokecolor="#009" strokeweight="1.5pt">
                  <v:shadow on="t" color="black" opacity="26214f" origin="-.5,-.5" offset=".74836mm,.74836mm"/>
                  <v:textbox inset="0,0,0,0">
                    <w:txbxContent>
                      <w:p w14:paraId="289E1F5E"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Військового інституту телекомунікацій та інформатизації </w:t>
                        </w:r>
                        <w:r>
                          <w:rPr>
                            <w:rFonts w:ascii="Arial Narrow" w:eastAsia="Microsoft YaHei" w:hAnsi="Arial Narrow" w:cs="Arial"/>
                            <w:b/>
                            <w:bCs/>
                            <w:color w:val="0D0D0D"/>
                            <w:sz w:val="16"/>
                            <w:szCs w:val="16"/>
                            <w14:textFill>
                              <w14:solidFill>
                                <w14:srgbClr w14:val="0D0D0D">
                                  <w14:lumMod w14:val="95000"/>
                                  <w14:lumOff w14:val="5000"/>
                                </w14:srgbClr>
                              </w14:solidFill>
                            </w14:textFill>
                          </w:rPr>
                          <w:br/>
                        </w:r>
                        <w:r>
                          <w:rPr>
                            <w:rFonts w:ascii="Arial Narrow" w:eastAsia="Microsoft YaHei" w:hAnsi="Arial Narrow" w:cs="Arial"/>
                            <w:i/>
                            <w:iCs/>
                            <w:color w:val="0D0D0D"/>
                            <w:sz w:val="16"/>
                            <w:szCs w:val="16"/>
                            <w14:textFill>
                              <w14:solidFill>
                                <w14:srgbClr w14:val="0D0D0D">
                                  <w14:lumMod w14:val="95000"/>
                                  <w14:lumOff w14:val="5000"/>
                                </w14:srgbClr>
                              </w14:solidFill>
                            </w14:textFill>
                          </w:rPr>
                          <w:t>(Науковий центр зв</w:t>
                        </w:r>
                        <w:r>
                          <w:rPr>
                            <w:rFonts w:ascii="Arial Narrow" w:eastAsia="Microsoft YaHei" w:hAnsi="Arial Narrow" w:cs="Arial"/>
                            <w:i/>
                            <w:iCs/>
                            <w:color w:val="0D0D0D"/>
                            <w:sz w:val="16"/>
                            <w:szCs w:val="16"/>
                            <w:lang w:val="en-US"/>
                            <w14:textFill>
                              <w14:solidFill>
                                <w14:srgbClr w14:val="0D0D0D">
                                  <w14:lumMod w14:val="95000"/>
                                  <w14:lumOff w14:val="5000"/>
                                </w14:srgbClr>
                              </w14:solidFill>
                            </w14:textFill>
                          </w:rPr>
                          <w:t>’</w:t>
                        </w:r>
                        <w:r>
                          <w:rPr>
                            <w:rFonts w:ascii="Arial Narrow" w:eastAsia="Microsoft YaHei" w:hAnsi="Arial Narrow" w:cs="Arial"/>
                            <w:i/>
                            <w:iCs/>
                            <w:color w:val="0D0D0D"/>
                            <w:sz w:val="16"/>
                            <w:szCs w:val="16"/>
                            <w14:textFill>
                              <w14:solidFill>
                                <w14:srgbClr w14:val="0D0D0D">
                                  <w14:lumMod w14:val="95000"/>
                                  <w14:lumOff w14:val="5000"/>
                                </w14:srgbClr>
                              </w14:solidFill>
                            </w14:textFill>
                          </w:rPr>
                          <w:t xml:space="preserve">язку та інформатизації)  </w:t>
                        </w:r>
                      </w:p>
                    </w:txbxContent>
                  </v:textbox>
                </v:rect>
                <v:rect id="Rectangle 10" o:spid="_x0000_s1095" style="position:absolute;left:25336;width:38529;height:21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" fillcolor="window" strokecolor="red" strokeweight="1pt">
                  <v:shadow on="t" color="red" opacity="26214f" origin="-.5,-.5" offset=".74836mm,.74836mm"/>
                  <v:textbox inset="0,0,0,0">
                    <w:txbxContent>
                      <w:p w14:paraId="334B7EEE" w14:textId="77777777" w:rsidR="00F25FCF" w:rsidRDefault="00F25FCF" w:rsidP="000F5770">
                        <w:pPr>
                          <w:pStyle w:val="NormalWeb"/>
                          <w:spacing w:before="0" w:after="0"/>
                          <w:jc w:val="center"/>
                        </w:pPr>
                        <w:r>
                          <w:rPr>
                            <w:rFonts w:ascii="Arial Narrow" w:eastAsia="Microsoft YaHei" w:hAnsi="Arial Narrow" w:cs="Arial"/>
                            <w:b/>
                            <w:bCs/>
                            <w:color w:val="0D0D0D"/>
                            <w14:textFill>
                              <w14:solidFill>
                                <w14:srgbClr w14:val="0D0D0D">
                                  <w14:lumMod w14:val="95000"/>
                                  <w14:lumOff w14:val="5000"/>
                                </w14:srgbClr>
                              </w14:solidFill>
                            </w14:textFill>
                          </w:rPr>
                          <w:t>МІНІСТЕРСТВО ОБОРОНИ УКРАЇНИ</w:t>
                        </w:r>
                      </w:p>
                    </w:txbxContent>
                  </v:textbox>
                </v:rect>
                <v:rect id="Rectangle 10" o:spid="_x0000_s1096" style="position:absolute;left:14954;top:2746;width:11160;height:52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" fillcolor="window" strokecolor="#009" strokeweight="1.5pt">
                  <v:shadow on="t" color="black" opacity="26214f" origin="-.5,-.5" offset=".74836mm,.74836mm"/>
                  <v:textbox inset="0,0,0,0">
                    <w:txbxContent>
                      <w:p w14:paraId="33DB7ACD"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Центральний </w:t>
                        </w:r>
                      </w:p>
                      <w:p w14:paraId="0602D5EE"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науково-дослідний інститут</w:t>
                        </w:r>
                      </w:p>
                      <w:p w14:paraId="35D5BB91" w14:textId="77777777" w:rsidR="00F25FCF" w:rsidRDefault="00F25FCF" w:rsidP="00FB1BC6">
                        <w:pPr>
                          <w:pStyle w:val="NormalWeb"/>
                          <w:spacing w:before="0" w:after="0"/>
                          <w:ind w:firstLine="0"/>
                          <w:jc w:val="center"/>
                        </w:pPr>
                        <w:r>
                          <w:rPr>
                            <w:rFonts w:ascii="Arial Narrow" w:eastAsia="Microsoft YaHei" w:hAnsi="Arial Narrow" w:cs="Arial"/>
                            <w:b/>
                            <w:bCs/>
                            <w:color w:val="0D0D0D"/>
                            <w:spacing w:val="-4"/>
                            <w:sz w:val="16"/>
                            <w:szCs w:val="16"/>
                            <w14:textFill>
                              <w14:solidFill>
                                <w14:srgbClr w14:val="0D0D0D">
                                  <w14:lumMod w14:val="95000"/>
                                  <w14:lumOff w14:val="5000"/>
                                </w14:srgbClr>
                              </w14:solidFill>
                            </w14:textFill>
                          </w:rPr>
                          <w:t xml:space="preserve">ОВТ </w:t>
                        </w:r>
                        <w:r>
                          <w:rPr>
                            <w:rFonts w:ascii="Arial Narrow" w:eastAsia="Microsoft YaHei" w:hAnsi="Arial Narrow" w:cs="Arial"/>
                            <w:b/>
                            <w:bCs/>
                            <w:color w:val="0D0D0D"/>
                            <w:sz w:val="16"/>
                            <w:szCs w:val="16"/>
                            <w14:textFill>
                              <w14:solidFill>
                                <w14:srgbClr w14:val="0D0D0D">
                                  <w14:lumMod w14:val="95000"/>
                                  <w14:lumOff w14:val="5000"/>
                                </w14:srgbClr>
                              </w14:solidFill>
                            </w14:textFill>
                          </w:rPr>
                          <w:t>ЗС України</w:t>
                        </w:r>
                      </w:p>
                    </w:txbxContent>
                  </v:textbox>
                </v:rect>
                <v:rect id="Rectangle 10" o:spid="_x0000_s1097" style="position:absolute;left:27463;top:2778;width:11160;height:520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" fillcolor="window" strokecolor="#009" strokeweight="1.5pt">
                  <v:shadow on="t" color="black" opacity="26214f" origin="-.5,-.5" offset=".74836mm,.74836mm"/>
                  <v:textbox inset="0,0,0,0">
                    <w:txbxContent>
                      <w:p w14:paraId="2B4E0A3C"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Державний </w:t>
                        </w:r>
                      </w:p>
                      <w:p w14:paraId="6BEB5D29"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науково-дослідний інститут авіації  </w:t>
                        </w:r>
                      </w:p>
                    </w:txbxContent>
                  </v:textbox>
                </v:rect>
                <v:rect id="Rectangle 11" o:spid="_x0000_s1098" style="position:absolute;left:15;top:2730;width:13605;height:52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" fillcolor="window" strokecolor="#009" strokeweight="1.5pt">
                  <v:shadow on="t" color="black" opacity="26214f" origin="-.5,-.5" offset=".74836mm,.74836mm"/>
                  <v:textbox inset="0,0,0,0">
                    <w:txbxContent>
                      <w:p w14:paraId="299C368E"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Національний університет оборони України</w:t>
                        </w:r>
                      </w:p>
                      <w:p w14:paraId="68E5A679" w14:textId="77777777" w:rsidR="00F25FCF" w:rsidRDefault="00F25FCF" w:rsidP="00FB1BC6">
                        <w:pPr>
                          <w:pStyle w:val="NormalWeb"/>
                          <w:spacing w:before="0" w:after="0"/>
                          <w:ind w:firstLine="0"/>
                          <w:jc w:val="center"/>
                        </w:pPr>
                        <w:r>
                          <w:rPr>
                            <w:rFonts w:ascii="Arial Narrow" w:eastAsia="Microsoft YaHei" w:hAnsi="Arial Narrow" w:cs="Arial"/>
                            <w:i/>
                            <w:iCs/>
                            <w:color w:val="0D0D0D"/>
                            <w:sz w:val="16"/>
                            <w:szCs w:val="16"/>
                            <w14:textFill>
                              <w14:solidFill>
                                <w14:srgbClr w14:val="0D0D0D">
                                  <w14:lumMod w14:val="95000"/>
                                  <w14:lumOff w14:val="5000"/>
                                </w14:srgbClr>
                              </w14:solidFill>
                            </w14:textFill>
                          </w:rPr>
                          <w:t>(Центр воєнно-стратегічних досліджень, інші наук. підрозділи)</w:t>
                        </w:r>
                      </w:p>
                    </w:txbxContent>
                  </v:textbox>
                </v:rect>
                <v:rect id="Rectangle 13" o:spid="_x0000_s1099" style="position:absolute;left:40084;top:2730;width:11160;height:52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" fillcolor="window" strokecolor="#009" strokeweight="1.5pt">
                  <v:shadow on="t" color="black" opacity="26214f" origin="-.5,-.5" offset=".74836mm,.74836mm"/>
                  <v:textbox inset="0,0,0,0">
                    <w:txbxContent>
                      <w:p w14:paraId="524694DD"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Науково-дослідний інститут</w:t>
                        </w:r>
                      </w:p>
                      <w:p w14:paraId="78C9CD34" w14:textId="77777777" w:rsidR="00F25FCF" w:rsidRDefault="00F25FCF" w:rsidP="00FB1BC6">
                        <w:pPr>
                          <w:pStyle w:val="NormalWeb"/>
                          <w:spacing w:before="0" w:after="0"/>
                          <w:ind w:firstLine="0"/>
                          <w:jc w:val="center"/>
                        </w:pPr>
                        <w:r>
                          <w:rPr>
                            <w:rFonts w:ascii="Arial Narrow" w:hAnsi="Arial Narrow" w:cs="Arial"/>
                            <w:b/>
                            <w:bCs/>
                            <w:color w:val="0D0D0D"/>
                            <w:sz w:val="16"/>
                            <w:szCs w:val="16"/>
                            <w14:textFill>
                              <w14:solidFill>
                                <w14:srgbClr w14:val="0D0D0D">
                                  <w14:lumMod w14:val="95000"/>
                                  <w14:lumOff w14:val="5000"/>
                                </w14:srgbClr>
                              </w14:solidFill>
                            </w14:textFill>
                          </w:rPr>
                          <w:t>воєнної розвідки</w:t>
                        </w:r>
                      </w:p>
                    </w:txbxContent>
                  </v:textbox>
                </v:rect>
                <v:rect id="Rectangle 10" o:spid="_x0000_s1100" style="position:absolute;left:65373;top:2698;width:11160;height:52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" fillcolor="window" strokecolor="#009" strokeweight="1.5pt">
                  <v:shadow on="t" color="black" opacity="26214f" origin="-.5,-.5" offset=".74836mm,.74836mm"/>
                  <v:textbox inset="0,0,0,0">
                    <w:txbxContent>
                      <w:p w14:paraId="4EB33138"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Науково-методичний </w:t>
                        </w:r>
                        <w:r>
                          <w:rPr>
                            <w:rFonts w:ascii="Arial Narrow" w:eastAsia="Microsoft YaHei" w:hAnsi="Arial Narrow" w:cs="Arial"/>
                            <w:b/>
                            <w:bCs/>
                            <w:color w:val="0D0D0D"/>
                            <w:sz w:val="16"/>
                            <w:szCs w:val="16"/>
                            <w14:textFill>
                              <w14:solidFill>
                                <w14:srgbClr w14:val="0D0D0D">
                                  <w14:lumMod w14:val="95000"/>
                                  <w14:lumOff w14:val="5000"/>
                                </w14:srgbClr>
                              </w14:solidFill>
                            </w14:textFill>
                          </w:rPr>
                          <w:br/>
                          <w:t>центр кадрової політики МО України</w:t>
                        </w:r>
                      </w:p>
                    </w:txbxContent>
                  </v:textbox>
                </v:rect>
                <v:rect id="Rectangle 13" o:spid="_x0000_s1101" style="position:absolute;left:77962;top:2682;width:11160;height:52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" fillcolor="window" strokecolor="#009" strokeweight="1.5pt">
                  <v:shadow on="t" color="black" opacity="26214f" origin="-.5,-.5" offset=".74836mm,.74836mm"/>
                  <v:textbox inset="0,0,0,0">
                    <w:txbxContent>
                      <w:p w14:paraId="3F87489B"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Військово-юридичний</w:t>
                        </w:r>
                      </w:p>
                      <w:p w14:paraId="43F93F98"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інститут Національного </w:t>
                        </w:r>
                        <w:r>
                          <w:rPr>
                            <w:rFonts w:ascii="Arial Narrow" w:eastAsia="Microsoft YaHei" w:hAnsi="Arial Narrow" w:cs="Arial"/>
                            <w:b/>
                            <w:bCs/>
                            <w:color w:val="0D0D0D"/>
                            <w:spacing w:val="-4"/>
                            <w:sz w:val="16"/>
                            <w:szCs w:val="16"/>
                            <w14:textFill>
                              <w14:solidFill>
                                <w14:srgbClr w14:val="0D0D0D">
                                  <w14:lumMod w14:val="95000"/>
                                  <w14:lumOff w14:val="5000"/>
                                </w14:srgbClr>
                              </w14:solidFill>
                            </w14:textFill>
                          </w:rPr>
                          <w:t xml:space="preserve">юридичного університету </w:t>
                        </w:r>
                      </w:p>
                      <w:p w14:paraId="4C098987" w14:textId="77777777" w:rsidR="00F25FCF" w:rsidRDefault="00F25FCF" w:rsidP="000F5770">
                        <w:pPr>
                          <w:pStyle w:val="NormalWeb"/>
                          <w:spacing w:before="0" w:after="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ім. Я. Мудрого </w:t>
                        </w:r>
                        <w:r>
                          <w:rPr>
                            <w:rFonts w:ascii="Arial Narrow" w:eastAsia="Microsoft YaHei" w:hAnsi="Arial Narrow" w:cs="Arial"/>
                            <w:b/>
                            <w:bCs/>
                            <w:i/>
                            <w:iCs/>
                            <w:color w:val="0D0D0D"/>
                            <w:sz w:val="16"/>
                            <w:szCs w:val="16"/>
                            <w14:textFill>
                              <w14:solidFill>
                                <w14:srgbClr w14:val="0D0D0D">
                                  <w14:lumMod w14:val="95000"/>
                                  <w14:lumOff w14:val="5000"/>
                                </w14:srgbClr>
                              </w14:solidFill>
                            </w14:textFill>
                          </w:rPr>
                          <w:t xml:space="preserve">(НДЛ)  </w:t>
                        </w:r>
                      </w:p>
                    </w:txbxContent>
                  </v:textbox>
                </v:rect>
                <v:rect id="Rectangle 10" o:spid="_x0000_s1102" style="position:absolute;left:111;top:11731;width:13605;height:41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" fillcolor="window" strokecolor="#009" strokeweight="1.5pt">
                  <v:shadow on="t" color="black" opacity="26214f" origin="-.5,-.5" offset=".74836mm,.74836mm"/>
                  <v:textbox inset="0,0,0,0">
                    <w:txbxContent>
                      <w:p w14:paraId="541181AB" w14:textId="77777777" w:rsidR="00F25FCF" w:rsidRDefault="00F25FCF" w:rsidP="00FB1BC6">
                        <w:pPr>
                          <w:pStyle w:val="NormalWeb"/>
                          <w:tabs>
                            <w:tab w:val="left" w:pos="0"/>
                          </w:tabs>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Центральний </w:t>
                        </w:r>
                      </w:p>
                      <w:p w14:paraId="3EA866B2" w14:textId="77777777" w:rsidR="00F25FCF" w:rsidRDefault="00F25FCF" w:rsidP="00FB1BC6">
                        <w:pPr>
                          <w:pStyle w:val="NormalWeb"/>
                          <w:tabs>
                            <w:tab w:val="left" w:pos="0"/>
                          </w:tabs>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науково-дослідний інститут</w:t>
                        </w:r>
                      </w:p>
                      <w:p w14:paraId="5D7891E1" w14:textId="77777777" w:rsidR="00F25FCF" w:rsidRDefault="00F25FCF" w:rsidP="00FB1BC6">
                        <w:pPr>
                          <w:pStyle w:val="NormalWeb"/>
                          <w:tabs>
                            <w:tab w:val="left" w:pos="0"/>
                          </w:tabs>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ЗС України </w:t>
                        </w:r>
                      </w:p>
                    </w:txbxContent>
                  </v:textbox>
                </v:rect>
                <v:rect id="Rectangle 10" o:spid="_x0000_s1103" style="position:absolute;left:698;top:9223;width:27003;height:21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" fillcolor="window" strokecolor="red" strokeweight="1pt">
                  <v:shadow on="t" color="red" opacity="26214f" origin="-.5,-.5" offset=".74836mm,.74836mm"/>
                  <v:textbox inset="0,0,0,0">
                    <w:txbxContent>
                      <w:p w14:paraId="7CC2E8FB" w14:textId="77777777" w:rsidR="00F25FCF" w:rsidRDefault="00F25FCF" w:rsidP="000F5770">
                        <w:pPr>
                          <w:pStyle w:val="NormalWeb"/>
                          <w:spacing w:before="0" w:after="0"/>
                          <w:jc w:val="center"/>
                        </w:pPr>
                        <w:r>
                          <w:rPr>
                            <w:rFonts w:ascii="Arial Narrow" w:eastAsia="Microsoft YaHei" w:hAnsi="Arial Narrow" w:cs="Arial"/>
                            <w:b/>
                            <w:bCs/>
                            <w:color w:val="0D0D0D"/>
                            <w14:textFill>
                              <w14:solidFill>
                                <w14:srgbClr w14:val="0D0D0D">
                                  <w14:lumMod w14:val="95000"/>
                                  <w14:lumOff w14:val="5000"/>
                                </w14:srgbClr>
                              </w14:solidFill>
                            </w14:textFill>
                          </w:rPr>
                          <w:t>ГОЛОВНОКОМАНДУВАЧ ЗБРОЙНИХ СИЛ УКРАЇНИ</w:t>
                        </w:r>
                      </w:p>
                    </w:txbxContent>
                  </v:textbox>
                </v:rect>
                <v:rect id="Rectangle 10" o:spid="_x0000_s1104" style="position:absolute;left:72691;top:21145;width:14399;height:64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" fillcolor="window" strokecolor="#009" strokeweight="1.5pt">
                  <v:shadow on="t" color="black" opacity="26214f" origin="-.5,-.5" offset=".74836mm,.74836mm"/>
                  <v:textbox inset="0,0,0,0">
                    <w:txbxContent>
                      <w:p w14:paraId="742DC0EA" w14:textId="77777777" w:rsidR="00F25FCF" w:rsidRDefault="00F25FCF" w:rsidP="00FB1BC6">
                        <w:pPr>
                          <w:pStyle w:val="NormalWeb"/>
                          <w:spacing w:before="0" w:after="0"/>
                          <w:ind w:firstLine="0"/>
                          <w:jc w:val="center"/>
                          <w:textAlignment w:val="baseline"/>
                        </w:pPr>
                        <w:r>
                          <w:rPr>
                            <w:rFonts w:ascii="Arial Narrow" w:eastAsia="Microsoft YaHei" w:hAnsi="Arial Narrow" w:cs="Arial"/>
                            <w:b/>
                            <w:bCs/>
                            <w:color w:val="0D0D0D"/>
                            <w:sz w:val="16"/>
                            <w:szCs w:val="16"/>
                            <w14:textFill>
                              <w14:solidFill>
                                <w14:srgbClr w14:val="0D0D0D">
                                  <w14:lumMod w14:val="95000"/>
                                  <w14:lumOff w14:val="5000"/>
                                </w14:srgbClr>
                              </w14:solidFill>
                            </w14:textFill>
                          </w:rPr>
                          <w:t>Інститут Військово-Морських</w:t>
                        </w:r>
                        <w:r>
                          <w:rPr>
                            <w:rFonts w:ascii="Arial Narrow" w:eastAsia="Microsoft YaHei" w:hAnsi="Arial Narrow" w:cs="Arial"/>
                            <w:b/>
                            <w:bCs/>
                            <w:color w:val="0D0D0D"/>
                            <w:sz w:val="16"/>
                            <w:szCs w:val="16"/>
                            <w14:textFill>
                              <w14:solidFill>
                                <w14:srgbClr w14:val="0D0D0D">
                                  <w14:lumMod w14:val="95000"/>
                                  <w14:lumOff w14:val="5000"/>
                                </w14:srgbClr>
                              </w14:solidFill>
                            </w14:textFill>
                          </w:rPr>
                          <w:br/>
                          <w:t xml:space="preserve"> Сил Національного університету “Одеська морська академія”</w:t>
                        </w:r>
                      </w:p>
                      <w:p w14:paraId="1A4EBA5C" w14:textId="77777777" w:rsidR="00F25FCF" w:rsidRDefault="00F25FCF" w:rsidP="00FB1BC6">
                        <w:pPr>
                          <w:pStyle w:val="NormalWeb"/>
                          <w:spacing w:before="0" w:after="0"/>
                          <w:ind w:firstLine="0"/>
                          <w:jc w:val="center"/>
                          <w:textAlignment w:val="baseline"/>
                        </w:pPr>
                        <w:r>
                          <w:rPr>
                            <w:rFonts w:ascii="Arial Narrow" w:eastAsia="Microsoft YaHei" w:hAnsi="Arial Narrow" w:cs="Arial"/>
                            <w:i/>
                            <w:iCs/>
                            <w:color w:val="0D0D0D"/>
                            <w:sz w:val="16"/>
                            <w:szCs w:val="16"/>
                            <w14:textFill>
                              <w14:solidFill>
                                <w14:srgbClr w14:val="0D0D0D">
                                  <w14:lumMod w14:val="95000"/>
                                  <w14:lumOff w14:val="5000"/>
                                </w14:srgbClr>
                              </w14:solidFill>
                            </w14:textFill>
                          </w:rPr>
                          <w:t>(Науково-дослідний центр ЗС України «Державний океанаріум»)</w:t>
                        </w:r>
                      </w:p>
                    </w:txbxContent>
                  </v:textbox>
                </v:rect>
                <v:rect id="Rectangle 8" o:spid="_x0000_s1105" style="position:absolute;left:49514;top:21145;width:14398;height:436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" fillcolor="window" strokecolor="#009" strokeweight="1.5pt">
                  <v:shadow on="t" color="black" opacity="26214f" origin="-.5,-.5" offset=".74836mm,.74836mm"/>
                  <v:textbox inset="0,0,0,0">
                    <w:txbxContent>
                      <w:p w14:paraId="7197455C"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Харківський національний університет Повітряних Сил</w:t>
                        </w:r>
                      </w:p>
                      <w:p w14:paraId="534CC797" w14:textId="77777777" w:rsidR="00F25FCF" w:rsidRDefault="00F25FCF" w:rsidP="00FB1BC6">
                        <w:pPr>
                          <w:pStyle w:val="NormalWeb"/>
                          <w:spacing w:before="0" w:after="0"/>
                          <w:ind w:firstLine="0"/>
                          <w:jc w:val="center"/>
                        </w:pPr>
                        <w:r>
                          <w:rPr>
                            <w:rFonts w:ascii="Arial Narrow" w:eastAsia="Microsoft YaHei" w:hAnsi="Arial Narrow" w:cs="Arial"/>
                            <w:i/>
                            <w:iCs/>
                            <w:color w:val="0D0D0D"/>
                            <w:sz w:val="16"/>
                            <w:szCs w:val="16"/>
                            <w14:textFill>
                              <w14:solidFill>
                                <w14:srgbClr w14:val="0D0D0D">
                                  <w14:lumMod w14:val="95000"/>
                                  <w14:lumOff w14:val="5000"/>
                                </w14:srgbClr>
                              </w14:solidFill>
                            </w14:textFill>
                          </w:rPr>
                          <w:t>(Науковий центр  Повітряних Сил)</w:t>
                        </w:r>
                      </w:p>
                    </w:txbxContent>
                  </v:textbox>
                </v:rect>
                <v:rect id="Rectangle 15" o:spid="_x0000_s1106" style="position:absolute;left:12827;top:26654;width:11366;height:52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" fillcolor="window" strokecolor="#009" strokeweight="1.5pt">
                  <v:shadow on="t" color="black" opacity="26214f" origin="-.5,-.5" offset=".74836mm,.74836mm"/>
                  <v:textbox inset="0,0,0,0">
                    <w:txbxContent>
                      <w:p w14:paraId="4E1A2424"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Житомирський </w:t>
                        </w:r>
                      </w:p>
                      <w:p w14:paraId="5BE9571D"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військовий інститут</w:t>
                        </w:r>
                      </w:p>
                      <w:p w14:paraId="21BFCBCE" w14:textId="77777777" w:rsidR="00F25FCF" w:rsidRDefault="00F25FCF" w:rsidP="00FB1BC6">
                        <w:pPr>
                          <w:pStyle w:val="NormalWeb"/>
                          <w:spacing w:before="0" w:after="0"/>
                          <w:ind w:firstLine="0"/>
                          <w:jc w:val="center"/>
                        </w:pPr>
                        <w:r>
                          <w:rPr>
                            <w:rFonts w:ascii="Arial Narrow" w:eastAsia="Microsoft YaHei" w:hAnsi="Arial Narrow" w:cs="Arial"/>
                            <w:i/>
                            <w:iCs/>
                            <w:color w:val="0D0D0D"/>
                            <w:sz w:val="16"/>
                            <w:szCs w:val="16"/>
                            <w14:textFill>
                              <w14:solidFill>
                                <w14:srgbClr w14:val="0D0D0D">
                                  <w14:lumMod w14:val="95000"/>
                                  <w14:lumOff w14:val="5000"/>
                                </w14:srgbClr>
                              </w14:solidFill>
                            </w14:textFill>
                          </w:rPr>
                          <w:t>(Науково-дослідний центр</w:t>
                        </w:r>
                        <w:r>
                          <w:rPr>
                            <w:rFonts w:ascii="Arial Narrow" w:eastAsia="Microsoft YaHei" w:hAnsi="Arial Narrow" w:cs="Arial"/>
                            <w:b/>
                            <w:bCs/>
                            <w:color w:val="0D0D0D"/>
                            <w:sz w:val="16"/>
                            <w:szCs w:val="16"/>
                            <w14:textFill>
                              <w14:solidFill>
                                <w14:srgbClr w14:val="0D0D0D">
                                  <w14:lumMod w14:val="95000"/>
                                  <w14:lumOff w14:val="5000"/>
                                </w14:srgbClr>
                              </w14:solidFill>
                            </w14:textFill>
                          </w:rPr>
                          <w:t>)</w:t>
                        </w:r>
                      </w:p>
                    </w:txbxContent>
                  </v:textbox>
                </v:rect>
                <v:rect id="Rectangle 13" o:spid="_x0000_s1107" style="position:absolute;left:25590;top:20859;width:14399;height:52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" fillcolor="window" strokecolor="#009" strokeweight="1.5pt">
                  <v:shadow on="t" color="black" opacity="26214f" origin="-.5,-.5" offset=".74836mm,.74836mm"/>
                  <v:textbox inset="0,0,0,0">
                    <w:txbxContent>
                      <w:p w14:paraId="7EE5FD8B"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Військовий інститут </w:t>
                        </w:r>
                      </w:p>
                      <w:p w14:paraId="583CAA37"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Київського національного університету  ім. Т.Шевченка</w:t>
                        </w:r>
                      </w:p>
                      <w:p w14:paraId="2A5AEF67" w14:textId="77777777" w:rsidR="00F25FCF" w:rsidRDefault="00F25FCF" w:rsidP="00FB1BC6">
                        <w:pPr>
                          <w:pStyle w:val="NormalWeb"/>
                          <w:spacing w:before="0" w:after="0"/>
                          <w:ind w:firstLine="0"/>
                          <w:jc w:val="center"/>
                        </w:pPr>
                        <w:r>
                          <w:rPr>
                            <w:rFonts w:ascii="Arial Narrow" w:eastAsia="Microsoft YaHei" w:hAnsi="Arial Narrow" w:cs="Arial"/>
                            <w:i/>
                            <w:iCs/>
                            <w:color w:val="0D0D0D"/>
                            <w:sz w:val="16"/>
                            <w:szCs w:val="16"/>
                            <w14:textFill>
                              <w14:solidFill>
                                <w14:srgbClr w14:val="0D0D0D">
                                  <w14:lumMod w14:val="95000"/>
                                  <w14:lumOff w14:val="5000"/>
                                </w14:srgbClr>
                              </w14:solidFill>
                            </w14:textFill>
                          </w:rPr>
                          <w:t>(Науково-дослідний центр)</w:t>
                        </w:r>
                      </w:p>
                    </w:txbxContent>
                  </v:textbox>
                </v:rect>
                <v:rect id="Rectangle 7" o:spid="_x0000_s1108" style="position:absolute;top:20859;width:11382;height:52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" fillcolor="window" strokecolor="#009" strokeweight="1.5pt">
                  <v:shadow on="t" color="black" opacity="26214f" origin="-.5,-.5" offset=".74836mm,.74836mm"/>
                  <v:textbox inset="0,0,0,0">
                    <w:txbxContent>
                      <w:p w14:paraId="56DEBD44"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Національна  академія </w:t>
                        </w:r>
                      </w:p>
                      <w:p w14:paraId="3A0FC72D" w14:textId="77777777" w:rsidR="00F25FCF" w:rsidRDefault="00F25FCF" w:rsidP="00FB1BC6">
                        <w:pPr>
                          <w:pStyle w:val="NormalWeb"/>
                          <w:spacing w:before="0" w:after="0"/>
                          <w:ind w:firstLine="0"/>
                          <w:jc w:val="center"/>
                          <w:textAlignment w:val="baseline"/>
                        </w:pPr>
                        <w:r>
                          <w:rPr>
                            <w:rFonts w:ascii="Arial Narrow" w:eastAsia="Microsoft YaHei" w:hAnsi="Arial Narrow" w:cs="Arial"/>
                            <w:b/>
                            <w:bCs/>
                            <w:color w:val="0D0D0D"/>
                            <w:sz w:val="16"/>
                            <w:szCs w:val="16"/>
                            <w14:textFill>
                              <w14:solidFill>
                                <w14:srgbClr w14:val="0D0D0D">
                                  <w14:lumMod w14:val="95000"/>
                                  <w14:lumOff w14:val="5000"/>
                                </w14:srgbClr>
                              </w14:solidFill>
                            </w14:textFill>
                          </w:rPr>
                          <w:t>сухопутних військ</w:t>
                        </w:r>
                      </w:p>
                      <w:p w14:paraId="0A58CB4A" w14:textId="77777777" w:rsidR="00F25FCF" w:rsidRDefault="00F25FCF" w:rsidP="00FB1BC6">
                        <w:pPr>
                          <w:pStyle w:val="NormalWeb"/>
                          <w:spacing w:before="0" w:after="0"/>
                          <w:ind w:firstLine="0"/>
                          <w:jc w:val="center"/>
                          <w:textAlignment w:val="baseline"/>
                        </w:pPr>
                        <w:r>
                          <w:rPr>
                            <w:rFonts w:ascii="Arial Narrow" w:eastAsia="Microsoft YaHei" w:hAnsi="Arial Narrow" w:cs="Arial"/>
                            <w:i/>
                            <w:iCs/>
                            <w:color w:val="0D0D0D"/>
                            <w:sz w:val="16"/>
                            <w:szCs w:val="16"/>
                            <w14:textFill>
                              <w14:solidFill>
                                <w14:srgbClr w14:val="0D0D0D">
                                  <w14:lumMod w14:val="95000"/>
                                  <w14:lumOff w14:val="5000"/>
                                </w14:srgbClr>
                              </w14:solidFill>
                            </w14:textFill>
                          </w:rPr>
                          <w:t xml:space="preserve">(Науковий центр </w:t>
                        </w:r>
                        <w:r>
                          <w:rPr>
                            <w:rFonts w:ascii="Arial Narrow" w:hAnsi="Arial Narrow" w:cs="Arial"/>
                            <w:i/>
                            <w:iCs/>
                            <w:color w:val="0D0D0D"/>
                            <w:sz w:val="16"/>
                            <w:szCs w:val="16"/>
                            <w14:textFill>
                              <w14:solidFill>
                                <w14:srgbClr w14:val="0D0D0D">
                                  <w14:lumMod w14:val="95000"/>
                                  <w14:lumOff w14:val="5000"/>
                                </w14:srgbClr>
                              </w14:solidFill>
                            </w14:textFill>
                          </w:rPr>
                          <w:t>сухопутних військ)</w:t>
                        </w:r>
                        <w:r>
                          <w:rPr>
                            <w:rFonts w:ascii="Arial Narrow" w:eastAsia="Microsoft YaHei" w:hAnsi="Arial Narrow" w:cs="Arial"/>
                            <w:i/>
                            <w:iCs/>
                            <w:color w:val="0D0D0D"/>
                            <w:sz w:val="16"/>
                            <w:szCs w:val="16"/>
                            <w14:textFill>
                              <w14:solidFill>
                                <w14:srgbClr w14:val="0D0D0D">
                                  <w14:lumMod w14:val="95000"/>
                                  <w14:lumOff w14:val="5000"/>
                                </w14:srgbClr>
                              </w14:solidFill>
                            </w14:textFill>
                          </w:rPr>
                          <w:t xml:space="preserve">  </w:t>
                        </w:r>
                      </w:p>
                    </w:txbxContent>
                  </v:textbox>
                </v:rect>
                <v:rect id="Rectangle 10" o:spid="_x0000_s1109" style="position:absolute;left:12779;top:20859;width:11382;height:52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" fillcolor="window" strokecolor="#009" strokeweight="1.5pt">
                  <v:shadow on="t" color="black" opacity="26214f" origin="-.5,-.5" offset=".74836mm,.74836mm"/>
                  <v:textbox inset="0,0,0,0">
                    <w:txbxContent>
                      <w:p w14:paraId="1C6B6A71"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Військова  академія </w:t>
                        </w:r>
                      </w:p>
                      <w:p w14:paraId="5FDF3ADB"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м. Одеса </w:t>
                        </w:r>
                      </w:p>
                      <w:p w14:paraId="11E1BA2E" w14:textId="77777777" w:rsidR="00F25FCF" w:rsidRDefault="00F25FCF" w:rsidP="00FB1BC6">
                        <w:pPr>
                          <w:pStyle w:val="NormalWeb"/>
                          <w:spacing w:before="0" w:after="0"/>
                          <w:ind w:firstLine="0"/>
                          <w:jc w:val="center"/>
                        </w:pPr>
                        <w:r>
                          <w:rPr>
                            <w:rFonts w:ascii="Arial Narrow" w:eastAsia="Microsoft YaHei" w:hAnsi="Arial Narrow" w:cs="Arial"/>
                            <w:i/>
                            <w:iCs/>
                            <w:color w:val="0D0D0D"/>
                            <w:sz w:val="16"/>
                            <w:szCs w:val="16"/>
                            <w14:textFill>
                              <w14:solidFill>
                                <w14:srgbClr w14:val="0D0D0D">
                                  <w14:lumMod w14:val="95000"/>
                                  <w14:lumOff w14:val="5000"/>
                                </w14:srgbClr>
                              </w14:solidFill>
                            </w14:textFill>
                          </w:rPr>
                          <w:t>(Науковий центр)</w:t>
                        </w:r>
                      </w:p>
                    </w:txbxContent>
                  </v:textbox>
                </v:rect>
                <v:rect id="Rectangle 13" o:spid="_x0000_s1110" style="position:absolute;left:25590;top:26654;width:14399;height:52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" fillcolor="window" strokecolor="#009" strokeweight="1.5pt">
                  <v:shadow on="t" color="black" opacity="26214f" origin="-.5,-.5" offset=".74836mm,.74836mm"/>
                  <v:textbox inset="0,0,0,0">
                    <w:txbxContent>
                      <w:p w14:paraId="502CC6A9"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Військовий інститут танкових військ Національного технічного університету “Харківський політехнічний інститут”</w:t>
                        </w:r>
                        <w:r>
                          <w:rPr>
                            <w:rFonts w:ascii="Arial Narrow" w:hAnsi="Arial Narrow" w:cs="Arial"/>
                            <w:b/>
                            <w:bCs/>
                            <w:color w:val="0D0D0D"/>
                            <w:sz w:val="16"/>
                            <w:szCs w:val="16"/>
                            <w14:textFill>
                              <w14:solidFill>
                                <w14:srgbClr w14:val="0D0D0D">
                                  <w14:lumMod w14:val="95000"/>
                                  <w14:lumOff w14:val="5000"/>
                                </w14:srgbClr>
                              </w14:solidFill>
                            </w14:textFill>
                          </w:rPr>
                          <w:t xml:space="preserve"> </w:t>
                        </w:r>
                        <w:r>
                          <w:rPr>
                            <w:rFonts w:ascii="Arial Narrow" w:hAnsi="Arial Narrow" w:cs="Arial"/>
                            <w:i/>
                            <w:iCs/>
                            <w:color w:val="0D0D0D"/>
                            <w:sz w:val="16"/>
                            <w:szCs w:val="16"/>
                            <w14:textFill>
                              <w14:solidFill>
                                <w14:srgbClr w14:val="0D0D0D">
                                  <w14:lumMod w14:val="95000"/>
                                  <w14:lumOff w14:val="5000"/>
                                </w14:srgbClr>
                              </w14:solidFill>
                            </w14:textFill>
                          </w:rPr>
                          <w:t>(НДЛ)</w:t>
                        </w:r>
                      </w:p>
                    </w:txbxContent>
                  </v:textbox>
                </v:rect>
                <v:rect id="Rectangle 10" o:spid="_x0000_s1111" style="position:absolute;left:15;top:26654;width:11383;height:52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" fillcolor="window" strokecolor="#009" strokeweight="1.5pt">
                  <v:shadow on="t" color="black" opacity="26214f" origin="-.5,-.5" offset=".74836mm,.74836mm"/>
                  <v:textbox inset="0,0,0,0">
                    <w:txbxContent>
                      <w:p w14:paraId="5F8FCC1A"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Науково-дослідний </w:t>
                        </w:r>
                      </w:p>
                      <w:p w14:paraId="2A95F776"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центр ракетних військ і артилерії </w:t>
                        </w:r>
                      </w:p>
                    </w:txbxContent>
                  </v:textbox>
                </v:rect>
                <v:rect id="Rectangle 10" o:spid="_x0000_s1112" style="position:absolute;left:9858;top:18018;width:17177;height:24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" fillcolor="window" strokecolor="red" strokeweight="1pt">
                  <v:shadow on="t" color="red" opacity="26214f" origin="-.5,-.5" offset=".74836mm,.74836mm"/>
                  <v:textbox inset="0,0,0,0">
                    <w:txbxContent>
                      <w:p w14:paraId="68452514" w14:textId="77777777" w:rsidR="00F25FCF" w:rsidRDefault="00F25FCF" w:rsidP="000F5770">
                        <w:pPr>
                          <w:pStyle w:val="NormalWeb"/>
                          <w:spacing w:before="0" w:after="0"/>
                          <w:jc w:val="center"/>
                        </w:pPr>
                        <w:r>
                          <w:rPr>
                            <w:rFonts w:ascii="Arial Narrow" w:hAnsi="Arial Narrow" w:cs="Arial"/>
                            <w:b/>
                            <w:bCs/>
                            <w:color w:val="0D0D0D"/>
                            <w14:textFill>
                              <w14:solidFill>
                                <w14:srgbClr w14:val="0D0D0D">
                                  <w14:lumMod w14:val="95000"/>
                                  <w14:lumOff w14:val="5000"/>
                                </w14:srgbClr>
                              </w14:solidFill>
                            </w14:textFill>
                          </w:rPr>
                          <w:t xml:space="preserve">Командування Сухопутних військ  </w:t>
                        </w:r>
                      </w:p>
                    </w:txbxContent>
                  </v:textbox>
                </v:rect>
                <v:rect id="Rectangle 10" o:spid="_x0000_s1113" style="position:absolute;left:71310;top:18272;width:17177;height:24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" fillcolor="window" strokecolor="red" strokeweight="1pt">
                  <v:shadow on="t" color="red" opacity="26214f" origin="-.5,-.5" offset=".74836mm,.74836mm"/>
                  <v:textbox inset="0,0,0,0">
                    <w:txbxContent>
                      <w:p w14:paraId="51C30709" w14:textId="77777777" w:rsidR="00F25FCF" w:rsidRDefault="00F25FCF" w:rsidP="000F5770">
                        <w:pPr>
                          <w:pStyle w:val="NormalWeb"/>
                          <w:spacing w:before="0" w:after="0" w:line="228" w:lineRule="auto"/>
                          <w:jc w:val="center"/>
                        </w:pPr>
                        <w:r>
                          <w:rPr>
                            <w:rFonts w:ascii="Arial Narrow" w:hAnsi="Arial Narrow" w:cs="Arial"/>
                            <w:b/>
                            <w:bCs/>
                            <w:color w:val="0D0D0D"/>
                            <w14:textFill>
                              <w14:solidFill>
                                <w14:srgbClr w14:val="0D0D0D">
                                  <w14:lumMod w14:val="95000"/>
                                  <w14:lumOff w14:val="5000"/>
                                </w14:srgbClr>
                              </w14:solidFill>
                            </w14:textFill>
                          </w:rPr>
                          <w:t xml:space="preserve">Командування </w:t>
                        </w:r>
                      </w:p>
                      <w:p w14:paraId="41F1D869" w14:textId="77777777" w:rsidR="00F25FCF" w:rsidRDefault="00F25FCF" w:rsidP="000F5770">
                        <w:pPr>
                          <w:pStyle w:val="NormalWeb"/>
                          <w:spacing w:before="0" w:after="0" w:line="228" w:lineRule="auto"/>
                          <w:jc w:val="center"/>
                        </w:pPr>
                        <w:r>
                          <w:rPr>
                            <w:rFonts w:ascii="Arial Narrow" w:hAnsi="Arial Narrow" w:cs="Arial"/>
                            <w:b/>
                            <w:bCs/>
                            <w:color w:val="0D0D0D"/>
                            <w14:textFill>
                              <w14:solidFill>
                                <w14:srgbClr w14:val="0D0D0D">
                                  <w14:lumMod w14:val="95000"/>
                                  <w14:lumOff w14:val="5000"/>
                                </w14:srgbClr>
                              </w14:solidFill>
                            </w14:textFill>
                          </w:rPr>
                          <w:t>Військово-Морських Сил</w:t>
                        </w:r>
                      </w:p>
                    </w:txbxContent>
                  </v:textbox>
                </v:rect>
                <v:rect id="Rectangle 10" o:spid="_x0000_s1114" style="position:absolute;left:48529;top:18272;width:17177;height:24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" fillcolor="window" strokecolor="red" strokeweight="1pt">
                  <v:shadow on="t" color="red" opacity="26214f" origin="-.5,-.5" offset=".74836mm,.74836mm"/>
                  <v:textbox inset="0,0,0,0">
                    <w:txbxContent>
                      <w:p w14:paraId="2B6CAC7C" w14:textId="77777777" w:rsidR="00F25FCF" w:rsidRDefault="00F25FCF" w:rsidP="000F5770">
                        <w:pPr>
                          <w:pStyle w:val="NormalWeb"/>
                          <w:spacing w:before="0" w:after="0"/>
                          <w:jc w:val="center"/>
                        </w:pPr>
                        <w:r>
                          <w:rPr>
                            <w:rFonts w:ascii="Arial Narrow" w:hAnsi="Arial Narrow" w:cs="Arial"/>
                            <w:b/>
                            <w:bCs/>
                            <w:color w:val="0D0D0D"/>
                            <w14:textFill>
                              <w14:solidFill>
                                <w14:srgbClr w14:val="0D0D0D">
                                  <w14:lumMod w14:val="95000"/>
                                  <w14:lumOff w14:val="5000"/>
                                </w14:srgbClr>
                              </w14:solidFill>
                            </w14:textFill>
                          </w:rPr>
                          <w:t>Командування Повітряних Сил</w:t>
                        </w:r>
                      </w:p>
                    </w:txbxContent>
                  </v:textbox>
                </v:rect>
                <v:rect id="Rectangle 10" o:spid="_x0000_s1115" style="position:absolute;left:18097;top:33305;width:17145;height:24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" fillcolor="window" strokecolor="red" strokeweight="1pt">
                  <v:shadow on="t" color="red" opacity="26214f" origin="-.5,-.5" offset=".74836mm,.74836mm"/>
                  <v:textbox inset="0,0,0,0">
                    <w:txbxContent>
                      <w:p w14:paraId="42351213" w14:textId="77777777" w:rsidR="00F25FCF" w:rsidRDefault="00F25FCF" w:rsidP="000F5770">
                        <w:pPr>
                          <w:pStyle w:val="NormalWeb"/>
                          <w:spacing w:before="0" w:after="0"/>
                          <w:jc w:val="center"/>
                        </w:pPr>
                        <w:r>
                          <w:rPr>
                            <w:rFonts w:ascii="Arial Narrow" w:hAnsi="Arial Narrow" w:cs="Arial"/>
                            <w:b/>
                            <w:bCs/>
                            <w:color w:val="0D0D0D"/>
                            <w14:textFill>
                              <w14:solidFill>
                                <w14:srgbClr w14:val="0D0D0D">
                                  <w14:lumMod w14:val="95000"/>
                                  <w14:lumOff w14:val="5000"/>
                                </w14:srgbClr>
                              </w14:solidFill>
                            </w14:textFill>
                          </w:rPr>
                          <w:t>Командування Медичних сил</w:t>
                        </w:r>
                      </w:p>
                    </w:txbxContent>
                  </v:textbox>
                </v:rect>
                <v:rect id="Rectangle 10" o:spid="_x0000_s1116" style="position:absolute;left:59007;top:11731;width:14399;height:52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" fillcolor="window" strokecolor="#009" strokeweight="1.5pt">
                  <v:shadow on="t" color="black" opacity="26214f" origin="-.5,-.5" offset=".74836mm,.74836mm"/>
                  <v:textbox inset="0,0,0,0">
                    <w:txbxContent>
                      <w:p w14:paraId="5CE4E632" w14:textId="77777777" w:rsidR="00F25FCF" w:rsidRDefault="00F25FCF" w:rsidP="00FB1BC6">
                        <w:pPr>
                          <w:pStyle w:val="NormalWeb"/>
                          <w:spacing w:before="0" w:after="0"/>
                          <w:ind w:firstLine="0"/>
                          <w:jc w:val="center"/>
                          <w:textAlignment w:val="baseline"/>
                        </w:pPr>
                        <w:r>
                          <w:rPr>
                            <w:rFonts w:ascii="Arial Narrow" w:hAnsi="Arial Narrow" w:cs="Arial"/>
                            <w:b/>
                            <w:bCs/>
                            <w:color w:val="0D0D0D"/>
                            <w:sz w:val="16"/>
                            <w:szCs w:val="16"/>
                            <w14:textFill>
                              <w14:solidFill>
                                <w14:srgbClr w14:val="0D0D0D">
                                  <w14:lumMod w14:val="95000"/>
                                  <w14:lumOff w14:val="5000"/>
                                </w14:srgbClr>
                              </w14:solidFill>
                            </w14:textFill>
                          </w:rPr>
                          <w:t xml:space="preserve">Кафедра військової підготовки спеціалістів ДССТ Українського державного університету науки і технологій </w:t>
                        </w:r>
                        <w:r>
                          <w:rPr>
                            <w:rFonts w:ascii="Arial Narrow" w:eastAsia="Microsoft YaHei" w:hAnsi="Arial Narrow" w:cs="Arial"/>
                            <w:b/>
                            <w:bCs/>
                            <w:i/>
                            <w:iCs/>
                            <w:color w:val="0D0D0D"/>
                            <w:sz w:val="16"/>
                            <w:szCs w:val="16"/>
                            <w14:textFill>
                              <w14:solidFill>
                                <w14:srgbClr w14:val="0D0D0D">
                                  <w14:lumMod w14:val="95000"/>
                                  <w14:lumOff w14:val="5000"/>
                                </w14:srgbClr>
                              </w14:solidFill>
                            </w14:textFill>
                          </w:rPr>
                          <w:t>(НДЛ)</w:t>
                        </w:r>
                      </w:p>
                    </w:txbxContent>
                  </v:textbox>
                </v:rect>
                <v:rect id="Rectangle 10" o:spid="_x0000_s1117" style="position:absolute;left:61610;top:9223;width:27004;height:21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" fillcolor="window" strokecolor="red" strokeweight="1pt">
                  <v:shadow on="t" color="red" opacity="26214f" origin="-.5,-.5" offset=".74836mm,.74836mm"/>
                  <v:textbox inset="0,0,0,0">
                    <w:txbxContent>
                      <w:p w14:paraId="01070382" w14:textId="77777777" w:rsidR="00F25FCF" w:rsidRDefault="00F25FCF" w:rsidP="000F5770">
                        <w:pPr>
                          <w:pStyle w:val="NormalWeb"/>
                          <w:spacing w:before="0" w:after="0"/>
                          <w:jc w:val="center"/>
                        </w:pPr>
                        <w:r>
                          <w:rPr>
                            <w:rFonts w:ascii="Arial Narrow" w:eastAsia="Microsoft YaHei" w:hAnsi="Arial Narrow" w:cs="Arial"/>
                            <w:b/>
                            <w:bCs/>
                            <w:color w:val="0D0D0D"/>
                            <w14:textFill>
                              <w14:solidFill>
                                <w14:srgbClr w14:val="0D0D0D">
                                  <w14:lumMod w14:val="95000"/>
                                  <w14:lumOff w14:val="5000"/>
                                </w14:srgbClr>
                              </w14:solidFill>
                            </w14:textFill>
                          </w:rPr>
                          <w:t>ДЕРЖАВНА СПЕЦІАЛЬНА СЛУЖБА ТРАНСПОРТУ</w:t>
                        </w:r>
                      </w:p>
                    </w:txbxContent>
                  </v:textbox>
                </v:rect>
                <v:rect id="Rectangle 10" o:spid="_x0000_s1118" style="position:absolute;left:74707;top:11779;width:14399;height:52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" fillcolor="window" strokecolor="#009" strokeweight="1.5pt">
                  <v:shadow on="t" color="black" opacity="26214f" origin="-.5,-.5" offset=".74836mm,.74836mm"/>
                  <v:textbox inset="0,0,0,0">
                    <w:txbxContent>
                      <w:p w14:paraId="772827C2" w14:textId="77777777" w:rsidR="00F25FCF" w:rsidRDefault="00F25FCF" w:rsidP="00FB1BC6">
                        <w:pPr>
                          <w:pStyle w:val="NormalWeb"/>
                          <w:spacing w:before="0" w:after="0"/>
                          <w:ind w:firstLine="0"/>
                          <w:jc w:val="center"/>
                          <w:textAlignment w:val="baseline"/>
                        </w:pPr>
                        <w:r>
                          <w:rPr>
                            <w:rFonts w:ascii="Arial Narrow" w:hAnsi="Arial Narrow" w:cs="Arial"/>
                            <w:b/>
                            <w:bCs/>
                            <w:color w:val="0D0D0D"/>
                            <w:sz w:val="16"/>
                            <w:szCs w:val="16"/>
                            <w14:textFill>
                              <w14:solidFill>
                                <w14:srgbClr w14:val="0D0D0D">
                                  <w14:lumMod w14:val="95000"/>
                                  <w14:lumOff w14:val="5000"/>
                                </w14:srgbClr>
                              </w14:solidFill>
                            </w14:textFill>
                          </w:rPr>
                          <w:t>НДВ наукового і науково-технічного забезпечення протимінної діяльності</w:t>
                        </w:r>
                      </w:p>
                      <w:p w14:paraId="5A8A2788" w14:textId="77777777" w:rsidR="00F25FCF" w:rsidRDefault="00F25FCF" w:rsidP="00FB1BC6">
                        <w:pPr>
                          <w:pStyle w:val="NormalWeb"/>
                          <w:spacing w:before="0" w:after="0"/>
                          <w:ind w:firstLine="0"/>
                          <w:jc w:val="center"/>
                          <w:textAlignment w:val="baseline"/>
                        </w:pPr>
                        <w:r>
                          <w:rPr>
                            <w:rFonts w:ascii="Arial Narrow" w:hAnsi="Arial Narrow" w:cs="Arial"/>
                            <w:b/>
                            <w:bCs/>
                            <w:color w:val="0D0D0D"/>
                            <w:sz w:val="16"/>
                            <w:szCs w:val="16"/>
                            <w14:textFill>
                              <w14:solidFill>
                                <w14:srgbClr w14:val="0D0D0D">
                                  <w14:lumMod w14:val="95000"/>
                                  <w14:lumOff w14:val="5000"/>
                                </w14:srgbClr>
                              </w14:solidFill>
                            </w14:textFill>
                          </w:rPr>
                          <w:t>Центру протимінної діяльності</w:t>
                        </w:r>
                      </w:p>
                    </w:txbxContent>
                  </v:textbox>
                </v:rect>
                <v:rect id="Rectangle 8" o:spid="_x0000_s1119" style="position:absolute;left:55118;top:36163;width:18002;height:51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" fillcolor="window" strokecolor="#009" strokeweight="1.5pt">
                  <v:shadow on="t" color="black" opacity="26214f" origin="-.5,-.5" offset=".74836mm,.74836mm"/>
                  <v:textbox inset="0,0,0,0">
                    <w:txbxContent>
                      <w:p w14:paraId="158FB525" w14:textId="77777777" w:rsidR="00F25FCF" w:rsidRPr="008325A7" w:rsidRDefault="00F25FCF" w:rsidP="00FB1BC6">
                        <w:pPr>
                          <w:pStyle w:val="NormalWeb"/>
                          <w:spacing w:before="0" w:after="0" w:line="228" w:lineRule="auto"/>
                          <w:ind w:firstLine="0"/>
                          <w:jc w:val="center"/>
                          <w:rPr>
                            <w:rFonts w:ascii="Arial Narrow" w:eastAsia="Microsoft YaHei" w:hAnsi="Arial Narrow" w:cs="Arial"/>
                            <w:b/>
                            <w:bCs/>
                            <w:color w:val="0D0D0D"/>
                            <w:sz w:val="16"/>
                            <w:szCs w:val="16"/>
                            <w14:textFill>
                              <w14:solidFill>
                                <w14:srgbClr w14:val="0D0D0D">
                                  <w14:lumMod w14:val="95000"/>
                                  <w14:lumOff w14:val="5000"/>
                                </w14:srgbClr>
                              </w14:solidFill>
                            </w14:textFill>
                          </w:rPr>
                        </w:pPr>
                        <w:r w:rsidRPr="00DF2E80">
                          <w:rPr>
                            <w:rFonts w:ascii="Arial Narrow" w:eastAsia="Microsoft YaHei" w:hAnsi="Arial Narrow" w:cs="Arial"/>
                            <w:b/>
                            <w:bCs/>
                            <w:color w:val="0D0D0D"/>
                            <w:sz w:val="16"/>
                            <w:szCs w:val="16"/>
                            <w14:textFill>
                              <w14:solidFill>
                                <w14:srgbClr w14:val="0D0D0D">
                                  <w14:lumMod w14:val="95000"/>
                                  <w14:lumOff w14:val="5000"/>
                                </w14:srgbClr>
                              </w14:solidFill>
                            </w14:textFill>
                          </w:rPr>
                          <w:t>Науково-дослідний центр Сил підтримки Збройних Сил України</w:t>
                        </w:r>
                      </w:p>
                      <w:p w14:paraId="45250829" w14:textId="77777777" w:rsidR="00F25FCF" w:rsidRDefault="00F25FCF" w:rsidP="00FB1BC6">
                        <w:pPr>
                          <w:pStyle w:val="NormalWeb"/>
                          <w:spacing w:before="0" w:after="0" w:line="228" w:lineRule="auto"/>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Кафедра військової підготовки </w:t>
                        </w:r>
                      </w:p>
                      <w:p w14:paraId="38B6E952" w14:textId="77777777" w:rsidR="00F25FCF" w:rsidRDefault="00F25FCF" w:rsidP="00FB1BC6">
                        <w:pPr>
                          <w:pStyle w:val="NormalWeb"/>
                          <w:spacing w:before="0" w:after="0" w:line="228" w:lineRule="auto"/>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Кам’янець-Подільського національного університету імені Івана Огієнка </w:t>
                        </w:r>
                        <w:r>
                          <w:rPr>
                            <w:rFonts w:ascii="Arial Narrow" w:eastAsia="Microsoft YaHei" w:hAnsi="Arial Narrow" w:cs="Arial"/>
                            <w:i/>
                            <w:iCs/>
                            <w:color w:val="0D0D0D"/>
                            <w:sz w:val="16"/>
                            <w:szCs w:val="16"/>
                            <w14:textFill>
                              <w14:solidFill>
                                <w14:srgbClr w14:val="0D0D0D">
                                  <w14:lumMod w14:val="95000"/>
                                  <w14:lumOff w14:val="5000"/>
                                </w14:srgbClr>
                              </w14:solidFill>
                            </w14:textFill>
                          </w:rPr>
                          <w:t>(НДЛ застосування підрозділів інженерних військ)</w:t>
                        </w:r>
                      </w:p>
                    </w:txbxContent>
                  </v:textbox>
                </v:rect>
                <v:rect id="Rectangle 10" o:spid="_x0000_s1120" style="position:absolute;left:55499;top:33289;width:17176;height:24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" fillcolor="window" strokecolor="red" strokeweight="1pt">
                  <v:shadow on="t" color="red" opacity="26214f" origin="-.5,-.5" offset=".74836mm,.74836mm"/>
                  <v:textbox inset="0,0,0,0">
                    <w:txbxContent>
                      <w:p w14:paraId="148857C7" w14:textId="77777777" w:rsidR="00F25FCF" w:rsidRDefault="00F25FCF" w:rsidP="000F5770">
                        <w:pPr>
                          <w:pStyle w:val="NormalWeb"/>
                          <w:spacing w:before="0" w:after="0"/>
                          <w:jc w:val="center"/>
                        </w:pPr>
                        <w:r>
                          <w:rPr>
                            <w:rFonts w:ascii="Arial Narrow" w:hAnsi="Arial Narrow" w:cs="Arial"/>
                            <w:b/>
                            <w:bCs/>
                            <w:color w:val="0D0D0D"/>
                            <w14:textFill>
                              <w14:solidFill>
                                <w14:srgbClr w14:val="0D0D0D">
                                  <w14:lumMod w14:val="95000"/>
                                  <w14:lumOff w14:val="5000"/>
                                </w14:srgbClr>
                              </w14:solidFill>
                            </w14:textFill>
                          </w:rPr>
                          <w:t>Командування Сил підтримки</w:t>
                        </w:r>
                      </w:p>
                    </w:txbxContent>
                  </v:textbox>
                </v:rect>
                <v:rect id="Rectangle 7" o:spid="_x0000_s1121" style="position:absolute;left:45323;top:26320;width:11382;height:52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" fillcolor="window" strokecolor="#009" strokeweight="1.5pt">
                  <v:shadow on="t" color="black" opacity="26214f" origin="-.5,-.5" offset=".74836mm,.74836mm"/>
                  <v:textbox inset="0,0,0,0">
                    <w:txbxContent>
                      <w:p w14:paraId="7D03304F"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Кафедра військової підготовки Національного авіаційного університету</w:t>
                        </w:r>
                      </w:p>
                      <w:p w14:paraId="7E6139A3" w14:textId="77777777" w:rsidR="00F25FCF" w:rsidRDefault="00F25FCF" w:rsidP="00FB1BC6">
                        <w:pPr>
                          <w:pStyle w:val="NormalWeb"/>
                          <w:spacing w:before="0" w:after="0"/>
                          <w:ind w:firstLine="0"/>
                          <w:jc w:val="center"/>
                        </w:pPr>
                        <w:r>
                          <w:rPr>
                            <w:rFonts w:ascii="Arial Narrow" w:hAnsi="Arial Narrow" w:cs="Arial"/>
                            <w:i/>
                            <w:iCs/>
                            <w:color w:val="0D0D0D"/>
                            <w:sz w:val="16"/>
                            <w:szCs w:val="16"/>
                            <w14:textFill>
                              <w14:solidFill>
                                <w14:srgbClr w14:val="0D0D0D">
                                  <w14:lumMod w14:val="95000"/>
                                  <w14:lumOff w14:val="5000"/>
                                </w14:srgbClr>
                              </w14:solidFill>
                            </w14:textFill>
                          </w:rPr>
                          <w:t>(НДЛ)</w:t>
                        </w: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 </w:t>
                        </w:r>
                      </w:p>
                    </w:txbxContent>
                  </v:textbox>
                </v:rect>
                <v:rect id="Rectangle 10" o:spid="_x0000_s1122" style="position:absolute;left:57705;top:26320;width:11383;height:52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" fillcolor="window" strokecolor="#009" strokeweight="1.5pt">
                  <v:shadow on="t" color="black" opacity="26214f" origin="-.5,-.5" offset=".74836mm,.74836mm"/>
                  <v:textbox inset="0,0,0,0">
                    <w:txbxContent>
                      <w:p w14:paraId="0C3D4C6B"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Кафедра військової підготовки Одеського державного екологічного університету </w:t>
                        </w:r>
                        <w:r>
                          <w:rPr>
                            <w:rFonts w:ascii="Arial Narrow" w:hAnsi="Arial Narrow" w:cs="Arial"/>
                            <w:i/>
                            <w:iCs/>
                            <w:color w:val="0D0D0D"/>
                            <w:sz w:val="16"/>
                            <w:szCs w:val="16"/>
                            <w14:textFill>
                              <w14:solidFill>
                                <w14:srgbClr w14:val="0D0D0D">
                                  <w14:lumMod w14:val="95000"/>
                                  <w14:lumOff w14:val="5000"/>
                                </w14:srgbClr>
                              </w14:solidFill>
                            </w14:textFill>
                          </w:rPr>
                          <w:t>(НДЛ)</w:t>
                        </w:r>
                      </w:p>
                    </w:txbxContent>
                  </v:textbox>
                </v:rect>
                <v:rect id="Rectangle 8" o:spid="_x0000_s1123" style="position:absolute;left:38163;top:36163;width:14399;height:51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" fillcolor="window" strokecolor="#009" strokeweight="1.5pt">
                  <v:shadow on="t" color="black" opacity="26214f" origin="-.5,-.5" offset=".74836mm,.74836mm"/>
                  <v:textbox inset="0,0,0,0">
                    <w:txbxContent>
                      <w:p w14:paraId="49532424" w14:textId="77777777" w:rsidR="00F25FCF" w:rsidRPr="00DF2E80" w:rsidRDefault="00F25FCF" w:rsidP="00FB1BC6">
                        <w:pPr>
                          <w:pStyle w:val="NormalWeb"/>
                          <w:spacing w:before="0" w:after="0"/>
                          <w:ind w:firstLine="0"/>
                          <w:jc w:val="center"/>
                          <w:rPr>
                            <w:rFonts w:ascii="Arial Narrow" w:eastAsia="Microsoft YaHei" w:hAnsi="Arial Narrow" w:cs="Arial"/>
                            <w:b/>
                            <w:bCs/>
                            <w:color w:val="0D0D0D"/>
                            <w:sz w:val="16"/>
                            <w:szCs w:val="16"/>
                            <w14:textFill>
                              <w14:solidFill>
                                <w14:srgbClr w14:val="0D0D0D">
                                  <w14:lumMod w14:val="95000"/>
                                  <w14:lumOff w14:val="5000"/>
                                </w14:srgbClr>
                              </w14:solidFill>
                            </w14:textFill>
                          </w:rP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НДЛ військових еталонів Метрологічного центру військових еталонів ЗС України </w:t>
                        </w:r>
                      </w:p>
                    </w:txbxContent>
                  </v:textbox>
                </v:rect>
                <v:rect id="Rectangle 10" o:spid="_x0000_s1124" style="position:absolute;left:36798;top:33289;width:17177;height:24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" fillcolor="window" strokecolor="red" strokeweight="1pt">
                  <v:shadow on="t" color="red" opacity="26214f" origin="-.5,-.5" offset=".74836mm,.74836mm"/>
                  <v:textbox inset="0,0,0,0">
                    <w:txbxContent>
                      <w:p w14:paraId="785276D9" w14:textId="77777777" w:rsidR="00F25FCF" w:rsidRDefault="00F25FCF" w:rsidP="000F5770">
                        <w:pPr>
                          <w:pStyle w:val="NormalWeb"/>
                          <w:spacing w:before="0" w:after="0"/>
                          <w:jc w:val="center"/>
                        </w:pPr>
                        <w:r>
                          <w:rPr>
                            <w:rFonts w:ascii="Arial Narrow" w:hAnsi="Arial Narrow" w:cs="Arial"/>
                            <w:b/>
                            <w:bCs/>
                            <w:color w:val="0D0D0D"/>
                            <w14:textFill>
                              <w14:solidFill>
                                <w14:srgbClr w14:val="0D0D0D">
                                  <w14:lumMod w14:val="95000"/>
                                  <w14:lumOff w14:val="5000"/>
                                </w14:srgbClr>
                              </w14:solidFill>
                            </w14:textFill>
                          </w:rPr>
                          <w:t>Командування Сил логістики</w:t>
                        </w:r>
                      </w:p>
                    </w:txbxContent>
                  </v:textbox>
                </v:rect>
                <v:rect id="Rectangle 13" o:spid="_x0000_s1125" style="position:absolute;left:52705;top:2730;width:11160;height:52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" fillcolor="window" strokecolor="#009" strokeweight="1.5pt">
                  <v:shadow on="t" color="black" opacity="26214f" origin="-.5,-.5" offset=".74836mm,.74836mm"/>
                  <v:textbox inset="0,0,0,0">
                    <w:txbxContent>
                      <w:p w14:paraId="1DB9BE78" w14:textId="77777777" w:rsidR="00F25FCF" w:rsidRDefault="00F25FCF" w:rsidP="00FB1BC6">
                        <w:pPr>
                          <w:pStyle w:val="NormalWeb"/>
                          <w:spacing w:before="0" w:after="0"/>
                          <w:ind w:firstLine="0"/>
                          <w:jc w:val="center"/>
                        </w:pPr>
                        <w:r>
                          <w:rPr>
                            <w:rFonts w:ascii="Arial Narrow" w:eastAsia="Microsoft YaHei" w:hAnsi="Arial Narrow" w:cs="Arial"/>
                            <w:b/>
                            <w:bCs/>
                            <w:color w:val="0D0D0D"/>
                            <w:sz w:val="16"/>
                            <w:szCs w:val="16"/>
                            <w14:textFill>
                              <w14:solidFill>
                                <w14:srgbClr w14:val="0D0D0D">
                                  <w14:lumMod w14:val="95000"/>
                                  <w14:lumOff w14:val="5000"/>
                                </w14:srgbClr>
                              </w14:solidFill>
                            </w14:textFill>
                          </w:rPr>
                          <w:t xml:space="preserve">Воєнна академія </w:t>
                        </w:r>
                        <w:r>
                          <w:rPr>
                            <w:rFonts w:ascii="Arial Narrow" w:eastAsia="Microsoft YaHei" w:hAnsi="Arial Narrow" w:cs="Arial"/>
                            <w:b/>
                            <w:bCs/>
                            <w:color w:val="0D0D0D"/>
                            <w:sz w:val="16"/>
                            <w:szCs w:val="16"/>
                            <w14:textFill>
                              <w14:solidFill>
                                <w14:srgbClr w14:val="0D0D0D">
                                  <w14:lumMod w14:val="95000"/>
                                  <w14:lumOff w14:val="5000"/>
                                </w14:srgbClr>
                              </w14:solidFill>
                            </w14:textFill>
                          </w:rPr>
                          <w:br/>
                          <w:t>ім. Є.Березняка</w:t>
                        </w:r>
                      </w:p>
                    </w:txbxContent>
                  </v:textbox>
                </v:rect>
              </v:group>
            </w:pict>
          </mc:Fallback>
        </mc:AlternateContent>
      </w:r>
    </w:p>
    <w:p w14:paraId="1F749035" w14:textId="644D6D1F"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55CCF268" w14:textId="78A29D93"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327C5F9E" w14:textId="627F3591"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686CF016" w14:textId="77777777"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364364F8" w14:textId="77777777"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528543ED" w14:textId="77777777"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5D8BC006" w14:textId="77777777"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555299B8" w14:textId="77777777"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5CE00521" w14:textId="77777777"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1931A24D" w14:textId="77777777"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202C1940" w14:textId="77777777"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56D16558" w14:textId="77777777"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3A29CA8B" w14:textId="77777777"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704C0DB6" w14:textId="77777777"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30B6E971" w14:textId="77777777"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7426644C" w14:textId="77777777"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7FE2A60D" w14:textId="77777777"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35093709" w14:textId="77777777" w:rsidR="000F5770" w:rsidRPr="003B5892" w:rsidRDefault="000F5770" w:rsidP="00023291">
      <w:pPr>
        <w:tabs>
          <w:tab w:val="left" w:pos="9638"/>
        </w:tabs>
        <w:spacing w:after="0" w:line="240" w:lineRule="auto"/>
        <w:rPr>
          <w:rFonts w:ascii="Times New Roman" w:eastAsia="Times New Roman" w:hAnsi="Times New Roman" w:cs="Times New Roman"/>
          <w:kern w:val="0"/>
          <w:sz w:val="28"/>
          <w:szCs w:val="28"/>
          <w:lang w:val="uk-UA"/>
          <w14:ligatures w14:val="none"/>
        </w:rPr>
      </w:pPr>
    </w:p>
    <w:p w14:paraId="3D9126EA"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048EC643"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p>
    <w:p w14:paraId="6F7BE4E1" w14:textId="77777777" w:rsidR="00463231" w:rsidRDefault="00463231" w:rsidP="00023291">
      <w:pPr>
        <w:tabs>
          <w:tab w:val="left" w:pos="9638"/>
        </w:tabs>
        <w:spacing w:after="0" w:line="240" w:lineRule="auto"/>
        <w:jc w:val="center"/>
        <w:rPr>
          <w:rFonts w:ascii="Times New Roman" w:eastAsia="Times New Roman" w:hAnsi="Times New Roman" w:cs="Times New Roman"/>
          <w:kern w:val="0"/>
          <w:sz w:val="28"/>
          <w:szCs w:val="28"/>
          <w:lang w:val="uk-UA"/>
          <w14:ligatures w14:val="none"/>
        </w:rPr>
      </w:pPr>
    </w:p>
    <w:p w14:paraId="022799C1" w14:textId="77777777" w:rsidR="00463231" w:rsidRDefault="00463231" w:rsidP="00023291">
      <w:pPr>
        <w:tabs>
          <w:tab w:val="left" w:pos="9638"/>
        </w:tabs>
        <w:spacing w:after="0" w:line="240" w:lineRule="auto"/>
        <w:jc w:val="center"/>
        <w:rPr>
          <w:rFonts w:ascii="Times New Roman" w:eastAsia="Times New Roman" w:hAnsi="Times New Roman" w:cs="Times New Roman"/>
          <w:kern w:val="0"/>
          <w:sz w:val="28"/>
          <w:szCs w:val="28"/>
          <w:lang w:val="uk-UA"/>
          <w14:ligatures w14:val="none"/>
        </w:rPr>
      </w:pPr>
    </w:p>
    <w:p w14:paraId="3C6F44F1" w14:textId="77777777" w:rsidR="00463231" w:rsidRDefault="00463231" w:rsidP="00023291">
      <w:pPr>
        <w:tabs>
          <w:tab w:val="left" w:pos="9638"/>
        </w:tabs>
        <w:spacing w:after="0" w:line="240" w:lineRule="auto"/>
        <w:jc w:val="center"/>
        <w:rPr>
          <w:rFonts w:ascii="Times New Roman" w:eastAsia="Times New Roman" w:hAnsi="Times New Roman" w:cs="Times New Roman"/>
          <w:kern w:val="0"/>
          <w:sz w:val="28"/>
          <w:szCs w:val="28"/>
          <w:lang w:val="uk-UA"/>
          <w14:ligatures w14:val="none"/>
        </w:rPr>
      </w:pPr>
    </w:p>
    <w:p w14:paraId="15004E6D" w14:textId="77777777" w:rsidR="00463231" w:rsidRDefault="00463231" w:rsidP="00023291">
      <w:pPr>
        <w:tabs>
          <w:tab w:val="left" w:pos="9638"/>
        </w:tabs>
        <w:spacing w:after="0" w:line="240" w:lineRule="auto"/>
        <w:jc w:val="center"/>
        <w:rPr>
          <w:rFonts w:ascii="Times New Roman" w:eastAsia="Times New Roman" w:hAnsi="Times New Roman" w:cs="Times New Roman"/>
          <w:kern w:val="0"/>
          <w:sz w:val="28"/>
          <w:szCs w:val="28"/>
          <w:lang w:val="uk-UA"/>
          <w14:ligatures w14:val="none"/>
        </w:rPr>
      </w:pPr>
    </w:p>
    <w:p w14:paraId="2DBF4253" w14:textId="77777777" w:rsidR="00463231" w:rsidRDefault="00463231" w:rsidP="00023291">
      <w:pPr>
        <w:tabs>
          <w:tab w:val="left" w:pos="9638"/>
        </w:tabs>
        <w:spacing w:after="0" w:line="240" w:lineRule="auto"/>
        <w:jc w:val="center"/>
        <w:rPr>
          <w:rFonts w:ascii="Times New Roman" w:eastAsia="Times New Roman" w:hAnsi="Times New Roman" w:cs="Times New Roman"/>
          <w:kern w:val="0"/>
          <w:sz w:val="28"/>
          <w:szCs w:val="28"/>
          <w:lang w:val="uk-UA"/>
          <w14:ligatures w14:val="none"/>
        </w:rPr>
      </w:pPr>
    </w:p>
    <w:p w14:paraId="0F0F309D" w14:textId="77777777" w:rsidR="00463231" w:rsidRDefault="00463231" w:rsidP="00023291">
      <w:pPr>
        <w:tabs>
          <w:tab w:val="left" w:pos="9638"/>
        </w:tabs>
        <w:spacing w:after="0" w:line="240" w:lineRule="auto"/>
        <w:jc w:val="center"/>
        <w:rPr>
          <w:rFonts w:ascii="Times New Roman" w:eastAsia="Times New Roman" w:hAnsi="Times New Roman" w:cs="Times New Roman"/>
          <w:kern w:val="0"/>
          <w:sz w:val="28"/>
          <w:szCs w:val="28"/>
          <w:lang w:val="uk-UA"/>
          <w14:ligatures w14:val="none"/>
        </w:rPr>
      </w:pPr>
    </w:p>
    <w:p w14:paraId="34F9AA75" w14:textId="77777777" w:rsidR="00463231" w:rsidRDefault="00463231" w:rsidP="00023291">
      <w:pPr>
        <w:tabs>
          <w:tab w:val="left" w:pos="9638"/>
        </w:tabs>
        <w:spacing w:after="0" w:line="240" w:lineRule="auto"/>
        <w:jc w:val="center"/>
        <w:rPr>
          <w:rFonts w:ascii="Times New Roman" w:eastAsia="Times New Roman" w:hAnsi="Times New Roman" w:cs="Times New Roman"/>
          <w:kern w:val="0"/>
          <w:sz w:val="28"/>
          <w:szCs w:val="28"/>
          <w:lang w:val="uk-UA"/>
          <w14:ligatures w14:val="none"/>
        </w:rPr>
      </w:pPr>
    </w:p>
    <w:p w14:paraId="34F39B47" w14:textId="77777777" w:rsidR="00463231" w:rsidRDefault="00463231" w:rsidP="00023291">
      <w:pPr>
        <w:tabs>
          <w:tab w:val="left" w:pos="9638"/>
        </w:tabs>
        <w:spacing w:after="0" w:line="240" w:lineRule="auto"/>
        <w:jc w:val="center"/>
        <w:rPr>
          <w:rFonts w:ascii="Times New Roman" w:eastAsia="Times New Roman" w:hAnsi="Times New Roman" w:cs="Times New Roman"/>
          <w:kern w:val="0"/>
          <w:sz w:val="28"/>
          <w:szCs w:val="28"/>
          <w:lang w:val="uk-UA"/>
          <w14:ligatures w14:val="none"/>
        </w:rPr>
      </w:pPr>
    </w:p>
    <w:p w14:paraId="7C9C864F" w14:textId="77777777" w:rsidR="00463231" w:rsidRDefault="00463231" w:rsidP="00023291">
      <w:pPr>
        <w:tabs>
          <w:tab w:val="left" w:pos="9638"/>
        </w:tabs>
        <w:spacing w:after="0" w:line="240" w:lineRule="auto"/>
        <w:jc w:val="center"/>
        <w:rPr>
          <w:rFonts w:ascii="Times New Roman" w:eastAsia="Times New Roman" w:hAnsi="Times New Roman" w:cs="Times New Roman"/>
          <w:kern w:val="0"/>
          <w:sz w:val="28"/>
          <w:szCs w:val="28"/>
          <w:lang w:val="uk-UA"/>
          <w14:ligatures w14:val="none"/>
        </w:rPr>
      </w:pPr>
    </w:p>
    <w:p w14:paraId="04C9383E" w14:textId="77777777" w:rsidR="00463231" w:rsidRDefault="00463231" w:rsidP="00023291">
      <w:pPr>
        <w:tabs>
          <w:tab w:val="left" w:pos="9638"/>
        </w:tabs>
        <w:spacing w:after="0" w:line="240" w:lineRule="auto"/>
        <w:jc w:val="center"/>
        <w:rPr>
          <w:rFonts w:ascii="Times New Roman" w:eastAsia="Times New Roman" w:hAnsi="Times New Roman" w:cs="Times New Roman"/>
          <w:kern w:val="0"/>
          <w:sz w:val="28"/>
          <w:szCs w:val="28"/>
          <w:lang w:val="uk-UA"/>
          <w14:ligatures w14:val="none"/>
        </w:rPr>
      </w:pPr>
    </w:p>
    <w:p w14:paraId="4DC5732A" w14:textId="77777777" w:rsidR="00463231" w:rsidRDefault="00463231" w:rsidP="00023291">
      <w:pPr>
        <w:tabs>
          <w:tab w:val="left" w:pos="9638"/>
        </w:tabs>
        <w:spacing w:after="0" w:line="240" w:lineRule="auto"/>
        <w:jc w:val="center"/>
        <w:rPr>
          <w:rFonts w:ascii="Times New Roman" w:eastAsia="Times New Roman" w:hAnsi="Times New Roman" w:cs="Times New Roman"/>
          <w:kern w:val="0"/>
          <w:sz w:val="28"/>
          <w:szCs w:val="28"/>
          <w:lang w:val="uk-UA"/>
          <w14:ligatures w14:val="none"/>
        </w:rPr>
      </w:pPr>
    </w:p>
    <w:p w14:paraId="6ACD7420" w14:textId="77777777" w:rsidR="00463231" w:rsidRDefault="00463231" w:rsidP="00023291">
      <w:pPr>
        <w:tabs>
          <w:tab w:val="left" w:pos="9638"/>
        </w:tabs>
        <w:spacing w:after="0" w:line="240" w:lineRule="auto"/>
        <w:jc w:val="center"/>
        <w:rPr>
          <w:rFonts w:ascii="Times New Roman" w:eastAsia="Times New Roman" w:hAnsi="Times New Roman" w:cs="Times New Roman"/>
          <w:kern w:val="0"/>
          <w:sz w:val="28"/>
          <w:szCs w:val="28"/>
          <w:lang w:val="uk-UA"/>
          <w14:ligatures w14:val="none"/>
        </w:rPr>
      </w:pPr>
    </w:p>
    <w:p w14:paraId="2959EFEC" w14:textId="77777777" w:rsidR="00463231" w:rsidRDefault="00463231" w:rsidP="00023291">
      <w:pPr>
        <w:tabs>
          <w:tab w:val="left" w:pos="9638"/>
        </w:tabs>
        <w:spacing w:after="0" w:line="240" w:lineRule="auto"/>
        <w:jc w:val="center"/>
        <w:rPr>
          <w:rFonts w:ascii="Times New Roman" w:eastAsia="Times New Roman" w:hAnsi="Times New Roman" w:cs="Times New Roman"/>
          <w:kern w:val="0"/>
          <w:sz w:val="28"/>
          <w:szCs w:val="28"/>
          <w:lang w:val="uk-UA"/>
          <w14:ligatures w14:val="none"/>
        </w:rPr>
      </w:pPr>
    </w:p>
    <w:p w14:paraId="4E3D24FA" w14:textId="77777777" w:rsidR="00463231" w:rsidRDefault="00463231" w:rsidP="00023291">
      <w:pPr>
        <w:tabs>
          <w:tab w:val="left" w:pos="9638"/>
        </w:tabs>
        <w:spacing w:after="0" w:line="240" w:lineRule="auto"/>
        <w:jc w:val="center"/>
        <w:rPr>
          <w:rFonts w:ascii="Times New Roman" w:eastAsia="Times New Roman" w:hAnsi="Times New Roman" w:cs="Times New Roman"/>
          <w:kern w:val="0"/>
          <w:sz w:val="28"/>
          <w:szCs w:val="28"/>
          <w:lang w:val="uk-UA"/>
          <w14:ligatures w14:val="none"/>
        </w:rPr>
      </w:pPr>
    </w:p>
    <w:p w14:paraId="60B78684" w14:textId="77777777" w:rsidR="00463231" w:rsidRDefault="00463231" w:rsidP="00023291">
      <w:pPr>
        <w:tabs>
          <w:tab w:val="left" w:pos="9638"/>
        </w:tabs>
        <w:spacing w:after="0" w:line="240" w:lineRule="auto"/>
        <w:jc w:val="center"/>
        <w:rPr>
          <w:rFonts w:ascii="Times New Roman" w:eastAsia="Times New Roman" w:hAnsi="Times New Roman" w:cs="Times New Roman"/>
          <w:kern w:val="0"/>
          <w:sz w:val="28"/>
          <w:szCs w:val="28"/>
          <w:lang w:val="uk-UA"/>
          <w14:ligatures w14:val="none"/>
        </w:rPr>
      </w:pPr>
    </w:p>
    <w:p w14:paraId="51F01602" w14:textId="77777777" w:rsidR="00463231" w:rsidRDefault="00463231" w:rsidP="00023291">
      <w:pPr>
        <w:tabs>
          <w:tab w:val="left" w:pos="9638"/>
        </w:tabs>
        <w:spacing w:after="0" w:line="240" w:lineRule="auto"/>
        <w:jc w:val="center"/>
        <w:rPr>
          <w:rFonts w:ascii="Times New Roman" w:eastAsia="Times New Roman" w:hAnsi="Times New Roman" w:cs="Times New Roman"/>
          <w:kern w:val="0"/>
          <w:sz w:val="28"/>
          <w:szCs w:val="28"/>
          <w:lang w:val="uk-UA"/>
          <w14:ligatures w14:val="none"/>
        </w:rPr>
      </w:pPr>
    </w:p>
    <w:p w14:paraId="7458B75A" w14:textId="4400BC94" w:rsidR="000F5770" w:rsidRPr="003B5892" w:rsidRDefault="000F5770" w:rsidP="000C456C">
      <w:pPr>
        <w:tabs>
          <w:tab w:val="left" w:pos="9638"/>
        </w:tabs>
        <w:spacing w:after="0" w:line="240" w:lineRule="auto"/>
        <w:rPr>
          <w:rFonts w:ascii="Times New Roman" w:eastAsia="Times New Roman" w:hAnsi="Times New Roman" w:cs="Times New Roman"/>
          <w:kern w:val="0"/>
          <w:sz w:val="28"/>
          <w:szCs w:val="28"/>
          <w:lang w:val="uk-UA"/>
          <w14:ligatures w14:val="none"/>
        </w:rPr>
        <w:sectPr w:rsidR="000F5770" w:rsidRPr="003B5892" w:rsidSect="00463231">
          <w:type w:val="continuous"/>
          <w:pgSz w:w="11906" w:h="16838"/>
          <w:pgMar w:top="1134" w:right="1134" w:bottom="1134" w:left="1134" w:header="709" w:footer="709" w:gutter="0"/>
          <w:cols w:space="708"/>
          <w:docGrid w:linePitch="360"/>
        </w:sectPr>
      </w:pPr>
      <w:r w:rsidRPr="003B5892">
        <w:rPr>
          <w:rFonts w:ascii="Times New Roman" w:eastAsia="Times New Roman" w:hAnsi="Times New Roman" w:cs="Times New Roman"/>
          <w:kern w:val="0"/>
          <w:sz w:val="28"/>
          <w:szCs w:val="28"/>
          <w:lang w:val="uk-UA"/>
          <w14:ligatures w14:val="none"/>
        </w:rPr>
        <w:t xml:space="preserve"> </w:t>
      </w:r>
    </w:p>
    <w:p w14:paraId="1CB1F8CB" w14:textId="77777777" w:rsidR="00815545" w:rsidRPr="003B5892" w:rsidRDefault="00815545" w:rsidP="00023291">
      <w:pPr>
        <w:shd w:val="clear" w:color="auto" w:fill="FFFFFF"/>
        <w:tabs>
          <w:tab w:val="left" w:pos="9638"/>
        </w:tabs>
        <w:spacing w:after="0" w:line="240" w:lineRule="auto"/>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kern w:val="0"/>
          <w:sz w:val="28"/>
          <w:szCs w:val="28"/>
          <w:lang w:val="uk-UA"/>
          <w14:ligatures w14:val="none"/>
        </w:rPr>
        <w:lastRenderedPageBreak/>
        <w:t xml:space="preserve">науково-дослідним інститутом випробовувань і сертифікації ОВТ, які функціонують у складі ГШ </w:t>
      </w:r>
      <w:r w:rsidRPr="003B5892">
        <w:rPr>
          <w:rFonts w:ascii="Times New Roman" w:eastAsia="Times New Roman" w:hAnsi="Times New Roman" w:cs="Times New Roman"/>
          <w:color w:val="0A0A0A"/>
          <w:kern w:val="0"/>
          <w:sz w:val="28"/>
          <w:szCs w:val="28"/>
          <w:lang w:val="uk-UA" w:eastAsia="uk-UA"/>
          <w14:ligatures w14:val="none"/>
        </w:rPr>
        <w:t>ЗС України. Ці установи здійснюють наукові дослідження з питань воєнної безпеки, оборонного планування, міжнародного співробітництва, будівництва та застосування ЗС України, військово-технічної політики тощо;</w:t>
      </w:r>
    </w:p>
    <w:p w14:paraId="0A7EEEAF" w14:textId="77777777" w:rsidR="000F5770" w:rsidRPr="003B5892" w:rsidRDefault="000F5770" w:rsidP="00023291">
      <w:pPr>
        <w:shd w:val="clear" w:color="auto" w:fill="FFFFFF"/>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color w:val="0A0A0A"/>
          <w:kern w:val="0"/>
          <w:sz w:val="28"/>
          <w:szCs w:val="28"/>
          <w:lang w:val="uk-UA" w:eastAsia="uk-UA"/>
          <w14:ligatures w14:val="none"/>
        </w:rPr>
        <w:t>на оперативному</w:t>
      </w:r>
      <w:r w:rsidRPr="003B5892">
        <w:rPr>
          <w:rFonts w:ascii="Times New Roman" w:eastAsia="Times New Roman" w:hAnsi="Times New Roman" w:cs="Times New Roman"/>
          <w:kern w:val="0"/>
          <w:sz w:val="28"/>
          <w:szCs w:val="28"/>
          <w:lang w:val="uk-UA"/>
          <w14:ligatures w14:val="none"/>
        </w:rPr>
        <w:t xml:space="preserve"> та тактичному рівнях дослідження проводять наукові центри (НЦ) та НП ВВНЗ видів, родів військ (сил) ЗС України, а також НУОУ (за </w:t>
      </w:r>
      <w:r w:rsidRPr="003B5892">
        <w:rPr>
          <w:rFonts w:ascii="Times New Roman" w:eastAsia="Times New Roman" w:hAnsi="Times New Roman" w:cs="Times New Roman"/>
          <w:color w:val="0A0A0A"/>
          <w:kern w:val="0"/>
          <w:sz w:val="28"/>
          <w:szCs w:val="28"/>
          <w:lang w:val="uk-UA" w:eastAsia="uk-UA"/>
          <w14:ligatures w14:val="none"/>
        </w:rPr>
        <w:t>окремими напрямами в межах оперативного рівня).</w:t>
      </w:r>
    </w:p>
    <w:p w14:paraId="42977422"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color w:val="0A0A0A"/>
          <w:kern w:val="0"/>
          <w:sz w:val="28"/>
          <w:szCs w:val="28"/>
          <w:lang w:val="uk-UA" w:eastAsia="uk-UA"/>
          <w14:ligatures w14:val="none"/>
        </w:rPr>
        <w:t xml:space="preserve">НУ, НП ВВНЗ і НП ВНП ЗВО здійснюють заходи із </w:t>
      </w:r>
      <w:r w:rsidRPr="003B5892">
        <w:rPr>
          <w:rFonts w:ascii="Times New Roman" w:eastAsia="Times New Roman" w:hAnsi="Times New Roman" w:cs="Times New Roman"/>
          <w:spacing w:val="-2"/>
          <w:kern w:val="28"/>
          <w:sz w:val="28"/>
          <w:szCs w:val="28"/>
          <w:lang w:val="uk-UA"/>
          <w14:ligatures w14:val="none"/>
        </w:rPr>
        <w:t>науково-технічного супроводження Державних цільових оборонних програм та Цільової науково-технічної програми НАНУ “Дослідження і розробки з проблем підвищення обороноздатності і безпеки держави” на основі заданих ГШ ЗС України оперативно-тактичних вимог,</w:t>
      </w:r>
      <w:r w:rsidRPr="003B5892">
        <w:rPr>
          <w:rFonts w:ascii="Times New Roman" w:eastAsia="Times New Roman" w:hAnsi="Times New Roman" w:cs="Times New Roman"/>
          <w:color w:val="0A0A0A"/>
          <w:kern w:val="0"/>
          <w:sz w:val="28"/>
          <w:szCs w:val="28"/>
          <w:lang w:val="uk-UA" w:eastAsia="uk-UA"/>
          <w14:ligatures w14:val="none"/>
        </w:rPr>
        <w:t xml:space="preserve"> а також виконують</w:t>
      </w:r>
      <w:r w:rsidRPr="003B5892">
        <w:rPr>
          <w:rFonts w:ascii="Times New Roman" w:eastAsia="Times New Roman" w:hAnsi="Times New Roman" w:cs="Times New Roman"/>
          <w:spacing w:val="-2"/>
          <w:kern w:val="28"/>
          <w:sz w:val="28"/>
          <w:szCs w:val="28"/>
          <w:lang w:val="uk-UA"/>
          <w14:ligatures w14:val="none"/>
        </w:rPr>
        <w:t xml:space="preserve"> формування загальних науково-обґрунтованих технічних вимог </w:t>
      </w:r>
      <w:r w:rsidRPr="003B5892">
        <w:rPr>
          <w:rFonts w:ascii="Times New Roman" w:eastAsia="Times New Roman" w:hAnsi="Times New Roman" w:cs="Times New Roman"/>
          <w:color w:val="0A0A0A"/>
          <w:kern w:val="0"/>
          <w:sz w:val="28"/>
          <w:szCs w:val="28"/>
          <w:lang w:val="uk-UA" w:eastAsia="uk-UA"/>
          <w14:ligatures w14:val="none"/>
        </w:rPr>
        <w:t>до перспективних високотехнологічних зразків (комплексів, систем) ОВТ.</w:t>
      </w:r>
    </w:p>
    <w:p w14:paraId="474F1DE8" w14:textId="77777777" w:rsidR="000F5770" w:rsidRPr="003B5892" w:rsidRDefault="000F5770" w:rsidP="00023291">
      <w:pPr>
        <w:shd w:val="clear" w:color="auto" w:fill="FFFFFF"/>
        <w:tabs>
          <w:tab w:val="left" w:pos="9638"/>
        </w:tabs>
        <w:spacing w:after="0" w:line="240" w:lineRule="auto"/>
        <w:ind w:firstLine="709"/>
        <w:jc w:val="both"/>
        <w:rPr>
          <w:rFonts w:ascii="Times New Roman" w:eastAsia="Times New Roman" w:hAnsi="Times New Roman" w:cs="Times New Roman"/>
          <w:color w:val="0A0A0A"/>
          <w:kern w:val="0"/>
          <w:sz w:val="28"/>
          <w:szCs w:val="28"/>
          <w:lang w:val="uk-UA" w:eastAsia="uk-UA"/>
          <w14:ligatures w14:val="none"/>
        </w:rPr>
      </w:pPr>
      <w:r w:rsidRPr="003B5892">
        <w:rPr>
          <w:rFonts w:ascii="Times New Roman" w:eastAsia="Times New Roman" w:hAnsi="Times New Roman" w:cs="Times New Roman"/>
          <w:color w:val="0A0A0A"/>
          <w:kern w:val="0"/>
          <w:sz w:val="28"/>
          <w:szCs w:val="28"/>
          <w:lang w:val="uk-UA" w:eastAsia="uk-UA"/>
          <w14:ligatures w14:val="none"/>
        </w:rPr>
        <w:t xml:space="preserve">Ієрархічна побудова системи </w:t>
      </w:r>
      <w:r w:rsidRPr="003B5892">
        <w:rPr>
          <w:rFonts w:ascii="Times New Roman" w:eastAsia="Times New Roman" w:hAnsi="Times New Roman" w:cs="Times New Roman"/>
          <w:color w:val="0A0A0A"/>
          <w:kern w:val="0"/>
          <w:sz w:val="28"/>
          <w:szCs w:val="28"/>
          <w:shd w:val="clear" w:color="auto" w:fill="FFFFFF"/>
          <w:lang w:val="uk-UA"/>
          <w14:ligatures w14:val="none"/>
        </w:rPr>
        <w:t xml:space="preserve">НУ, ВВНЗ, ВНП ЗВО </w:t>
      </w:r>
      <w:r w:rsidRPr="003B5892">
        <w:rPr>
          <w:rFonts w:ascii="Times New Roman" w:eastAsia="Times New Roman" w:hAnsi="Times New Roman" w:cs="Times New Roman"/>
          <w:color w:val="0A0A0A"/>
          <w:kern w:val="0"/>
          <w:sz w:val="28"/>
          <w:szCs w:val="28"/>
          <w:lang w:val="uk-UA" w:eastAsia="uk-UA"/>
          <w14:ligatures w14:val="none"/>
        </w:rPr>
        <w:t xml:space="preserve">дає можливість головному виконавцю здійснювати взаємодію та науково-методичне керівництво співвиконавцями під час проведення ними ННТД (виконання комплексних </w:t>
      </w:r>
      <w:r w:rsidRPr="003B5892">
        <w:rPr>
          <w:rFonts w:ascii="Times New Roman" w:eastAsia="Times New Roman" w:hAnsi="Times New Roman" w:cs="Times New Roman"/>
          <w:color w:val="0A0A0A"/>
          <w:kern w:val="0"/>
          <w:sz w:val="28"/>
          <w:szCs w:val="28"/>
          <w:shd w:val="clear" w:color="auto" w:fill="FFFFFF"/>
          <w:lang w:val="uk-UA"/>
          <w14:ligatures w14:val="none"/>
        </w:rPr>
        <w:t>науково-дослідних і дослідно-конструкторських робіт (</w:t>
      </w:r>
      <w:r w:rsidRPr="003B5892">
        <w:rPr>
          <w:rFonts w:ascii="Times New Roman" w:eastAsia="Times New Roman" w:hAnsi="Times New Roman" w:cs="Times New Roman"/>
          <w:color w:val="0A0A0A"/>
          <w:kern w:val="0"/>
          <w:sz w:val="28"/>
          <w:szCs w:val="28"/>
          <w:lang w:val="uk-UA" w:eastAsia="uk-UA"/>
          <w14:ligatures w14:val="none"/>
        </w:rPr>
        <w:t>НДДКР)).</w:t>
      </w:r>
    </w:p>
    <w:p w14:paraId="413B3A27"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3B5892">
        <w:rPr>
          <w:rFonts w:ascii="Times New Roman" w:eastAsia="Times New Roman" w:hAnsi="Times New Roman" w:cs="Times New Roman"/>
          <w:kern w:val="0"/>
          <w:sz w:val="28"/>
          <w:szCs w:val="28"/>
          <w:lang w:val="uk-UA" w:eastAsia="uk"/>
          <w14:ligatures w14:val="none"/>
        </w:rPr>
        <w:t>Відповідно до існуючої с</w:t>
      </w:r>
      <w:r w:rsidRPr="003B5892">
        <w:rPr>
          <w:rFonts w:ascii="Times New Roman" w:eastAsia="Times New Roman" w:hAnsi="Times New Roman" w:cs="Times New Roman"/>
          <w:kern w:val="0"/>
          <w:sz w:val="28"/>
          <w:szCs w:val="28"/>
          <w:lang w:val="uk-UA" w:eastAsia="uk-UA"/>
          <w14:ligatures w14:val="none"/>
        </w:rPr>
        <w:t>истеми НУ, ВВНЗ, ВНП ЗВО МО України передбачається здійснення в</w:t>
      </w:r>
      <w:r w:rsidRPr="003B5892">
        <w:rPr>
          <w:rFonts w:ascii="Times New Roman" w:eastAsia="Times New Roman" w:hAnsi="Times New Roman" w:cs="Times New Roman"/>
          <w:kern w:val="0"/>
          <w:sz w:val="28"/>
          <w:szCs w:val="28"/>
          <w:lang w:val="uk-UA" w:eastAsia="uk"/>
          <w14:ligatures w14:val="none"/>
        </w:rPr>
        <w:t xml:space="preserve">заємодії та координація їх діяльності в інтересах оборони держави за </w:t>
      </w:r>
      <w:r w:rsidRPr="003B5892">
        <w:rPr>
          <w:rFonts w:ascii="Times New Roman" w:eastAsia="Times New Roman" w:hAnsi="Times New Roman" w:cs="Times New Roman"/>
          <w:kern w:val="0"/>
          <w:sz w:val="28"/>
          <w:szCs w:val="28"/>
          <w:lang w:val="uk-UA" w:eastAsia="uk-UA"/>
          <w14:ligatures w14:val="none"/>
        </w:rPr>
        <w:t>двома типами: відомчої та міжвідомчої.</w:t>
      </w:r>
    </w:p>
    <w:p w14:paraId="1832C116"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3B5892">
        <w:rPr>
          <w:rFonts w:ascii="Times New Roman" w:eastAsia="Times New Roman" w:hAnsi="Times New Roman" w:cs="Times New Roman"/>
          <w:kern w:val="0"/>
          <w:sz w:val="28"/>
          <w:szCs w:val="28"/>
          <w:lang w:val="uk-UA" w:eastAsia="uk-UA"/>
          <w14:ligatures w14:val="none"/>
        </w:rPr>
        <w:t xml:space="preserve">Відомча взаємодія – це спільна діяльність, узгоджені дії та обмін інформацією між різними науковими структурними підрозділами в системі МО України </w:t>
      </w:r>
      <w:r w:rsidRPr="003B5892">
        <w:rPr>
          <w:rFonts w:ascii="Times New Roman" w:eastAsia="Times New Roman" w:hAnsi="Times New Roman" w:cs="Times New Roman"/>
          <w:kern w:val="0"/>
          <w:sz w:val="28"/>
          <w:szCs w:val="28"/>
          <w:lang w:val="uk-UA"/>
          <w14:ligatures w14:val="none"/>
        </w:rPr>
        <w:t>для спільного вирішення завдань</w:t>
      </w:r>
      <w:r w:rsidRPr="003B5892">
        <w:rPr>
          <w:rFonts w:ascii="Times New Roman" w:eastAsia="Times New Roman" w:hAnsi="Times New Roman" w:cs="Times New Roman"/>
          <w:kern w:val="0"/>
          <w:sz w:val="28"/>
          <w:szCs w:val="28"/>
          <w:lang w:val="uk-UA" w:eastAsia="uk-UA"/>
          <w14:ligatures w14:val="none"/>
        </w:rPr>
        <w:t xml:space="preserve"> у сфері ННТД.</w:t>
      </w:r>
      <w:r w:rsidRPr="003B5892">
        <w:rPr>
          <w:rFonts w:ascii="Times New Roman" w:eastAsia="Times New Roman" w:hAnsi="Times New Roman" w:cs="Times New Roman"/>
          <w:kern w:val="0"/>
          <w:sz w:val="28"/>
          <w:szCs w:val="28"/>
          <w:shd w:val="clear" w:color="auto" w:fill="FFFFFF"/>
          <w:lang w:val="uk-UA"/>
          <w14:ligatures w14:val="none"/>
        </w:rPr>
        <w:t xml:space="preserve"> </w:t>
      </w:r>
    </w:p>
    <w:p w14:paraId="6E263771" w14:textId="77777777" w:rsidR="000F5770" w:rsidRPr="003B5892" w:rsidRDefault="000F5770" w:rsidP="00023291">
      <w:pPr>
        <w:shd w:val="clear" w:color="auto" w:fill="FFFFFF"/>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uk-UA"/>
          <w14:ligatures w14:val="none"/>
        </w:rPr>
      </w:pPr>
      <w:r w:rsidRPr="003B5892">
        <w:rPr>
          <w:rFonts w:ascii="Times New Roman" w:eastAsia="Times New Roman" w:hAnsi="Times New Roman" w:cs="Times New Roman"/>
          <w:kern w:val="0"/>
          <w:sz w:val="28"/>
          <w:szCs w:val="28"/>
          <w:lang w:val="uk-UA" w:eastAsia="uk-UA"/>
          <w14:ligatures w14:val="none"/>
        </w:rPr>
        <w:t>Міжвідомча взаємодія на загальнодержавному</w:t>
      </w:r>
      <w:r w:rsidRPr="003B5892">
        <w:rPr>
          <w:rFonts w:ascii="Times New Roman" w:eastAsia="Times New Roman" w:hAnsi="Times New Roman" w:cs="Times New Roman"/>
          <w:color w:val="000000"/>
          <w:kern w:val="0"/>
          <w:sz w:val="28"/>
          <w:szCs w:val="28"/>
          <w:lang w:val="uk-UA" w:eastAsia="uk-UA"/>
          <w14:ligatures w14:val="none"/>
        </w:rPr>
        <w:t xml:space="preserve"> рівні (між науковими структурними підрозділами, які знаходяться у сфері управління МО України і установами НАНУ, НУ та ЗВО інших ЦОВВ (різних форм власності), а також Національної радою України з питань розвитку науки і технологій, Національним фондом досліджень України) – </w:t>
      </w:r>
      <w:r w:rsidRPr="003B5892">
        <w:rPr>
          <w:rFonts w:ascii="Times New Roman" w:eastAsia="Times New Roman" w:hAnsi="Times New Roman" w:cs="Times New Roman"/>
          <w:color w:val="000000"/>
          <w:kern w:val="0"/>
          <w:sz w:val="28"/>
          <w:szCs w:val="28"/>
          <w:lang w:val="uk-UA"/>
          <w14:ligatures w14:val="none"/>
        </w:rPr>
        <w:t xml:space="preserve">це партнерство, обмін інформацією, координація дій між різними державними міністерствами, відомствами, службами та установами для спільного досягнення цілей у сфері ННТД. </w:t>
      </w:r>
    </w:p>
    <w:p w14:paraId="4B29CAB5" w14:textId="346E46A4" w:rsidR="000F5770" w:rsidRPr="003B5892" w:rsidRDefault="000F5770" w:rsidP="00023291">
      <w:pPr>
        <w:pBdr>
          <w:left w:val="single" w:sz="12" w:space="9" w:color="7BA0CD"/>
        </w:pBdr>
        <w:tabs>
          <w:tab w:val="left" w:pos="9638"/>
        </w:tabs>
        <w:spacing w:after="0" w:line="240" w:lineRule="auto"/>
        <w:ind w:firstLine="709"/>
        <w:jc w:val="both"/>
        <w:rPr>
          <w:rFonts w:ascii="Times New Roman" w:eastAsia="Times New Roman" w:hAnsi="Times New Roman" w:cs="Times New Roman"/>
          <w:iCs/>
          <w:kern w:val="0"/>
          <w:sz w:val="28"/>
          <w:szCs w:val="28"/>
          <w:lang w:val="uk-UA"/>
          <w14:ligatures w14:val="none"/>
        </w:rPr>
      </w:pPr>
      <w:r w:rsidRPr="003B5892">
        <w:rPr>
          <w:rFonts w:ascii="Times New Roman" w:eastAsia="Times New Roman" w:hAnsi="Times New Roman" w:cs="Times New Roman"/>
          <w:color w:val="000000"/>
          <w:kern w:val="0"/>
          <w:sz w:val="28"/>
          <w:szCs w:val="28"/>
          <w:lang w:val="uk-UA" w:eastAsia="uk-UA"/>
          <w14:ligatures w14:val="none"/>
        </w:rPr>
        <w:t xml:space="preserve">Для відомчої взаємодії характерно те, що вона має забезпечити інтеграцію зусиль НУ, НП ВВНЗ і НП ВНП ЗВО системи МО України для оперативного вирішення завдань в інтересах МО України та ЗС України, особливо в умовах ведення бойових дій. Вона передбачає скоординоване планування, можливість обміну даними, спільну розробку науково-технічної продукції з використанням наявного наукового потенціалу та регламентується законодавством України, нормативно-правовими актами МО України та ГШ ЗС України. </w:t>
      </w:r>
      <w:r w:rsidRPr="003B5892">
        <w:rPr>
          <w:rFonts w:ascii="Times New Roman" w:eastAsia="Times New Roman" w:hAnsi="Times New Roman" w:cs="Times New Roman"/>
          <w:iCs/>
          <w:kern w:val="0"/>
          <w:sz w:val="28"/>
          <w:szCs w:val="28"/>
          <w:lang w:val="uk-UA"/>
          <w14:ligatures w14:val="none"/>
        </w:rPr>
        <w:t>С</w:t>
      </w:r>
      <w:r w:rsidRPr="003B5892">
        <w:rPr>
          <w:rFonts w:ascii="Times New Roman" w:eastAsia="Times New Roman" w:hAnsi="Times New Roman" w:cs="Times New Roman"/>
          <w:kern w:val="0"/>
          <w:sz w:val="28"/>
          <w:szCs w:val="28"/>
          <w:lang w:val="uk-UA" w:eastAsia="uk"/>
          <w14:ligatures w14:val="none"/>
        </w:rPr>
        <w:t xml:space="preserve">хема організації взаємодії </w:t>
      </w:r>
      <w:r w:rsidRPr="003B5892">
        <w:rPr>
          <w:rFonts w:ascii="Times New Roman" w:eastAsia="Times New Roman" w:hAnsi="Times New Roman" w:cs="Times New Roman"/>
          <w:kern w:val="0"/>
          <w:sz w:val="28"/>
          <w:szCs w:val="28"/>
          <w:lang w:val="uk-UA"/>
          <w14:ligatures w14:val="none"/>
        </w:rPr>
        <w:t xml:space="preserve">наукових </w:t>
      </w:r>
      <w:r w:rsidR="00F579DF">
        <w:rPr>
          <w:rFonts w:ascii="Times New Roman" w:eastAsia="Times New Roman" w:hAnsi="Times New Roman" w:cs="Times New Roman"/>
          <w:kern w:val="0"/>
          <w:sz w:val="28"/>
          <w:szCs w:val="28"/>
          <w:lang w:val="uk-UA"/>
          <w14:ligatures w14:val="none"/>
        </w:rPr>
        <w:t xml:space="preserve">структурних </w:t>
      </w:r>
      <w:r w:rsidRPr="003B5892">
        <w:rPr>
          <w:rFonts w:ascii="Times New Roman" w:eastAsia="Times New Roman" w:hAnsi="Times New Roman" w:cs="Times New Roman"/>
          <w:kern w:val="0"/>
          <w:sz w:val="28"/>
          <w:szCs w:val="28"/>
          <w:lang w:val="uk-UA"/>
          <w14:ligatures w14:val="none"/>
        </w:rPr>
        <w:t xml:space="preserve">підрозділів </w:t>
      </w:r>
      <w:r w:rsidRPr="003B5892">
        <w:rPr>
          <w:rFonts w:ascii="Times New Roman" w:eastAsia="Times New Roman" w:hAnsi="Times New Roman" w:cs="Times New Roman"/>
          <w:kern w:val="0"/>
          <w:sz w:val="28"/>
          <w:szCs w:val="28"/>
          <w:lang w:val="uk-UA" w:eastAsia="uk"/>
          <w14:ligatures w14:val="none"/>
        </w:rPr>
        <w:t>системи Міноборони в межах єдиного наукового простору надана на рис. 3.</w:t>
      </w:r>
    </w:p>
    <w:p w14:paraId="1D5267E2" w14:textId="6042F9E8" w:rsidR="000F5770" w:rsidRPr="003B5892" w:rsidRDefault="000F5770"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color w:val="000000"/>
          <w:kern w:val="0"/>
          <w:sz w:val="28"/>
          <w:szCs w:val="28"/>
          <w:lang w:val="uk-UA" w:eastAsia="uk-UA"/>
          <w14:ligatures w14:val="none"/>
        </w:rPr>
        <w:t xml:space="preserve">Організація міжвідомчої взаємодії на загальнодержавному рівні – має забезпечити координацію зусиль НУ, НП ВВНЗ і НП ВНП ЗВО системи МО </w:t>
      </w:r>
    </w:p>
    <w:p w14:paraId="7D6812AD"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sectPr w:rsidR="000F5770" w:rsidRPr="003B5892" w:rsidSect="00A908CF">
          <w:type w:val="continuous"/>
          <w:pgSz w:w="11906" w:h="16838"/>
          <w:pgMar w:top="1134" w:right="1134" w:bottom="1134" w:left="1134" w:header="709" w:footer="709" w:gutter="0"/>
          <w:cols w:space="708"/>
          <w:docGrid w:linePitch="360"/>
        </w:sectPr>
      </w:pPr>
    </w:p>
    <w:p w14:paraId="1CA1854A"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noProof/>
          <w:kern w:val="0"/>
          <w:sz w:val="28"/>
          <w:szCs w:val="28"/>
          <w:lang w:val="uk-UA" w:eastAsia="uk-UA"/>
          <w14:ligatures w14:val="none"/>
        </w:rPr>
        <w:lastRenderedPageBreak/>
        <mc:AlternateContent>
          <mc:Choice Requires="wps">
            <w:drawing>
              <wp:anchor distT="0" distB="0" distL="114300" distR="114300" simplePos="0" relativeHeight="251722752" behindDoc="0" locked="0" layoutInCell="1" allowOverlap="1" wp14:anchorId="6D12D449" wp14:editId="6B5A7F67">
                <wp:simplePos x="0" y="0"/>
                <wp:positionH relativeFrom="column">
                  <wp:posOffset>914310</wp:posOffset>
                </wp:positionH>
                <wp:positionV relativeFrom="paragraph">
                  <wp:posOffset>111300</wp:posOffset>
                </wp:positionV>
                <wp:extent cx="3465830" cy="699380"/>
                <wp:effectExtent l="0" t="0" r="20320" b="24765"/>
                <wp:wrapNone/>
                <wp:docPr id="77938596" name="Прямоугольник 2"/>
                <wp:cNvGraphicFramePr/>
                <a:graphic xmlns:a="http://schemas.openxmlformats.org/drawingml/2006/main">
                  <a:graphicData uri="http://schemas.microsoft.com/office/word/2010/wordprocessingShape">
                    <wps:wsp>
                      <wps:cNvSpPr/>
                      <wps:spPr>
                        <a:xfrm>
                          <a:off x="0" y="0"/>
                          <a:ext cx="3465830" cy="699380"/>
                        </a:xfrm>
                        <a:prstGeom prst="rect">
                          <a:avLst/>
                        </a:prstGeom>
                        <a:solidFill>
                          <a:sysClr val="window" lastClr="FFFFFF"/>
                        </a:solidFill>
                        <a:ln w="25400" cap="flat" cmpd="sng" algn="ctr">
                          <a:solidFill>
                            <a:sysClr val="windowText" lastClr="000000"/>
                          </a:solidFill>
                          <a:prstDash val="solid"/>
                        </a:ln>
                        <a:effectLst/>
                      </wps:spPr>
                      <wps:txbx>
                        <w:txbxContent>
                          <w:p w14:paraId="41E8B00F" w14:textId="77777777" w:rsidR="00F25FCF" w:rsidRPr="003B5892" w:rsidRDefault="00F25FCF" w:rsidP="000F5770">
                            <w:pPr>
                              <w:spacing w:after="0" w:line="240" w:lineRule="auto"/>
                              <w:jc w:val="center"/>
                              <w:rPr>
                                <w:rFonts w:ascii="Times New Roman" w:hAnsi="Times New Roman"/>
                                <w:b/>
                                <w:lang w:val="ru-RU"/>
                              </w:rPr>
                            </w:pPr>
                            <w:r w:rsidRPr="003B5892">
                              <w:rPr>
                                <w:rFonts w:ascii="Times New Roman" w:hAnsi="Times New Roman"/>
                                <w:b/>
                                <w:lang w:val="ru-RU"/>
                              </w:rPr>
                              <w:t>Міністерство оборони України:</w:t>
                            </w:r>
                          </w:p>
                          <w:p w14:paraId="16B70326" w14:textId="77777777" w:rsidR="00F25FCF" w:rsidRPr="003B5892" w:rsidRDefault="00F25FCF" w:rsidP="000F5770">
                            <w:pPr>
                              <w:spacing w:after="0" w:line="216" w:lineRule="auto"/>
                              <w:rPr>
                                <w:rFonts w:ascii="Times New Roman" w:hAnsi="Times New Roman"/>
                                <w:i/>
                                <w:lang w:val="ru-RU"/>
                              </w:rPr>
                            </w:pPr>
                            <w:r w:rsidRPr="003B5892">
                              <w:rPr>
                                <w:rFonts w:ascii="Times New Roman" w:hAnsi="Times New Roman"/>
                                <w:i/>
                                <w:lang w:val="ru-RU"/>
                              </w:rPr>
                              <w:t>формує державну політику у сфері військової науки;</w:t>
                            </w:r>
                          </w:p>
                          <w:p w14:paraId="0600782A" w14:textId="77777777" w:rsidR="00F25FCF" w:rsidRPr="003B5892" w:rsidRDefault="00F25FCF" w:rsidP="000F5770">
                            <w:pPr>
                              <w:spacing w:after="0" w:line="216" w:lineRule="auto"/>
                              <w:rPr>
                                <w:rFonts w:ascii="Times New Roman" w:hAnsi="Times New Roman"/>
                                <w:i/>
                                <w:lang w:val="ru-RU"/>
                              </w:rPr>
                            </w:pPr>
                            <w:r w:rsidRPr="003B5892">
                              <w:rPr>
                                <w:rFonts w:ascii="Times New Roman" w:hAnsi="Times New Roman"/>
                                <w:i/>
                                <w:lang w:val="ru-RU"/>
                              </w:rPr>
                              <w:t>визначає пріоритети наукових досліджень;</w:t>
                            </w:r>
                          </w:p>
                          <w:p w14:paraId="5B0E8EF1" w14:textId="77777777" w:rsidR="00F25FCF" w:rsidRPr="003B5892" w:rsidRDefault="00F25FCF" w:rsidP="000F5770">
                            <w:pPr>
                              <w:spacing w:after="0" w:line="216" w:lineRule="auto"/>
                              <w:rPr>
                                <w:rFonts w:ascii="Times New Roman" w:hAnsi="Times New Roman"/>
                                <w:i/>
                                <w:lang w:val="ru-RU"/>
                              </w:rPr>
                            </w:pPr>
                            <w:r w:rsidRPr="003B5892">
                              <w:rPr>
                                <w:rFonts w:ascii="Times New Roman" w:hAnsi="Times New Roman"/>
                                <w:i/>
                                <w:lang w:val="ru-RU"/>
                              </w:rPr>
                              <w:t>здійснює нормативно-правове регулювання.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2D449" id="_x0000_s1126" style="position:absolute;left:0;text-align:left;margin-left:1in;margin-top:8.75pt;width:272.9pt;height:55.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" fillcolor="window" strokecolor="windowText" strokeweight="2pt">
                <v:textbox>
                  <w:txbxContent>
                    <w:p w14:paraId="41E8B00F" w14:textId="77777777" w:rsidR="00F25FCF" w:rsidRPr="003B5892" w:rsidRDefault="00F25FCF" w:rsidP="000F5770">
                      <w:pPr>
                        <w:spacing w:after="0" w:line="240" w:lineRule="auto"/>
                        <w:jc w:val="center"/>
                        <w:rPr>
                          <w:rFonts w:ascii="Times New Roman" w:hAnsi="Times New Roman"/>
                          <w:b/>
                          <w:lang w:val="ru-RU"/>
                        </w:rPr>
                      </w:pPr>
                      <w:r w:rsidRPr="003B5892">
                        <w:rPr>
                          <w:rFonts w:ascii="Times New Roman" w:hAnsi="Times New Roman"/>
                          <w:b/>
                          <w:lang w:val="ru-RU"/>
                        </w:rPr>
                        <w:t>Міністерство оборони України:</w:t>
                      </w:r>
                    </w:p>
                    <w:p w14:paraId="16B70326" w14:textId="77777777" w:rsidR="00F25FCF" w:rsidRPr="003B5892" w:rsidRDefault="00F25FCF" w:rsidP="000F5770">
                      <w:pPr>
                        <w:spacing w:after="0" w:line="216" w:lineRule="auto"/>
                        <w:rPr>
                          <w:rFonts w:ascii="Times New Roman" w:hAnsi="Times New Roman"/>
                          <w:i/>
                          <w:lang w:val="ru-RU"/>
                        </w:rPr>
                      </w:pPr>
                      <w:r w:rsidRPr="003B5892">
                        <w:rPr>
                          <w:rFonts w:ascii="Times New Roman" w:hAnsi="Times New Roman"/>
                          <w:i/>
                          <w:lang w:val="ru-RU"/>
                        </w:rPr>
                        <w:t>формує державну політику у сфері військової науки;</w:t>
                      </w:r>
                    </w:p>
                    <w:p w14:paraId="0600782A" w14:textId="77777777" w:rsidR="00F25FCF" w:rsidRPr="003B5892" w:rsidRDefault="00F25FCF" w:rsidP="000F5770">
                      <w:pPr>
                        <w:spacing w:after="0" w:line="216" w:lineRule="auto"/>
                        <w:rPr>
                          <w:rFonts w:ascii="Times New Roman" w:hAnsi="Times New Roman"/>
                          <w:i/>
                          <w:lang w:val="ru-RU"/>
                        </w:rPr>
                      </w:pPr>
                      <w:r w:rsidRPr="003B5892">
                        <w:rPr>
                          <w:rFonts w:ascii="Times New Roman" w:hAnsi="Times New Roman"/>
                          <w:i/>
                          <w:lang w:val="ru-RU"/>
                        </w:rPr>
                        <w:t>визначає пріоритети наукових досліджень;</w:t>
                      </w:r>
                    </w:p>
                    <w:p w14:paraId="5B0E8EF1" w14:textId="77777777" w:rsidR="00F25FCF" w:rsidRPr="003B5892" w:rsidRDefault="00F25FCF" w:rsidP="000F5770">
                      <w:pPr>
                        <w:spacing w:after="0" w:line="216" w:lineRule="auto"/>
                        <w:rPr>
                          <w:rFonts w:ascii="Times New Roman" w:hAnsi="Times New Roman"/>
                          <w:i/>
                          <w:lang w:val="ru-RU"/>
                        </w:rPr>
                      </w:pPr>
                      <w:r w:rsidRPr="003B5892">
                        <w:rPr>
                          <w:rFonts w:ascii="Times New Roman" w:hAnsi="Times New Roman"/>
                          <w:i/>
                          <w:lang w:val="ru-RU"/>
                        </w:rPr>
                        <w:t>здійснює нормативно-правове регулювання.</w:t>
                      </w:r>
                    </w:p>
                  </w:txbxContent>
                </v:textbox>
              </v:rect>
            </w:pict>
          </mc:Fallback>
        </mc:AlternateContent>
      </w: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37088" behindDoc="0" locked="0" layoutInCell="1" allowOverlap="1" wp14:anchorId="34154DFE" wp14:editId="305DE13E">
                <wp:simplePos x="0" y="0"/>
                <wp:positionH relativeFrom="column">
                  <wp:posOffset>4442279</wp:posOffset>
                </wp:positionH>
                <wp:positionV relativeFrom="paragraph">
                  <wp:posOffset>2540</wp:posOffset>
                </wp:positionV>
                <wp:extent cx="444500" cy="1819910"/>
                <wp:effectExtent l="57150" t="38100" r="69850" b="104140"/>
                <wp:wrapNone/>
                <wp:docPr id="1675657179" name="Правая фигурная скобка 18"/>
                <wp:cNvGraphicFramePr/>
                <a:graphic xmlns:a="http://schemas.openxmlformats.org/drawingml/2006/main">
                  <a:graphicData uri="http://schemas.microsoft.com/office/word/2010/wordprocessingShape">
                    <wps:wsp>
                      <wps:cNvSpPr/>
                      <wps:spPr>
                        <a:xfrm>
                          <a:off x="0" y="0"/>
                          <a:ext cx="444500" cy="1819910"/>
                        </a:xfrm>
                        <a:prstGeom prst="rightBrace">
                          <a:avLst/>
                        </a:prstGeom>
                        <a:noFill/>
                        <a:ln w="38100" cap="flat" cmpd="sng" algn="ctr">
                          <a:solidFill>
                            <a:sysClr val="windowText" lastClr="0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7CC933"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8" o:spid="_x0000_s1026" type="#_x0000_t88" style="position:absolute;margin-left:349.8pt;margin-top:.2pt;width:35pt;height:143.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" adj="440" strokecolor="windowText" strokeweight="3pt">
                <v:shadow on="t" color="black" opacity="22937f" origin=",.5" offset="0,.63889mm"/>
              </v:shape>
            </w:pict>
          </mc:Fallback>
        </mc:AlternateContent>
      </w:r>
    </w:p>
    <w:p w14:paraId="7B8326E5"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7178162D"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26F7A746"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Calibri" w:eastAsia="Times New Roman" w:hAnsi="Calibri" w:cs="Times New Roman"/>
          <w:noProof/>
          <w:kern w:val="0"/>
          <w:lang w:val="uk-UA" w:eastAsia="uk-UA"/>
          <w14:ligatures w14:val="none"/>
        </w:rPr>
        <mc:AlternateContent>
          <mc:Choice Requires="wps">
            <w:drawing>
              <wp:anchor distT="0" distB="0" distL="114300" distR="114300" simplePos="0" relativeHeight="251746304" behindDoc="0" locked="0" layoutInCell="1" allowOverlap="1" wp14:anchorId="1C96C471" wp14:editId="5EFAF060">
                <wp:simplePos x="0" y="0"/>
                <wp:positionH relativeFrom="column">
                  <wp:posOffset>2667000</wp:posOffset>
                </wp:positionH>
                <wp:positionV relativeFrom="paragraph">
                  <wp:posOffset>155152</wp:posOffset>
                </wp:positionV>
                <wp:extent cx="0" cy="200297"/>
                <wp:effectExtent l="114300" t="19050" r="76200" b="85725"/>
                <wp:wrapNone/>
                <wp:docPr id="1502404766" name="Прямая со стрелкой 25"/>
                <wp:cNvGraphicFramePr/>
                <a:graphic xmlns:a="http://schemas.openxmlformats.org/drawingml/2006/main">
                  <a:graphicData uri="http://schemas.microsoft.com/office/word/2010/wordprocessingShape">
                    <wps:wsp>
                      <wps:cNvCnPr/>
                      <wps:spPr>
                        <a:xfrm>
                          <a:off x="0" y="0"/>
                          <a:ext cx="0" cy="200297"/>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3FEC760E" id="Прямая со стрелкой 25" o:spid="_x0000_s1026" type="#_x0000_t32" style="position:absolute;margin-left:210pt;margin-top:12.2pt;width:0;height:15.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" strokecolor="windowText" strokeweight="2pt">
                <v:stroke endarrow="open"/>
                <v:shadow on="t" color="black" opacity="24903f" origin=",.5" offset="0,.55556mm"/>
              </v:shape>
            </w:pict>
          </mc:Fallback>
        </mc:AlternateContent>
      </w:r>
      <w:r w:rsidRPr="003B5892">
        <w:rPr>
          <w:rFonts w:ascii="Calibri" w:eastAsia="Times New Roman" w:hAnsi="Calibri" w:cs="Times New Roman"/>
          <w:noProof/>
          <w:kern w:val="0"/>
          <w:lang w:val="uk-UA" w:eastAsia="uk-UA"/>
          <w14:ligatures w14:val="none"/>
        </w:rPr>
        <mc:AlternateContent>
          <mc:Choice Requires="wps">
            <w:drawing>
              <wp:anchor distT="0" distB="0" distL="114300" distR="114300" simplePos="0" relativeHeight="251742208" behindDoc="0" locked="0" layoutInCell="0" allowOverlap="1" wp14:anchorId="5BE47E19" wp14:editId="67C65C26">
                <wp:simplePos x="0" y="0"/>
                <wp:positionH relativeFrom="margin">
                  <wp:posOffset>4844415</wp:posOffset>
                </wp:positionH>
                <wp:positionV relativeFrom="margin">
                  <wp:posOffset>742950</wp:posOffset>
                </wp:positionV>
                <wp:extent cx="1645920" cy="388620"/>
                <wp:effectExtent l="0" t="0" r="0" b="0"/>
                <wp:wrapSquare wrapText="bothSides"/>
                <wp:docPr id="1884019178"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5920" cy="38862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14:paraId="6F3AADDA" w14:textId="77777777" w:rsidR="00F25FCF" w:rsidRDefault="00F25FCF" w:rsidP="000F5770">
                            <w:pPr>
                              <w:pBdr>
                                <w:left w:val="single" w:sz="12" w:space="10" w:color="7BA0CD"/>
                              </w:pBdr>
                              <w:spacing w:after="0" w:line="240" w:lineRule="auto"/>
                              <w:jc w:val="center"/>
                              <w:rPr>
                                <w:rFonts w:ascii="Times New Roman" w:hAnsi="Times New Roman"/>
                                <w:iCs/>
                                <w:sz w:val="20"/>
                                <w:szCs w:val="20"/>
                              </w:rPr>
                            </w:pPr>
                            <w:r>
                              <w:rPr>
                                <w:rFonts w:ascii="Times New Roman" w:hAnsi="Times New Roman"/>
                                <w:iCs/>
                                <w:sz w:val="20"/>
                                <w:szCs w:val="20"/>
                              </w:rPr>
                              <w:t xml:space="preserve">Центральний рівень </w:t>
                            </w:r>
                          </w:p>
                          <w:p w14:paraId="392C782F" w14:textId="77777777" w:rsidR="00F25FCF" w:rsidRPr="005A0E7C" w:rsidRDefault="00F25FCF" w:rsidP="000F5770">
                            <w:pPr>
                              <w:pBdr>
                                <w:left w:val="single" w:sz="12" w:space="10" w:color="7BA0CD"/>
                              </w:pBdr>
                              <w:spacing w:after="0" w:line="240" w:lineRule="auto"/>
                              <w:jc w:val="center"/>
                              <w:rPr>
                                <w:rFonts w:ascii="Times New Roman" w:hAnsi="Times New Roman"/>
                                <w:iCs/>
                                <w:sz w:val="20"/>
                                <w:szCs w:val="20"/>
                              </w:rPr>
                            </w:pPr>
                            <w:r>
                              <w:rPr>
                                <w:rFonts w:ascii="Times New Roman" w:hAnsi="Times New Roman"/>
                                <w:iCs/>
                                <w:sz w:val="20"/>
                                <w:szCs w:val="20"/>
                              </w:rPr>
                              <w:t>управління</w:t>
                            </w:r>
                            <w:r w:rsidRPr="005A0E7C">
                              <w:rPr>
                                <w:rFonts w:ascii="Times New Roman" w:hAnsi="Times New Roman"/>
                                <w:iCs/>
                                <w:sz w:val="20"/>
                                <w:szCs w:val="20"/>
                              </w:rPr>
                              <w:t xml:space="preserve"> </w:t>
                            </w: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BE47E19" id="_x0000_s1127" style="position:absolute;left:0;text-align:left;margin-left:381.45pt;margin-top:58.5pt;width:129.6pt;height:30.6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" o:allowincell="f" filled="f" fillcolor="#4f81bd" stroked="f">
                <v:shadow color="#2f4d71" offset="1pt,1pt"/>
                <v:textbox inset="0,0,18pt,0">
                  <w:txbxContent>
                    <w:p w14:paraId="6F3AADDA" w14:textId="77777777" w:rsidR="00F25FCF" w:rsidRDefault="00F25FCF" w:rsidP="000F5770">
                      <w:pPr>
                        <w:pBdr>
                          <w:left w:val="single" w:sz="12" w:space="10" w:color="7BA0CD"/>
                        </w:pBdr>
                        <w:spacing w:after="0" w:line="240" w:lineRule="auto"/>
                        <w:jc w:val="center"/>
                        <w:rPr>
                          <w:rFonts w:ascii="Times New Roman" w:hAnsi="Times New Roman"/>
                          <w:iCs/>
                          <w:sz w:val="20"/>
                          <w:szCs w:val="20"/>
                        </w:rPr>
                      </w:pPr>
                      <w:r>
                        <w:rPr>
                          <w:rFonts w:ascii="Times New Roman" w:hAnsi="Times New Roman"/>
                          <w:iCs/>
                          <w:sz w:val="20"/>
                          <w:szCs w:val="20"/>
                        </w:rPr>
                        <w:t xml:space="preserve">Центральний рівень </w:t>
                      </w:r>
                    </w:p>
                    <w:p w14:paraId="392C782F" w14:textId="77777777" w:rsidR="00F25FCF" w:rsidRPr="005A0E7C" w:rsidRDefault="00F25FCF" w:rsidP="000F5770">
                      <w:pPr>
                        <w:pBdr>
                          <w:left w:val="single" w:sz="12" w:space="10" w:color="7BA0CD"/>
                        </w:pBdr>
                        <w:spacing w:after="0" w:line="240" w:lineRule="auto"/>
                        <w:jc w:val="center"/>
                        <w:rPr>
                          <w:rFonts w:ascii="Times New Roman" w:hAnsi="Times New Roman"/>
                          <w:iCs/>
                          <w:sz w:val="20"/>
                          <w:szCs w:val="20"/>
                        </w:rPr>
                      </w:pPr>
                      <w:r>
                        <w:rPr>
                          <w:rFonts w:ascii="Times New Roman" w:hAnsi="Times New Roman"/>
                          <w:iCs/>
                          <w:sz w:val="20"/>
                          <w:szCs w:val="20"/>
                        </w:rPr>
                        <w:t>управління</w:t>
                      </w:r>
                      <w:r w:rsidRPr="005A0E7C">
                        <w:rPr>
                          <w:rFonts w:ascii="Times New Roman" w:hAnsi="Times New Roman"/>
                          <w:iCs/>
                          <w:sz w:val="20"/>
                          <w:szCs w:val="20"/>
                        </w:rPr>
                        <w:t xml:space="preserve"> </w:t>
                      </w:r>
                    </w:p>
                  </w:txbxContent>
                </v:textbox>
                <w10:wrap type="square" anchorx="margin" anchory="margin"/>
              </v:rect>
            </w:pict>
          </mc:Fallback>
        </mc:AlternateContent>
      </w:r>
    </w:p>
    <w:p w14:paraId="05D8E3B4"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36064" behindDoc="0" locked="0" layoutInCell="1" allowOverlap="1" wp14:anchorId="3FC9FA31" wp14:editId="42900237">
                <wp:simplePos x="0" y="0"/>
                <wp:positionH relativeFrom="column">
                  <wp:posOffset>930910</wp:posOffset>
                </wp:positionH>
                <wp:positionV relativeFrom="paragraph">
                  <wp:posOffset>151130</wp:posOffset>
                </wp:positionV>
                <wp:extent cx="3465195" cy="825500"/>
                <wp:effectExtent l="0" t="0" r="20955" b="12700"/>
                <wp:wrapNone/>
                <wp:docPr id="520137980" name="Прямоугольник 17"/>
                <wp:cNvGraphicFramePr/>
                <a:graphic xmlns:a="http://schemas.openxmlformats.org/drawingml/2006/main">
                  <a:graphicData uri="http://schemas.microsoft.com/office/word/2010/wordprocessingShape">
                    <wps:wsp>
                      <wps:cNvSpPr/>
                      <wps:spPr>
                        <a:xfrm>
                          <a:off x="0" y="0"/>
                          <a:ext cx="3465195" cy="825500"/>
                        </a:xfrm>
                        <a:prstGeom prst="rect">
                          <a:avLst/>
                        </a:prstGeom>
                        <a:solidFill>
                          <a:sysClr val="window" lastClr="FFFFFF"/>
                        </a:solidFill>
                        <a:ln w="25400" cap="flat" cmpd="sng" algn="ctr">
                          <a:solidFill>
                            <a:sysClr val="windowText" lastClr="000000"/>
                          </a:solidFill>
                          <a:prstDash val="solid"/>
                        </a:ln>
                        <a:effectLst/>
                      </wps:spPr>
                      <wps:txbx>
                        <w:txbxContent>
                          <w:p w14:paraId="26CC62C9" w14:textId="77777777" w:rsidR="00F25FCF" w:rsidRPr="003B5892" w:rsidRDefault="00F25FCF" w:rsidP="000F5770">
                            <w:pPr>
                              <w:spacing w:after="0" w:line="216" w:lineRule="auto"/>
                              <w:jc w:val="center"/>
                              <w:rPr>
                                <w:rFonts w:ascii="Times New Roman" w:hAnsi="Times New Roman"/>
                                <w:b/>
                                <w:lang w:val="ru-RU"/>
                              </w:rPr>
                            </w:pPr>
                            <w:r w:rsidRPr="003B5892">
                              <w:rPr>
                                <w:rFonts w:ascii="Times New Roman" w:hAnsi="Times New Roman"/>
                                <w:b/>
                                <w:lang w:val="ru-RU"/>
                              </w:rPr>
                              <w:t>Уповноважений орган з питань науки (МОУ):</w:t>
                            </w:r>
                          </w:p>
                          <w:p w14:paraId="09F670B2" w14:textId="77777777" w:rsidR="00F25FCF" w:rsidRPr="003B5892" w:rsidRDefault="00F25FCF" w:rsidP="000F5770">
                            <w:pPr>
                              <w:tabs>
                                <w:tab w:val="num" w:pos="1440"/>
                              </w:tabs>
                              <w:spacing w:after="0" w:line="216" w:lineRule="auto"/>
                              <w:rPr>
                                <w:rFonts w:ascii="Times New Roman" w:hAnsi="Times New Roman"/>
                                <w:i/>
                                <w:lang w:val="ru-RU"/>
                              </w:rPr>
                            </w:pPr>
                            <w:r w:rsidRPr="003B5892">
                              <w:rPr>
                                <w:rFonts w:ascii="Times New Roman" w:hAnsi="Times New Roman"/>
                                <w:i/>
                                <w:lang w:val="ru-RU"/>
                              </w:rPr>
                              <w:t>здійснює:</w:t>
                            </w:r>
                          </w:p>
                          <w:p w14:paraId="4E4E0E91" w14:textId="77777777" w:rsidR="00F25FCF" w:rsidRPr="003B5892" w:rsidRDefault="00F25FCF" w:rsidP="000F5770">
                            <w:pPr>
                              <w:tabs>
                                <w:tab w:val="num" w:pos="1440"/>
                              </w:tabs>
                              <w:spacing w:after="0" w:line="216" w:lineRule="auto"/>
                              <w:rPr>
                                <w:rFonts w:ascii="Times New Roman" w:hAnsi="Times New Roman"/>
                                <w:i/>
                                <w:lang w:val="ru-RU"/>
                              </w:rPr>
                            </w:pPr>
                            <w:r w:rsidRPr="003B5892">
                              <w:rPr>
                                <w:rFonts w:ascii="Times New Roman" w:hAnsi="Times New Roman"/>
                                <w:i/>
                                <w:lang w:val="ru-RU"/>
                              </w:rPr>
                              <w:t>координацію наукової діяльності;</w:t>
                            </w:r>
                          </w:p>
                          <w:p w14:paraId="2391A978" w14:textId="77777777" w:rsidR="00F25FCF" w:rsidRPr="003B5892" w:rsidRDefault="00F25FCF" w:rsidP="000F5770">
                            <w:pPr>
                              <w:tabs>
                                <w:tab w:val="num" w:pos="1440"/>
                              </w:tabs>
                              <w:spacing w:after="0" w:line="216" w:lineRule="auto"/>
                              <w:rPr>
                                <w:rFonts w:ascii="Times New Roman" w:hAnsi="Times New Roman"/>
                                <w:i/>
                                <w:lang w:val="ru-RU"/>
                              </w:rPr>
                            </w:pPr>
                            <w:r w:rsidRPr="003B5892">
                              <w:rPr>
                                <w:rFonts w:ascii="Times New Roman" w:hAnsi="Times New Roman"/>
                                <w:i/>
                                <w:lang w:val="ru-RU"/>
                              </w:rPr>
                              <w:t xml:space="preserve">планування та контроль виконання НДР; </w:t>
                            </w:r>
                          </w:p>
                          <w:p w14:paraId="261F1D70" w14:textId="77777777" w:rsidR="00F25FCF" w:rsidRPr="002E7404" w:rsidRDefault="00F25FCF" w:rsidP="000F5770">
                            <w:pPr>
                              <w:tabs>
                                <w:tab w:val="num" w:pos="1440"/>
                              </w:tabs>
                              <w:spacing w:after="0" w:line="216" w:lineRule="auto"/>
                              <w:rPr>
                                <w:rFonts w:ascii="Times New Roman" w:hAnsi="Times New Roman"/>
                                <w:b/>
                              </w:rPr>
                            </w:pPr>
                            <w:r w:rsidRPr="0001110D">
                              <w:rPr>
                                <w:rFonts w:ascii="Times New Roman" w:hAnsi="Times New Roman"/>
                                <w:i/>
                              </w:rPr>
                              <w:t>формування єдиного наукового простору</w:t>
                            </w:r>
                            <w:r>
                              <w:rPr>
                                <w:rFonts w:ascii="Times New Roman" w:hAnsi="Times New Roman"/>
                                <w:i/>
                              </w:rPr>
                              <w:t>.</w:t>
                            </w:r>
                            <w:r w:rsidRPr="0001110D">
                              <w:rPr>
                                <w:rFonts w:ascii="Times New Roman" w:hAnsi="Times New Roman"/>
                                <w: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9FA31" id="Прямоугольник 17" o:spid="_x0000_s1128" style="position:absolute;left:0;text-align:left;margin-left:73.3pt;margin-top:11.9pt;width:272.85pt;height:6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" fillcolor="window" strokecolor="windowText" strokeweight="2pt">
                <v:textbox>
                  <w:txbxContent>
                    <w:p w14:paraId="26CC62C9" w14:textId="77777777" w:rsidR="00F25FCF" w:rsidRPr="003B5892" w:rsidRDefault="00F25FCF" w:rsidP="000F5770">
                      <w:pPr>
                        <w:spacing w:after="0" w:line="216" w:lineRule="auto"/>
                        <w:jc w:val="center"/>
                        <w:rPr>
                          <w:rFonts w:ascii="Times New Roman" w:hAnsi="Times New Roman"/>
                          <w:b/>
                          <w:lang w:val="ru-RU"/>
                        </w:rPr>
                      </w:pPr>
                      <w:r w:rsidRPr="003B5892">
                        <w:rPr>
                          <w:rFonts w:ascii="Times New Roman" w:hAnsi="Times New Roman"/>
                          <w:b/>
                          <w:lang w:val="ru-RU"/>
                        </w:rPr>
                        <w:t>Уповноважений орган з питань науки (МОУ):</w:t>
                      </w:r>
                    </w:p>
                    <w:p w14:paraId="09F670B2" w14:textId="77777777" w:rsidR="00F25FCF" w:rsidRPr="003B5892" w:rsidRDefault="00F25FCF" w:rsidP="000F5770">
                      <w:pPr>
                        <w:tabs>
                          <w:tab w:val="num" w:pos="1440"/>
                        </w:tabs>
                        <w:spacing w:after="0" w:line="216" w:lineRule="auto"/>
                        <w:rPr>
                          <w:rFonts w:ascii="Times New Roman" w:hAnsi="Times New Roman"/>
                          <w:i/>
                          <w:lang w:val="ru-RU"/>
                        </w:rPr>
                      </w:pPr>
                      <w:r w:rsidRPr="003B5892">
                        <w:rPr>
                          <w:rFonts w:ascii="Times New Roman" w:hAnsi="Times New Roman"/>
                          <w:i/>
                          <w:lang w:val="ru-RU"/>
                        </w:rPr>
                        <w:t>здійснює:</w:t>
                      </w:r>
                    </w:p>
                    <w:p w14:paraId="4E4E0E91" w14:textId="77777777" w:rsidR="00F25FCF" w:rsidRPr="003B5892" w:rsidRDefault="00F25FCF" w:rsidP="000F5770">
                      <w:pPr>
                        <w:tabs>
                          <w:tab w:val="num" w:pos="1440"/>
                        </w:tabs>
                        <w:spacing w:after="0" w:line="216" w:lineRule="auto"/>
                        <w:rPr>
                          <w:rFonts w:ascii="Times New Roman" w:hAnsi="Times New Roman"/>
                          <w:i/>
                          <w:lang w:val="ru-RU"/>
                        </w:rPr>
                      </w:pPr>
                      <w:r w:rsidRPr="003B5892">
                        <w:rPr>
                          <w:rFonts w:ascii="Times New Roman" w:hAnsi="Times New Roman"/>
                          <w:i/>
                          <w:lang w:val="ru-RU"/>
                        </w:rPr>
                        <w:t>координацію наукової діяльності;</w:t>
                      </w:r>
                    </w:p>
                    <w:p w14:paraId="2391A978" w14:textId="77777777" w:rsidR="00F25FCF" w:rsidRPr="003B5892" w:rsidRDefault="00F25FCF" w:rsidP="000F5770">
                      <w:pPr>
                        <w:tabs>
                          <w:tab w:val="num" w:pos="1440"/>
                        </w:tabs>
                        <w:spacing w:after="0" w:line="216" w:lineRule="auto"/>
                        <w:rPr>
                          <w:rFonts w:ascii="Times New Roman" w:hAnsi="Times New Roman"/>
                          <w:i/>
                          <w:lang w:val="ru-RU"/>
                        </w:rPr>
                      </w:pPr>
                      <w:r w:rsidRPr="003B5892">
                        <w:rPr>
                          <w:rFonts w:ascii="Times New Roman" w:hAnsi="Times New Roman"/>
                          <w:i/>
                          <w:lang w:val="ru-RU"/>
                        </w:rPr>
                        <w:t xml:space="preserve">планування та контроль виконання НДР; </w:t>
                      </w:r>
                    </w:p>
                    <w:p w14:paraId="261F1D70" w14:textId="77777777" w:rsidR="00F25FCF" w:rsidRPr="002E7404" w:rsidRDefault="00F25FCF" w:rsidP="000F5770">
                      <w:pPr>
                        <w:tabs>
                          <w:tab w:val="num" w:pos="1440"/>
                        </w:tabs>
                        <w:spacing w:after="0" w:line="216" w:lineRule="auto"/>
                        <w:rPr>
                          <w:rFonts w:ascii="Times New Roman" w:hAnsi="Times New Roman"/>
                          <w:b/>
                        </w:rPr>
                      </w:pPr>
                      <w:r w:rsidRPr="0001110D">
                        <w:rPr>
                          <w:rFonts w:ascii="Times New Roman" w:hAnsi="Times New Roman"/>
                          <w:i/>
                        </w:rPr>
                        <w:t>формування єдиного наукового простору</w:t>
                      </w:r>
                      <w:r>
                        <w:rPr>
                          <w:rFonts w:ascii="Times New Roman" w:hAnsi="Times New Roman"/>
                          <w:i/>
                        </w:rPr>
                        <w:t>.</w:t>
                      </w:r>
                      <w:r w:rsidRPr="0001110D">
                        <w:rPr>
                          <w:rFonts w:ascii="Times New Roman" w:hAnsi="Times New Roman"/>
                          <w:i/>
                        </w:rPr>
                        <w:t xml:space="preserve"> </w:t>
                      </w:r>
                    </w:p>
                  </w:txbxContent>
                </v:textbox>
              </v:rect>
            </w:pict>
          </mc:Fallback>
        </mc:AlternateContent>
      </w:r>
    </w:p>
    <w:p w14:paraId="6CA41780"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6E2682A8"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566F5C4B"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09348D6E"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48352" behindDoc="0" locked="0" layoutInCell="1" allowOverlap="1" wp14:anchorId="29B1DEB5" wp14:editId="27B9A0B8">
                <wp:simplePos x="0" y="0"/>
                <wp:positionH relativeFrom="column">
                  <wp:posOffset>3890010</wp:posOffset>
                </wp:positionH>
                <wp:positionV relativeFrom="paragraph">
                  <wp:posOffset>156210</wp:posOffset>
                </wp:positionV>
                <wp:extent cx="0" cy="217170"/>
                <wp:effectExtent l="114300" t="19050" r="76200" b="87630"/>
                <wp:wrapNone/>
                <wp:docPr id="746112705" name="Прямая со стрелкой 27"/>
                <wp:cNvGraphicFramePr/>
                <a:graphic xmlns:a="http://schemas.openxmlformats.org/drawingml/2006/main">
                  <a:graphicData uri="http://schemas.microsoft.com/office/word/2010/wordprocessingShape">
                    <wps:wsp>
                      <wps:cNvCnPr/>
                      <wps:spPr>
                        <a:xfrm>
                          <a:off x="0" y="0"/>
                          <a:ext cx="0" cy="21717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6B011275" id="Прямая со стрелкой 27" o:spid="_x0000_s1026" type="#_x0000_t32" style="position:absolute;margin-left:306.3pt;margin-top:12.3pt;width:0;height:17.1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" strokecolor="windowText" strokeweight="2pt">
                <v:stroke endarrow="open"/>
                <v:shadow on="t" color="black" opacity="24903f" origin=",.5" offset="0,.55556mm"/>
              </v:shape>
            </w:pict>
          </mc:Fallback>
        </mc:AlternateContent>
      </w: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47328" behindDoc="0" locked="0" layoutInCell="1" allowOverlap="1" wp14:anchorId="175779F4" wp14:editId="11EE4795">
                <wp:simplePos x="0" y="0"/>
                <wp:positionH relativeFrom="column">
                  <wp:posOffset>1692184</wp:posOffset>
                </wp:positionH>
                <wp:positionV relativeFrom="paragraph">
                  <wp:posOffset>152219</wp:posOffset>
                </wp:positionV>
                <wp:extent cx="0" cy="217714"/>
                <wp:effectExtent l="114300" t="19050" r="76200" b="87630"/>
                <wp:wrapNone/>
                <wp:docPr id="366147110" name="Прямая со стрелкой 26"/>
                <wp:cNvGraphicFramePr/>
                <a:graphic xmlns:a="http://schemas.openxmlformats.org/drawingml/2006/main">
                  <a:graphicData uri="http://schemas.microsoft.com/office/word/2010/wordprocessingShape">
                    <wps:wsp>
                      <wps:cNvCnPr/>
                      <wps:spPr>
                        <a:xfrm>
                          <a:off x="0" y="0"/>
                          <a:ext cx="0" cy="217714"/>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DE10E6B" id="Прямая со стрелкой 26" o:spid="_x0000_s1026" type="#_x0000_t32" style="position:absolute;margin-left:133.25pt;margin-top:12pt;width:0;height:17.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" strokecolor="windowText" strokeweight="2pt">
                <v:stroke endarrow="open"/>
                <v:shadow on="t" color="black" opacity="24903f" origin=",.5" offset="0,.55556mm"/>
              </v:shape>
            </w:pict>
          </mc:Fallback>
        </mc:AlternateContent>
      </w:r>
    </w:p>
    <w:p w14:paraId="402262D1"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35040" behindDoc="0" locked="0" layoutInCell="1" allowOverlap="1" wp14:anchorId="7D3CCC9B" wp14:editId="20826054">
                <wp:simplePos x="0" y="0"/>
                <wp:positionH relativeFrom="column">
                  <wp:posOffset>479425</wp:posOffset>
                </wp:positionH>
                <wp:positionV relativeFrom="paragraph">
                  <wp:posOffset>152823</wp:posOffset>
                </wp:positionV>
                <wp:extent cx="2230967" cy="957580"/>
                <wp:effectExtent l="0" t="0" r="17145" b="13970"/>
                <wp:wrapNone/>
                <wp:docPr id="166487006" name="Прямоугольник 16"/>
                <wp:cNvGraphicFramePr/>
                <a:graphic xmlns:a="http://schemas.openxmlformats.org/drawingml/2006/main">
                  <a:graphicData uri="http://schemas.microsoft.com/office/word/2010/wordprocessingShape">
                    <wps:wsp>
                      <wps:cNvSpPr/>
                      <wps:spPr>
                        <a:xfrm>
                          <a:off x="0" y="0"/>
                          <a:ext cx="2230967" cy="957580"/>
                        </a:xfrm>
                        <a:prstGeom prst="rect">
                          <a:avLst/>
                        </a:prstGeom>
                        <a:solidFill>
                          <a:sysClr val="window" lastClr="FFFFFF"/>
                        </a:solidFill>
                        <a:ln w="25400" cap="flat" cmpd="sng" algn="ctr">
                          <a:solidFill>
                            <a:sysClr val="windowText" lastClr="000000"/>
                          </a:solidFill>
                          <a:prstDash val="solid"/>
                        </a:ln>
                        <a:effectLst/>
                      </wps:spPr>
                      <wps:txbx>
                        <w:txbxContent>
                          <w:p w14:paraId="61DC4D56" w14:textId="77777777" w:rsidR="00F25FCF" w:rsidRPr="003B5892" w:rsidRDefault="00F25FCF" w:rsidP="000F5770">
                            <w:pPr>
                              <w:spacing w:after="0" w:line="240" w:lineRule="auto"/>
                              <w:ind w:left="-57" w:right="-57"/>
                              <w:jc w:val="center"/>
                              <w:rPr>
                                <w:rFonts w:ascii="Times New Roman" w:hAnsi="Times New Roman"/>
                                <w:b/>
                                <w:lang w:val="ru-RU"/>
                              </w:rPr>
                            </w:pPr>
                            <w:r w:rsidRPr="003B5892">
                              <w:rPr>
                                <w:rFonts w:ascii="Times New Roman" w:hAnsi="Times New Roman"/>
                                <w:b/>
                                <w:lang w:val="ru-RU"/>
                              </w:rPr>
                              <w:t>Наукові установи:</w:t>
                            </w:r>
                          </w:p>
                          <w:p w14:paraId="5B8FD94C" w14:textId="77777777" w:rsidR="00F25FCF" w:rsidRPr="003B5892" w:rsidRDefault="00F25FCF" w:rsidP="000F5770">
                            <w:pPr>
                              <w:tabs>
                                <w:tab w:val="num" w:pos="1440"/>
                              </w:tabs>
                              <w:spacing w:after="0" w:line="216" w:lineRule="auto"/>
                              <w:ind w:left="-57" w:right="-57"/>
                              <w:rPr>
                                <w:rFonts w:ascii="Times New Roman" w:hAnsi="Times New Roman"/>
                                <w:i/>
                                <w:lang w:val="ru-RU"/>
                              </w:rPr>
                            </w:pPr>
                            <w:r w:rsidRPr="003B5892">
                              <w:rPr>
                                <w:rFonts w:ascii="Times New Roman" w:hAnsi="Times New Roman"/>
                                <w:i/>
                                <w:lang w:val="ru-RU"/>
                              </w:rPr>
                              <w:t xml:space="preserve">наукові установи МОУ; </w:t>
                            </w:r>
                          </w:p>
                          <w:p w14:paraId="38901885" w14:textId="77777777" w:rsidR="00F25FCF" w:rsidRPr="003B5892" w:rsidRDefault="00F25FCF" w:rsidP="000F5770">
                            <w:pPr>
                              <w:tabs>
                                <w:tab w:val="num" w:pos="1440"/>
                              </w:tabs>
                              <w:spacing w:after="0" w:line="216" w:lineRule="auto"/>
                              <w:ind w:left="-57" w:right="-57"/>
                              <w:rPr>
                                <w:rFonts w:ascii="Times New Roman" w:hAnsi="Times New Roman"/>
                                <w:i/>
                                <w:lang w:val="ru-RU"/>
                              </w:rPr>
                            </w:pPr>
                            <w:r w:rsidRPr="003B5892">
                              <w:rPr>
                                <w:rFonts w:ascii="Times New Roman" w:hAnsi="Times New Roman"/>
                                <w:i/>
                                <w:lang w:val="ru-RU"/>
                              </w:rPr>
                              <w:t>наукові установи ЗСУ;</w:t>
                            </w:r>
                          </w:p>
                          <w:p w14:paraId="0B096CFA" w14:textId="77777777" w:rsidR="00F25FCF" w:rsidRPr="003B5892" w:rsidRDefault="00F25FCF" w:rsidP="000F5770">
                            <w:pPr>
                              <w:tabs>
                                <w:tab w:val="num" w:pos="1440"/>
                              </w:tabs>
                              <w:spacing w:after="0" w:line="216" w:lineRule="auto"/>
                              <w:ind w:left="-57" w:right="-57"/>
                              <w:rPr>
                                <w:rFonts w:ascii="Times New Roman" w:hAnsi="Times New Roman"/>
                                <w:b/>
                                <w:lang w:val="ru-RU"/>
                              </w:rPr>
                            </w:pPr>
                            <w:r w:rsidRPr="003B5892">
                              <w:rPr>
                                <w:rFonts w:ascii="Times New Roman" w:hAnsi="Times New Roman"/>
                                <w:i/>
                                <w:lang w:val="ru-RU"/>
                              </w:rPr>
                              <w:t>установи іншого підпорядкування.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CCC9B" id="Прямоугольник 16" o:spid="_x0000_s1129" style="position:absolute;left:0;text-align:left;margin-left:37.75pt;margin-top:12.05pt;width:175.65pt;height:75.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" fillcolor="window" strokecolor="windowText" strokeweight="2pt">
                <v:textbox>
                  <w:txbxContent>
                    <w:p w14:paraId="61DC4D56" w14:textId="77777777" w:rsidR="00F25FCF" w:rsidRPr="003B5892" w:rsidRDefault="00F25FCF" w:rsidP="000F5770">
                      <w:pPr>
                        <w:spacing w:after="0" w:line="240" w:lineRule="auto"/>
                        <w:ind w:left="-57" w:right="-57"/>
                        <w:jc w:val="center"/>
                        <w:rPr>
                          <w:rFonts w:ascii="Times New Roman" w:hAnsi="Times New Roman"/>
                          <w:b/>
                          <w:lang w:val="ru-RU"/>
                        </w:rPr>
                      </w:pPr>
                      <w:r w:rsidRPr="003B5892">
                        <w:rPr>
                          <w:rFonts w:ascii="Times New Roman" w:hAnsi="Times New Roman"/>
                          <w:b/>
                          <w:lang w:val="ru-RU"/>
                        </w:rPr>
                        <w:t>Наукові установи:</w:t>
                      </w:r>
                    </w:p>
                    <w:p w14:paraId="5B8FD94C" w14:textId="77777777" w:rsidR="00F25FCF" w:rsidRPr="003B5892" w:rsidRDefault="00F25FCF" w:rsidP="000F5770">
                      <w:pPr>
                        <w:tabs>
                          <w:tab w:val="num" w:pos="1440"/>
                        </w:tabs>
                        <w:spacing w:after="0" w:line="216" w:lineRule="auto"/>
                        <w:ind w:left="-57" w:right="-57"/>
                        <w:rPr>
                          <w:rFonts w:ascii="Times New Roman" w:hAnsi="Times New Roman"/>
                          <w:i/>
                          <w:lang w:val="ru-RU"/>
                        </w:rPr>
                      </w:pPr>
                      <w:r w:rsidRPr="003B5892">
                        <w:rPr>
                          <w:rFonts w:ascii="Times New Roman" w:hAnsi="Times New Roman"/>
                          <w:i/>
                          <w:lang w:val="ru-RU"/>
                        </w:rPr>
                        <w:t xml:space="preserve">наукові установи МОУ; </w:t>
                      </w:r>
                    </w:p>
                    <w:p w14:paraId="38901885" w14:textId="77777777" w:rsidR="00F25FCF" w:rsidRPr="003B5892" w:rsidRDefault="00F25FCF" w:rsidP="000F5770">
                      <w:pPr>
                        <w:tabs>
                          <w:tab w:val="num" w:pos="1440"/>
                        </w:tabs>
                        <w:spacing w:after="0" w:line="216" w:lineRule="auto"/>
                        <w:ind w:left="-57" w:right="-57"/>
                        <w:rPr>
                          <w:rFonts w:ascii="Times New Roman" w:hAnsi="Times New Roman"/>
                          <w:i/>
                          <w:lang w:val="ru-RU"/>
                        </w:rPr>
                      </w:pPr>
                      <w:r w:rsidRPr="003B5892">
                        <w:rPr>
                          <w:rFonts w:ascii="Times New Roman" w:hAnsi="Times New Roman"/>
                          <w:i/>
                          <w:lang w:val="ru-RU"/>
                        </w:rPr>
                        <w:t>наукові установи ЗСУ;</w:t>
                      </w:r>
                    </w:p>
                    <w:p w14:paraId="0B096CFA" w14:textId="77777777" w:rsidR="00F25FCF" w:rsidRPr="003B5892" w:rsidRDefault="00F25FCF" w:rsidP="000F5770">
                      <w:pPr>
                        <w:tabs>
                          <w:tab w:val="num" w:pos="1440"/>
                        </w:tabs>
                        <w:spacing w:after="0" w:line="216" w:lineRule="auto"/>
                        <w:ind w:left="-57" w:right="-57"/>
                        <w:rPr>
                          <w:rFonts w:ascii="Times New Roman" w:hAnsi="Times New Roman"/>
                          <w:b/>
                          <w:lang w:val="ru-RU"/>
                        </w:rPr>
                      </w:pPr>
                      <w:r w:rsidRPr="003B5892">
                        <w:rPr>
                          <w:rFonts w:ascii="Times New Roman" w:hAnsi="Times New Roman"/>
                          <w:i/>
                          <w:lang w:val="ru-RU"/>
                        </w:rPr>
                        <w:t>установи іншого підпорядкування.</w:t>
                      </w:r>
                    </w:p>
                  </w:txbxContent>
                </v:textbox>
              </v:rect>
            </w:pict>
          </mc:Fallback>
        </mc:AlternateContent>
      </w: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38112" behindDoc="0" locked="0" layoutInCell="1" allowOverlap="1" wp14:anchorId="44B64078" wp14:editId="1ED42026">
                <wp:simplePos x="0" y="0"/>
                <wp:positionH relativeFrom="column">
                  <wp:posOffset>5436870</wp:posOffset>
                </wp:positionH>
                <wp:positionV relativeFrom="paragraph">
                  <wp:posOffset>165463</wp:posOffset>
                </wp:positionV>
                <wp:extent cx="251460" cy="3126377"/>
                <wp:effectExtent l="38100" t="38100" r="15240" b="93345"/>
                <wp:wrapNone/>
                <wp:docPr id="1970698135" name="Правая фигурная скобка 19"/>
                <wp:cNvGraphicFramePr/>
                <a:graphic xmlns:a="http://schemas.openxmlformats.org/drawingml/2006/main">
                  <a:graphicData uri="http://schemas.microsoft.com/office/word/2010/wordprocessingShape">
                    <wps:wsp>
                      <wps:cNvSpPr/>
                      <wps:spPr>
                        <a:xfrm>
                          <a:off x="0" y="0"/>
                          <a:ext cx="251460" cy="3126377"/>
                        </a:xfrm>
                        <a:prstGeom prst="rightBrac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C552D" id="Правая фигурная скобка 19" o:spid="_x0000_s1026" type="#_x0000_t88" style="position:absolute;margin-left:428.1pt;margin-top:13.05pt;width:19.8pt;height:246.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" adj="145" strokecolor="windowText" strokeweight="2pt">
                <v:shadow on="t" color="black" opacity="24903f" origin=",.5" offset="0,.55556mm"/>
              </v:shape>
            </w:pict>
          </mc:Fallback>
        </mc:AlternateContent>
      </w: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34016" behindDoc="0" locked="0" layoutInCell="1" allowOverlap="1" wp14:anchorId="4AE22281" wp14:editId="60527A64">
                <wp:simplePos x="0" y="0"/>
                <wp:positionH relativeFrom="column">
                  <wp:posOffset>2754630</wp:posOffset>
                </wp:positionH>
                <wp:positionV relativeFrom="paragraph">
                  <wp:posOffset>153216</wp:posOffset>
                </wp:positionV>
                <wp:extent cx="2621280" cy="957580"/>
                <wp:effectExtent l="0" t="0" r="26670" b="13970"/>
                <wp:wrapNone/>
                <wp:docPr id="858374665" name="Прямоугольник 15"/>
                <wp:cNvGraphicFramePr/>
                <a:graphic xmlns:a="http://schemas.openxmlformats.org/drawingml/2006/main">
                  <a:graphicData uri="http://schemas.microsoft.com/office/word/2010/wordprocessingShape">
                    <wps:wsp>
                      <wps:cNvSpPr/>
                      <wps:spPr>
                        <a:xfrm>
                          <a:off x="0" y="0"/>
                          <a:ext cx="2621280" cy="957580"/>
                        </a:xfrm>
                        <a:prstGeom prst="rect">
                          <a:avLst/>
                        </a:prstGeom>
                        <a:solidFill>
                          <a:sysClr val="window" lastClr="FFFFFF"/>
                        </a:solidFill>
                        <a:ln w="25400" cap="flat" cmpd="sng" algn="ctr">
                          <a:solidFill>
                            <a:sysClr val="windowText" lastClr="000000"/>
                          </a:solidFill>
                          <a:prstDash val="solid"/>
                        </a:ln>
                        <a:effectLst/>
                      </wps:spPr>
                      <wps:txbx>
                        <w:txbxContent>
                          <w:p w14:paraId="2355D046" w14:textId="77777777" w:rsidR="00F25FCF" w:rsidRDefault="00F25FCF" w:rsidP="000F5770">
                            <w:pPr>
                              <w:spacing w:after="0" w:line="216" w:lineRule="auto"/>
                              <w:jc w:val="center"/>
                              <w:outlineLvl w:val="0"/>
                              <w:rPr>
                                <w:rFonts w:ascii="Times New Roman" w:hAnsi="Times New Roman"/>
                                <w:b/>
                              </w:rPr>
                            </w:pPr>
                            <w:r w:rsidRPr="00346C55">
                              <w:rPr>
                                <w:rFonts w:ascii="Times New Roman" w:hAnsi="Times New Roman"/>
                                <w:b/>
                              </w:rPr>
                              <w:t>Вищі військові навчальні заклади (військові навчальні підрозділи закладів вищої освіти)</w:t>
                            </w:r>
                            <w:r>
                              <w:rPr>
                                <w:rFonts w:ascii="Times New Roman" w:hAnsi="Times New Roman"/>
                                <w:b/>
                              </w:rPr>
                              <w:t>:</w:t>
                            </w:r>
                          </w:p>
                          <w:p w14:paraId="2E23C879" w14:textId="77777777" w:rsidR="00F25FCF" w:rsidRPr="003B5892" w:rsidRDefault="00F25FCF" w:rsidP="000F5770">
                            <w:pPr>
                              <w:spacing w:after="0" w:line="216" w:lineRule="auto"/>
                              <w:rPr>
                                <w:rFonts w:ascii="Times New Roman" w:hAnsi="Times New Roman"/>
                                <w:b/>
                                <w:i/>
                                <w:lang w:val="ru-RU"/>
                              </w:rPr>
                            </w:pPr>
                            <w:r w:rsidRPr="003B5892">
                              <w:rPr>
                                <w:rFonts w:ascii="Times New Roman" w:hAnsi="Times New Roman"/>
                                <w:i/>
                                <w:lang w:val="ru-RU"/>
                              </w:rPr>
                              <w:t>університети, академії, інститути; ад’юнктура та докторантура; наукові і науково-педагогічні працівники.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E22281" id="Прямоугольник 15" o:spid="_x0000_s1130" style="position:absolute;left:0;text-align:left;margin-left:216.9pt;margin-top:12.05pt;width:206.4pt;height:75.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" fillcolor="window" strokecolor="windowText" strokeweight="2pt">
                <v:textbox>
                  <w:txbxContent>
                    <w:p w14:paraId="2355D046" w14:textId="77777777" w:rsidR="00F25FCF" w:rsidRDefault="00F25FCF" w:rsidP="000F5770">
                      <w:pPr>
                        <w:spacing w:after="0" w:line="216" w:lineRule="auto"/>
                        <w:jc w:val="center"/>
                        <w:outlineLvl w:val="0"/>
                        <w:rPr>
                          <w:rFonts w:ascii="Times New Roman" w:hAnsi="Times New Roman"/>
                          <w:b/>
                        </w:rPr>
                      </w:pPr>
                      <w:r w:rsidRPr="00346C55">
                        <w:rPr>
                          <w:rFonts w:ascii="Times New Roman" w:hAnsi="Times New Roman"/>
                          <w:b/>
                        </w:rPr>
                        <w:t>Вищі військові навчальні заклади (військові навчальні підрозділи закладів вищої освіти)</w:t>
                      </w:r>
                      <w:r>
                        <w:rPr>
                          <w:rFonts w:ascii="Times New Roman" w:hAnsi="Times New Roman"/>
                          <w:b/>
                        </w:rPr>
                        <w:t>:</w:t>
                      </w:r>
                    </w:p>
                    <w:p w14:paraId="2E23C879" w14:textId="77777777" w:rsidR="00F25FCF" w:rsidRPr="003B5892" w:rsidRDefault="00F25FCF" w:rsidP="000F5770">
                      <w:pPr>
                        <w:spacing w:after="0" w:line="216" w:lineRule="auto"/>
                        <w:rPr>
                          <w:rFonts w:ascii="Times New Roman" w:hAnsi="Times New Roman"/>
                          <w:b/>
                          <w:i/>
                          <w:lang w:val="ru-RU"/>
                        </w:rPr>
                      </w:pPr>
                      <w:r w:rsidRPr="003B5892">
                        <w:rPr>
                          <w:rFonts w:ascii="Times New Roman" w:hAnsi="Times New Roman"/>
                          <w:i/>
                          <w:lang w:val="ru-RU"/>
                        </w:rPr>
                        <w:t>університети, академії, інститути; ад’юнктура та докторантура; наукові і науково-педагогічні працівники.</w:t>
                      </w:r>
                    </w:p>
                  </w:txbxContent>
                </v:textbox>
              </v:rect>
            </w:pict>
          </mc:Fallback>
        </mc:AlternateContent>
      </w:r>
    </w:p>
    <w:p w14:paraId="0235CC10"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64E23702"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55654695"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2951A077"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3B85C302"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50400" behindDoc="0" locked="0" layoutInCell="1" allowOverlap="1" wp14:anchorId="572E2BC3" wp14:editId="2151C516">
                <wp:simplePos x="0" y="0"/>
                <wp:positionH relativeFrom="column">
                  <wp:posOffset>3829594</wp:posOffset>
                </wp:positionH>
                <wp:positionV relativeFrom="paragraph">
                  <wp:posOffset>87540</wp:posOffset>
                </wp:positionV>
                <wp:extent cx="0" cy="217714"/>
                <wp:effectExtent l="114300" t="19050" r="76200" b="87630"/>
                <wp:wrapNone/>
                <wp:docPr id="1129269834" name="Прямая со стрелкой 29"/>
                <wp:cNvGraphicFramePr/>
                <a:graphic xmlns:a="http://schemas.openxmlformats.org/drawingml/2006/main">
                  <a:graphicData uri="http://schemas.microsoft.com/office/word/2010/wordprocessingShape">
                    <wps:wsp>
                      <wps:cNvCnPr/>
                      <wps:spPr>
                        <a:xfrm>
                          <a:off x="0" y="0"/>
                          <a:ext cx="0" cy="217714"/>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004F618" id="Прямая со стрелкой 29" o:spid="_x0000_s1026" type="#_x0000_t32" style="position:absolute;margin-left:301.55pt;margin-top:6.9pt;width:0;height:17.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" strokecolor="windowText" strokeweight="2pt">
                <v:stroke endarrow="open"/>
                <v:shadow on="t" color="black" opacity="24903f" origin=",.5" offset="0,.55556mm"/>
              </v:shape>
            </w:pict>
          </mc:Fallback>
        </mc:AlternateContent>
      </w: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49376" behindDoc="0" locked="0" layoutInCell="1" allowOverlap="1" wp14:anchorId="5902B063" wp14:editId="5735A62C">
                <wp:simplePos x="0" y="0"/>
                <wp:positionH relativeFrom="column">
                  <wp:posOffset>1695450</wp:posOffset>
                </wp:positionH>
                <wp:positionV relativeFrom="paragraph">
                  <wp:posOffset>86995</wp:posOffset>
                </wp:positionV>
                <wp:extent cx="0" cy="217170"/>
                <wp:effectExtent l="114300" t="19050" r="76200" b="87630"/>
                <wp:wrapNone/>
                <wp:docPr id="1976307041" name="Прямая со стрелкой 28"/>
                <wp:cNvGraphicFramePr/>
                <a:graphic xmlns:a="http://schemas.openxmlformats.org/drawingml/2006/main">
                  <a:graphicData uri="http://schemas.microsoft.com/office/word/2010/wordprocessingShape">
                    <wps:wsp>
                      <wps:cNvCnPr/>
                      <wps:spPr>
                        <a:xfrm>
                          <a:off x="0" y="0"/>
                          <a:ext cx="0" cy="21717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3AADCC8B" id="Прямая со стрелкой 28" o:spid="_x0000_s1026" type="#_x0000_t32" style="position:absolute;margin-left:133.5pt;margin-top:6.85pt;width:0;height:17.1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" strokecolor="windowText" strokeweight="2pt">
                <v:stroke endarrow="open"/>
                <v:shadow on="t" color="black" opacity="24903f" origin=",.5" offset="0,.55556mm"/>
              </v:shape>
            </w:pict>
          </mc:Fallback>
        </mc:AlternateContent>
      </w:r>
    </w:p>
    <w:p w14:paraId="1596EC09"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32992" behindDoc="0" locked="0" layoutInCell="1" allowOverlap="1" wp14:anchorId="4034C884" wp14:editId="43FD4453">
                <wp:simplePos x="0" y="0"/>
                <wp:positionH relativeFrom="column">
                  <wp:posOffset>996315</wp:posOffset>
                </wp:positionH>
                <wp:positionV relativeFrom="paragraph">
                  <wp:posOffset>73841</wp:posOffset>
                </wp:positionV>
                <wp:extent cx="3464560" cy="844550"/>
                <wp:effectExtent l="0" t="0" r="21590" b="12700"/>
                <wp:wrapNone/>
                <wp:docPr id="1118706137" name="Прямоугольник 14"/>
                <wp:cNvGraphicFramePr/>
                <a:graphic xmlns:a="http://schemas.openxmlformats.org/drawingml/2006/main">
                  <a:graphicData uri="http://schemas.microsoft.com/office/word/2010/wordprocessingShape">
                    <wps:wsp>
                      <wps:cNvSpPr/>
                      <wps:spPr>
                        <a:xfrm>
                          <a:off x="0" y="0"/>
                          <a:ext cx="3464560" cy="844550"/>
                        </a:xfrm>
                        <a:prstGeom prst="rect">
                          <a:avLst/>
                        </a:prstGeom>
                        <a:solidFill>
                          <a:sysClr val="window" lastClr="FFFFFF"/>
                        </a:solidFill>
                        <a:ln w="25400" cap="flat" cmpd="sng" algn="ctr">
                          <a:solidFill>
                            <a:sysClr val="windowText" lastClr="000000"/>
                          </a:solidFill>
                          <a:prstDash val="solid"/>
                        </a:ln>
                        <a:effectLst/>
                      </wps:spPr>
                      <wps:txbx>
                        <w:txbxContent>
                          <w:p w14:paraId="6C3211FC" w14:textId="77777777" w:rsidR="00F25FCF" w:rsidRPr="00A328CD" w:rsidRDefault="00F25FCF" w:rsidP="000F5770">
                            <w:pPr>
                              <w:spacing w:after="0" w:line="240" w:lineRule="auto"/>
                              <w:jc w:val="center"/>
                              <w:rPr>
                                <w:rFonts w:ascii="Times New Roman" w:hAnsi="Times New Roman"/>
                                <w:b/>
                              </w:rPr>
                            </w:pPr>
                            <w:r w:rsidRPr="00A328CD">
                              <w:rPr>
                                <w:rFonts w:ascii="Times New Roman" w:hAnsi="Times New Roman"/>
                                <w:b/>
                              </w:rPr>
                              <w:t>Наукові підрозділи військових частин</w:t>
                            </w:r>
                            <w:r>
                              <w:rPr>
                                <w:rFonts w:ascii="Times New Roman" w:hAnsi="Times New Roman"/>
                                <w:b/>
                              </w:rPr>
                              <w:t>:</w:t>
                            </w:r>
                          </w:p>
                          <w:p w14:paraId="57E8E49C" w14:textId="77777777" w:rsidR="00F25FCF" w:rsidRPr="00A328CD" w:rsidRDefault="00F25FCF" w:rsidP="000F5770">
                            <w:pPr>
                              <w:spacing w:after="0" w:line="240" w:lineRule="auto"/>
                              <w:rPr>
                                <w:rFonts w:ascii="Times New Roman" w:hAnsi="Times New Roman"/>
                                <w:i/>
                              </w:rPr>
                            </w:pPr>
                            <w:r w:rsidRPr="00A328CD">
                              <w:rPr>
                                <w:rFonts w:ascii="Times New Roman" w:hAnsi="Times New Roman"/>
                                <w:i/>
                              </w:rPr>
                              <w:t>дослідні групи</w:t>
                            </w:r>
                            <w:r>
                              <w:rPr>
                                <w:rFonts w:ascii="Times New Roman" w:hAnsi="Times New Roman"/>
                                <w:i/>
                              </w:rPr>
                              <w:t>;</w:t>
                            </w:r>
                            <w:r w:rsidRPr="00A328CD">
                              <w:rPr>
                                <w:rFonts w:ascii="Times New Roman" w:hAnsi="Times New Roman"/>
                                <w:i/>
                              </w:rPr>
                              <w:t xml:space="preserve"> </w:t>
                            </w:r>
                          </w:p>
                          <w:p w14:paraId="1C971C73" w14:textId="77777777" w:rsidR="00F25FCF" w:rsidRPr="00A328CD" w:rsidRDefault="00F25FCF" w:rsidP="000F5770">
                            <w:pPr>
                              <w:spacing w:after="0" w:line="240" w:lineRule="auto"/>
                              <w:rPr>
                                <w:rFonts w:ascii="Times New Roman" w:hAnsi="Times New Roman"/>
                                <w:i/>
                              </w:rPr>
                            </w:pPr>
                            <w:r w:rsidRPr="00A328CD">
                              <w:rPr>
                                <w:rFonts w:ascii="Times New Roman" w:hAnsi="Times New Roman"/>
                                <w:i/>
                              </w:rPr>
                              <w:t>експериментальні підрозділи</w:t>
                            </w:r>
                            <w:r>
                              <w:rPr>
                                <w:rFonts w:ascii="Times New Roman" w:hAnsi="Times New Roman"/>
                                <w:i/>
                              </w:rPr>
                              <w:t>;</w:t>
                            </w:r>
                            <w:r w:rsidRPr="00A328CD">
                              <w:rPr>
                                <w:rFonts w:ascii="Times New Roman" w:hAnsi="Times New Roman"/>
                                <w:i/>
                              </w:rPr>
                              <w:t xml:space="preserve"> </w:t>
                            </w:r>
                          </w:p>
                          <w:p w14:paraId="6C2B3134" w14:textId="77777777" w:rsidR="00F25FCF" w:rsidRDefault="00F25FCF" w:rsidP="000F5770">
                            <w:pPr>
                              <w:spacing w:after="0" w:line="240" w:lineRule="auto"/>
                            </w:pPr>
                            <w:r>
                              <w:rPr>
                                <w:rFonts w:ascii="Times New Roman" w:hAnsi="Times New Roman"/>
                                <w:i/>
                              </w:rPr>
                              <w:t>випробувальні структури.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4C884" id="Прямоугольник 14" o:spid="_x0000_s1131" style="position:absolute;left:0;text-align:left;margin-left:78.45pt;margin-top:5.8pt;width:272.8pt;height:66.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" fillcolor="window" strokecolor="windowText" strokeweight="2pt">
                <v:textbox>
                  <w:txbxContent>
                    <w:p w14:paraId="6C3211FC" w14:textId="77777777" w:rsidR="00F25FCF" w:rsidRPr="00A328CD" w:rsidRDefault="00F25FCF" w:rsidP="000F5770">
                      <w:pPr>
                        <w:spacing w:after="0" w:line="240" w:lineRule="auto"/>
                        <w:jc w:val="center"/>
                        <w:rPr>
                          <w:rFonts w:ascii="Times New Roman" w:hAnsi="Times New Roman"/>
                          <w:b/>
                        </w:rPr>
                      </w:pPr>
                      <w:r w:rsidRPr="00A328CD">
                        <w:rPr>
                          <w:rFonts w:ascii="Times New Roman" w:hAnsi="Times New Roman"/>
                          <w:b/>
                        </w:rPr>
                        <w:t>Наукові підрозділи військових частин</w:t>
                      </w:r>
                      <w:r>
                        <w:rPr>
                          <w:rFonts w:ascii="Times New Roman" w:hAnsi="Times New Roman"/>
                          <w:b/>
                        </w:rPr>
                        <w:t>:</w:t>
                      </w:r>
                    </w:p>
                    <w:p w14:paraId="57E8E49C" w14:textId="77777777" w:rsidR="00F25FCF" w:rsidRPr="00A328CD" w:rsidRDefault="00F25FCF" w:rsidP="000F5770">
                      <w:pPr>
                        <w:spacing w:after="0" w:line="240" w:lineRule="auto"/>
                        <w:rPr>
                          <w:rFonts w:ascii="Times New Roman" w:hAnsi="Times New Roman"/>
                          <w:i/>
                        </w:rPr>
                      </w:pPr>
                      <w:r w:rsidRPr="00A328CD">
                        <w:rPr>
                          <w:rFonts w:ascii="Times New Roman" w:hAnsi="Times New Roman"/>
                          <w:i/>
                        </w:rPr>
                        <w:t>дослідні групи</w:t>
                      </w:r>
                      <w:r>
                        <w:rPr>
                          <w:rFonts w:ascii="Times New Roman" w:hAnsi="Times New Roman"/>
                          <w:i/>
                        </w:rPr>
                        <w:t>;</w:t>
                      </w:r>
                      <w:r w:rsidRPr="00A328CD">
                        <w:rPr>
                          <w:rFonts w:ascii="Times New Roman" w:hAnsi="Times New Roman"/>
                          <w:i/>
                        </w:rPr>
                        <w:t xml:space="preserve"> </w:t>
                      </w:r>
                    </w:p>
                    <w:p w14:paraId="1C971C73" w14:textId="77777777" w:rsidR="00F25FCF" w:rsidRPr="00A328CD" w:rsidRDefault="00F25FCF" w:rsidP="000F5770">
                      <w:pPr>
                        <w:spacing w:after="0" w:line="240" w:lineRule="auto"/>
                        <w:rPr>
                          <w:rFonts w:ascii="Times New Roman" w:hAnsi="Times New Roman"/>
                          <w:i/>
                        </w:rPr>
                      </w:pPr>
                      <w:r w:rsidRPr="00A328CD">
                        <w:rPr>
                          <w:rFonts w:ascii="Times New Roman" w:hAnsi="Times New Roman"/>
                          <w:i/>
                        </w:rPr>
                        <w:t>експериментальні підрозділи</w:t>
                      </w:r>
                      <w:r>
                        <w:rPr>
                          <w:rFonts w:ascii="Times New Roman" w:hAnsi="Times New Roman"/>
                          <w:i/>
                        </w:rPr>
                        <w:t>;</w:t>
                      </w:r>
                      <w:r w:rsidRPr="00A328CD">
                        <w:rPr>
                          <w:rFonts w:ascii="Times New Roman" w:hAnsi="Times New Roman"/>
                          <w:i/>
                        </w:rPr>
                        <w:t xml:space="preserve"> </w:t>
                      </w:r>
                    </w:p>
                    <w:p w14:paraId="6C2B3134" w14:textId="77777777" w:rsidR="00F25FCF" w:rsidRDefault="00F25FCF" w:rsidP="000F5770">
                      <w:pPr>
                        <w:spacing w:after="0" w:line="240" w:lineRule="auto"/>
                      </w:pPr>
                      <w:r>
                        <w:rPr>
                          <w:rFonts w:ascii="Times New Roman" w:hAnsi="Times New Roman"/>
                          <w:i/>
                        </w:rPr>
                        <w:t>випробувальні структури.</w:t>
                      </w:r>
                    </w:p>
                  </w:txbxContent>
                </v:textbox>
              </v:rect>
            </w:pict>
          </mc:Fallback>
        </mc:AlternateContent>
      </w:r>
    </w:p>
    <w:p w14:paraId="59E9D39C"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Calibri" w:eastAsia="Times New Roman" w:hAnsi="Calibri" w:cs="Times New Roman"/>
          <w:noProof/>
          <w:kern w:val="0"/>
          <w:lang w:val="uk-UA" w:eastAsia="uk-UA"/>
          <w14:ligatures w14:val="none"/>
        </w:rPr>
        <mc:AlternateContent>
          <mc:Choice Requires="wps">
            <w:drawing>
              <wp:anchor distT="0" distB="0" distL="114300" distR="114300" simplePos="0" relativeHeight="251743232" behindDoc="0" locked="0" layoutInCell="0" allowOverlap="1" wp14:anchorId="6632EBDB" wp14:editId="4A8F2A3E">
                <wp:simplePos x="0" y="0"/>
                <wp:positionH relativeFrom="margin">
                  <wp:posOffset>5715000</wp:posOffset>
                </wp:positionH>
                <wp:positionV relativeFrom="margin">
                  <wp:posOffset>3285490</wp:posOffset>
                </wp:positionV>
                <wp:extent cx="870585" cy="1219200"/>
                <wp:effectExtent l="0" t="0" r="0" b="0"/>
                <wp:wrapSquare wrapText="bothSides"/>
                <wp:docPr id="1892950924"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0585" cy="121920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14:paraId="67E221F2" w14:textId="77777777" w:rsidR="00F25FCF" w:rsidRPr="003B5892" w:rsidRDefault="00F25FCF" w:rsidP="000F5770">
                            <w:pPr>
                              <w:pBdr>
                                <w:left w:val="single" w:sz="12" w:space="10" w:color="7BA0CD"/>
                              </w:pBdr>
                              <w:spacing w:after="0" w:line="240" w:lineRule="auto"/>
                              <w:ind w:right="-57"/>
                              <w:jc w:val="center"/>
                              <w:rPr>
                                <w:rFonts w:ascii="Times New Roman" w:hAnsi="Times New Roman"/>
                                <w:iCs/>
                                <w:sz w:val="20"/>
                                <w:szCs w:val="20"/>
                                <w:lang w:val="ru-RU"/>
                              </w:rPr>
                            </w:pPr>
                            <w:r w:rsidRPr="003B5892">
                              <w:rPr>
                                <w:rFonts w:ascii="Times New Roman" w:hAnsi="Times New Roman"/>
                                <w:bCs/>
                                <w:iCs/>
                                <w:sz w:val="20"/>
                                <w:szCs w:val="20"/>
                                <w:lang w:val="ru-RU"/>
                              </w:rPr>
                              <w:t>Виконавчий рівень</w:t>
                            </w:r>
                            <w:r w:rsidRPr="003B5892">
                              <w:rPr>
                                <w:rFonts w:ascii="Times New Roman" w:hAnsi="Times New Roman"/>
                                <w:iCs/>
                                <w:sz w:val="20"/>
                                <w:szCs w:val="20"/>
                                <w:lang w:val="ru-RU"/>
                              </w:rPr>
                              <w:t>:</w:t>
                            </w:r>
                          </w:p>
                          <w:p w14:paraId="693D3726" w14:textId="77777777" w:rsidR="00F25FCF" w:rsidRPr="003B5892" w:rsidRDefault="00F25FCF" w:rsidP="000F5770">
                            <w:pPr>
                              <w:pBdr>
                                <w:left w:val="single" w:sz="12" w:space="10" w:color="7BA0CD"/>
                              </w:pBdr>
                              <w:spacing w:after="0" w:line="240" w:lineRule="auto"/>
                              <w:ind w:right="-57"/>
                              <w:jc w:val="center"/>
                              <w:rPr>
                                <w:rFonts w:ascii="Times New Roman" w:hAnsi="Times New Roman"/>
                                <w:iCs/>
                                <w:sz w:val="20"/>
                                <w:szCs w:val="20"/>
                                <w:lang w:val="ru-RU"/>
                              </w:rPr>
                            </w:pPr>
                            <w:r w:rsidRPr="003B5892">
                              <w:rPr>
                                <w:rFonts w:ascii="Times New Roman" w:hAnsi="Times New Roman"/>
                                <w:iCs/>
                                <w:sz w:val="20"/>
                                <w:szCs w:val="20"/>
                                <w:lang w:val="ru-RU"/>
                              </w:rPr>
                              <w:t xml:space="preserve">суб’єкти </w:t>
                            </w:r>
                          </w:p>
                          <w:p w14:paraId="6C799EC5" w14:textId="77777777" w:rsidR="00F25FCF" w:rsidRPr="003B5892" w:rsidRDefault="00F25FCF" w:rsidP="000F5770">
                            <w:pPr>
                              <w:pBdr>
                                <w:left w:val="single" w:sz="12" w:space="10" w:color="7BA0CD"/>
                              </w:pBdr>
                              <w:spacing w:after="0" w:line="240" w:lineRule="auto"/>
                              <w:jc w:val="center"/>
                              <w:rPr>
                                <w:rFonts w:ascii="Times New Roman" w:hAnsi="Times New Roman"/>
                                <w:iCs/>
                                <w:sz w:val="20"/>
                                <w:szCs w:val="20"/>
                                <w:lang w:val="ru-RU"/>
                              </w:rPr>
                            </w:pPr>
                            <w:r w:rsidRPr="003B5892">
                              <w:rPr>
                                <w:rFonts w:ascii="Times New Roman" w:hAnsi="Times New Roman"/>
                                <w:iCs/>
                                <w:sz w:val="20"/>
                                <w:szCs w:val="20"/>
                                <w:lang w:val="ru-RU"/>
                              </w:rPr>
                              <w:t xml:space="preserve">єдиного </w:t>
                            </w:r>
                          </w:p>
                          <w:p w14:paraId="10CCCFF9" w14:textId="77777777" w:rsidR="00F25FCF" w:rsidRPr="003B5892" w:rsidRDefault="00F25FCF" w:rsidP="000F5770">
                            <w:pPr>
                              <w:pBdr>
                                <w:left w:val="single" w:sz="12" w:space="10" w:color="7BA0CD"/>
                              </w:pBdr>
                              <w:spacing w:after="0" w:line="240" w:lineRule="auto"/>
                              <w:jc w:val="center"/>
                              <w:rPr>
                                <w:rFonts w:ascii="Times New Roman" w:hAnsi="Times New Roman"/>
                                <w:iCs/>
                                <w:sz w:val="20"/>
                                <w:szCs w:val="20"/>
                                <w:lang w:val="ru-RU"/>
                              </w:rPr>
                            </w:pPr>
                            <w:r w:rsidRPr="003B5892">
                              <w:rPr>
                                <w:rFonts w:ascii="Times New Roman" w:hAnsi="Times New Roman"/>
                                <w:iCs/>
                                <w:sz w:val="20"/>
                                <w:szCs w:val="20"/>
                                <w:lang w:val="ru-RU"/>
                              </w:rPr>
                              <w:t>наукового</w:t>
                            </w:r>
                          </w:p>
                          <w:p w14:paraId="1C534638" w14:textId="77777777" w:rsidR="00F25FCF" w:rsidRPr="003B5892" w:rsidRDefault="00F25FCF" w:rsidP="000F5770">
                            <w:pPr>
                              <w:pBdr>
                                <w:left w:val="single" w:sz="12" w:space="10" w:color="7BA0CD"/>
                              </w:pBdr>
                              <w:spacing w:after="0" w:line="240" w:lineRule="auto"/>
                              <w:jc w:val="center"/>
                              <w:rPr>
                                <w:rFonts w:ascii="Times New Roman" w:hAnsi="Times New Roman"/>
                                <w:iCs/>
                                <w:sz w:val="20"/>
                                <w:szCs w:val="20"/>
                                <w:lang w:val="ru-RU"/>
                              </w:rPr>
                            </w:pPr>
                            <w:r w:rsidRPr="003B5892">
                              <w:rPr>
                                <w:rFonts w:ascii="Times New Roman" w:hAnsi="Times New Roman"/>
                                <w:iCs/>
                                <w:sz w:val="20"/>
                                <w:szCs w:val="20"/>
                                <w:lang w:val="ru-RU"/>
                              </w:rPr>
                              <w:t>простору</w:t>
                            </w: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632EBDB" id="_x0000_s1132" style="position:absolute;left:0;text-align:left;margin-left:450pt;margin-top:258.7pt;width:68.55pt;height:96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" o:allowincell="f" filled="f" fillcolor="#4f81bd" stroked="f">
                <v:shadow color="#2f4d71" offset="1pt,1pt"/>
                <v:textbox inset="0,0,18pt,0">
                  <w:txbxContent>
                    <w:p w14:paraId="67E221F2" w14:textId="77777777" w:rsidR="00F25FCF" w:rsidRPr="003B5892" w:rsidRDefault="00F25FCF" w:rsidP="000F5770">
                      <w:pPr>
                        <w:pBdr>
                          <w:left w:val="single" w:sz="12" w:space="10" w:color="7BA0CD"/>
                        </w:pBdr>
                        <w:spacing w:after="0" w:line="240" w:lineRule="auto"/>
                        <w:ind w:right="-57"/>
                        <w:jc w:val="center"/>
                        <w:rPr>
                          <w:rFonts w:ascii="Times New Roman" w:hAnsi="Times New Roman"/>
                          <w:iCs/>
                          <w:sz w:val="20"/>
                          <w:szCs w:val="20"/>
                          <w:lang w:val="ru-RU"/>
                        </w:rPr>
                      </w:pPr>
                      <w:r w:rsidRPr="003B5892">
                        <w:rPr>
                          <w:rFonts w:ascii="Times New Roman" w:hAnsi="Times New Roman"/>
                          <w:bCs/>
                          <w:iCs/>
                          <w:sz w:val="20"/>
                          <w:szCs w:val="20"/>
                          <w:lang w:val="ru-RU"/>
                        </w:rPr>
                        <w:t>Виконавчий рівень</w:t>
                      </w:r>
                      <w:r w:rsidRPr="003B5892">
                        <w:rPr>
                          <w:rFonts w:ascii="Times New Roman" w:hAnsi="Times New Roman"/>
                          <w:iCs/>
                          <w:sz w:val="20"/>
                          <w:szCs w:val="20"/>
                          <w:lang w:val="ru-RU"/>
                        </w:rPr>
                        <w:t>:</w:t>
                      </w:r>
                    </w:p>
                    <w:p w14:paraId="693D3726" w14:textId="77777777" w:rsidR="00F25FCF" w:rsidRPr="003B5892" w:rsidRDefault="00F25FCF" w:rsidP="000F5770">
                      <w:pPr>
                        <w:pBdr>
                          <w:left w:val="single" w:sz="12" w:space="10" w:color="7BA0CD"/>
                        </w:pBdr>
                        <w:spacing w:after="0" w:line="240" w:lineRule="auto"/>
                        <w:ind w:right="-57"/>
                        <w:jc w:val="center"/>
                        <w:rPr>
                          <w:rFonts w:ascii="Times New Roman" w:hAnsi="Times New Roman"/>
                          <w:iCs/>
                          <w:sz w:val="20"/>
                          <w:szCs w:val="20"/>
                          <w:lang w:val="ru-RU"/>
                        </w:rPr>
                      </w:pPr>
                      <w:r w:rsidRPr="003B5892">
                        <w:rPr>
                          <w:rFonts w:ascii="Times New Roman" w:hAnsi="Times New Roman"/>
                          <w:iCs/>
                          <w:sz w:val="20"/>
                          <w:szCs w:val="20"/>
                          <w:lang w:val="ru-RU"/>
                        </w:rPr>
                        <w:t xml:space="preserve">суб’єкти </w:t>
                      </w:r>
                    </w:p>
                    <w:p w14:paraId="6C799EC5" w14:textId="77777777" w:rsidR="00F25FCF" w:rsidRPr="003B5892" w:rsidRDefault="00F25FCF" w:rsidP="000F5770">
                      <w:pPr>
                        <w:pBdr>
                          <w:left w:val="single" w:sz="12" w:space="10" w:color="7BA0CD"/>
                        </w:pBdr>
                        <w:spacing w:after="0" w:line="240" w:lineRule="auto"/>
                        <w:jc w:val="center"/>
                        <w:rPr>
                          <w:rFonts w:ascii="Times New Roman" w:hAnsi="Times New Roman"/>
                          <w:iCs/>
                          <w:sz w:val="20"/>
                          <w:szCs w:val="20"/>
                          <w:lang w:val="ru-RU"/>
                        </w:rPr>
                      </w:pPr>
                      <w:r w:rsidRPr="003B5892">
                        <w:rPr>
                          <w:rFonts w:ascii="Times New Roman" w:hAnsi="Times New Roman"/>
                          <w:iCs/>
                          <w:sz w:val="20"/>
                          <w:szCs w:val="20"/>
                          <w:lang w:val="ru-RU"/>
                        </w:rPr>
                        <w:t xml:space="preserve">єдиного </w:t>
                      </w:r>
                    </w:p>
                    <w:p w14:paraId="10CCCFF9" w14:textId="77777777" w:rsidR="00F25FCF" w:rsidRPr="003B5892" w:rsidRDefault="00F25FCF" w:rsidP="000F5770">
                      <w:pPr>
                        <w:pBdr>
                          <w:left w:val="single" w:sz="12" w:space="10" w:color="7BA0CD"/>
                        </w:pBdr>
                        <w:spacing w:after="0" w:line="240" w:lineRule="auto"/>
                        <w:jc w:val="center"/>
                        <w:rPr>
                          <w:rFonts w:ascii="Times New Roman" w:hAnsi="Times New Roman"/>
                          <w:iCs/>
                          <w:sz w:val="20"/>
                          <w:szCs w:val="20"/>
                          <w:lang w:val="ru-RU"/>
                        </w:rPr>
                      </w:pPr>
                      <w:r w:rsidRPr="003B5892">
                        <w:rPr>
                          <w:rFonts w:ascii="Times New Roman" w:hAnsi="Times New Roman"/>
                          <w:iCs/>
                          <w:sz w:val="20"/>
                          <w:szCs w:val="20"/>
                          <w:lang w:val="ru-RU"/>
                        </w:rPr>
                        <w:t>наукового</w:t>
                      </w:r>
                    </w:p>
                    <w:p w14:paraId="1C534638" w14:textId="77777777" w:rsidR="00F25FCF" w:rsidRPr="003B5892" w:rsidRDefault="00F25FCF" w:rsidP="000F5770">
                      <w:pPr>
                        <w:pBdr>
                          <w:left w:val="single" w:sz="12" w:space="10" w:color="7BA0CD"/>
                        </w:pBdr>
                        <w:spacing w:after="0" w:line="240" w:lineRule="auto"/>
                        <w:jc w:val="center"/>
                        <w:rPr>
                          <w:rFonts w:ascii="Times New Roman" w:hAnsi="Times New Roman"/>
                          <w:iCs/>
                          <w:sz w:val="20"/>
                          <w:szCs w:val="20"/>
                          <w:lang w:val="ru-RU"/>
                        </w:rPr>
                      </w:pPr>
                      <w:r w:rsidRPr="003B5892">
                        <w:rPr>
                          <w:rFonts w:ascii="Times New Roman" w:hAnsi="Times New Roman"/>
                          <w:iCs/>
                          <w:sz w:val="20"/>
                          <w:szCs w:val="20"/>
                          <w:lang w:val="ru-RU"/>
                        </w:rPr>
                        <w:t>простору</w:t>
                      </w:r>
                    </w:p>
                  </w:txbxContent>
                </v:textbox>
                <w10:wrap type="square" anchorx="margin" anchory="margin"/>
              </v:rect>
            </w:pict>
          </mc:Fallback>
        </mc:AlternateContent>
      </w:r>
    </w:p>
    <w:p w14:paraId="7A67E64E"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7EFB27FB"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0439CCE3"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51424" behindDoc="0" locked="0" layoutInCell="1" allowOverlap="1" wp14:anchorId="715465C3" wp14:editId="4DD0D07E">
                <wp:simplePos x="0" y="0"/>
                <wp:positionH relativeFrom="column">
                  <wp:posOffset>2697480</wp:posOffset>
                </wp:positionH>
                <wp:positionV relativeFrom="paragraph">
                  <wp:posOffset>75565</wp:posOffset>
                </wp:positionV>
                <wp:extent cx="0" cy="217170"/>
                <wp:effectExtent l="114300" t="19050" r="76200" b="87630"/>
                <wp:wrapNone/>
                <wp:docPr id="1936729286" name="Прямая со стрелкой 30"/>
                <wp:cNvGraphicFramePr/>
                <a:graphic xmlns:a="http://schemas.openxmlformats.org/drawingml/2006/main">
                  <a:graphicData uri="http://schemas.microsoft.com/office/word/2010/wordprocessingShape">
                    <wps:wsp>
                      <wps:cNvCnPr/>
                      <wps:spPr>
                        <a:xfrm>
                          <a:off x="0" y="0"/>
                          <a:ext cx="0" cy="21717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152F0D69" id="Прямая со стрелкой 30" o:spid="_x0000_s1026" type="#_x0000_t32" style="position:absolute;margin-left:212.4pt;margin-top:5.95pt;width:0;height:17.1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" strokecolor="windowText" strokeweight="2pt">
                <v:stroke endarrow="open"/>
                <v:shadow on="t" color="black" opacity="24903f" origin=",.5" offset="0,.55556mm"/>
              </v:shape>
            </w:pict>
          </mc:Fallback>
        </mc:AlternateContent>
      </w:r>
    </w:p>
    <w:p w14:paraId="3875C7F4"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31968" behindDoc="0" locked="0" layoutInCell="1" allowOverlap="1" wp14:anchorId="5EDB45EB" wp14:editId="1D16218A">
                <wp:simplePos x="0" y="0"/>
                <wp:positionH relativeFrom="column">
                  <wp:posOffset>985339</wp:posOffset>
                </wp:positionH>
                <wp:positionV relativeFrom="paragraph">
                  <wp:posOffset>62865</wp:posOffset>
                </wp:positionV>
                <wp:extent cx="3465195" cy="914400"/>
                <wp:effectExtent l="0" t="0" r="20955" b="19050"/>
                <wp:wrapNone/>
                <wp:docPr id="1968805963" name="Прямоугольник 13"/>
                <wp:cNvGraphicFramePr/>
                <a:graphic xmlns:a="http://schemas.openxmlformats.org/drawingml/2006/main">
                  <a:graphicData uri="http://schemas.microsoft.com/office/word/2010/wordprocessingShape">
                    <wps:wsp>
                      <wps:cNvSpPr/>
                      <wps:spPr>
                        <a:xfrm>
                          <a:off x="0" y="0"/>
                          <a:ext cx="3465195" cy="914400"/>
                        </a:xfrm>
                        <a:prstGeom prst="rect">
                          <a:avLst/>
                        </a:prstGeom>
                        <a:solidFill>
                          <a:sysClr val="window" lastClr="FFFFFF"/>
                        </a:solidFill>
                        <a:ln w="25400" cap="flat" cmpd="sng" algn="ctr">
                          <a:solidFill>
                            <a:sysClr val="windowText" lastClr="000000"/>
                          </a:solidFill>
                          <a:prstDash val="solid"/>
                        </a:ln>
                        <a:effectLst/>
                      </wps:spPr>
                      <wps:txbx>
                        <w:txbxContent>
                          <w:p w14:paraId="0A26833A" w14:textId="77777777" w:rsidR="00F25FCF" w:rsidRPr="003B5892" w:rsidRDefault="00F25FCF" w:rsidP="000F5770">
                            <w:pPr>
                              <w:spacing w:after="0" w:line="216" w:lineRule="auto"/>
                              <w:jc w:val="center"/>
                              <w:rPr>
                                <w:rFonts w:ascii="Times New Roman" w:hAnsi="Times New Roman"/>
                                <w:b/>
                                <w:lang w:val="ru-RU"/>
                              </w:rPr>
                            </w:pPr>
                            <w:r w:rsidRPr="003B5892">
                              <w:rPr>
                                <w:rFonts w:ascii="Times New Roman" w:hAnsi="Times New Roman"/>
                                <w:b/>
                                <w:lang w:val="ru-RU"/>
                              </w:rPr>
                              <w:t>Інші суб’єкти:</w:t>
                            </w:r>
                          </w:p>
                          <w:p w14:paraId="0284EFA3" w14:textId="77777777" w:rsidR="00F25FCF" w:rsidRPr="003B5892" w:rsidRDefault="00F25FCF" w:rsidP="000F5770">
                            <w:pPr>
                              <w:spacing w:after="0" w:line="240" w:lineRule="auto"/>
                              <w:rPr>
                                <w:rFonts w:ascii="Times New Roman" w:hAnsi="Times New Roman"/>
                                <w:i/>
                                <w:lang w:val="ru-RU"/>
                              </w:rPr>
                            </w:pPr>
                            <w:r w:rsidRPr="003B5892">
                              <w:rPr>
                                <w:rFonts w:ascii="Times New Roman" w:hAnsi="Times New Roman"/>
                                <w:i/>
                                <w:lang w:val="ru-RU"/>
                              </w:rPr>
                              <w:t xml:space="preserve">підприємства оборонно-промислового комплексу; </w:t>
                            </w:r>
                          </w:p>
                          <w:p w14:paraId="40E9F018" w14:textId="77777777" w:rsidR="00F25FCF" w:rsidRPr="003B5892" w:rsidRDefault="00F25FCF" w:rsidP="000F5770">
                            <w:pPr>
                              <w:spacing w:after="0" w:line="240" w:lineRule="auto"/>
                              <w:rPr>
                                <w:rFonts w:ascii="Times New Roman" w:hAnsi="Times New Roman"/>
                                <w:i/>
                                <w:lang w:val="ru-RU"/>
                              </w:rPr>
                            </w:pPr>
                            <w:r w:rsidRPr="003B5892">
                              <w:rPr>
                                <w:rFonts w:ascii="Times New Roman" w:hAnsi="Times New Roman"/>
                                <w:i/>
                                <w:lang w:val="ru-RU"/>
                              </w:rPr>
                              <w:t>установи НАН України (за взаємодією);</w:t>
                            </w:r>
                          </w:p>
                          <w:p w14:paraId="69ACA52E" w14:textId="77777777" w:rsidR="00F25FCF" w:rsidRPr="003B5892" w:rsidRDefault="00F25FCF" w:rsidP="000F5770">
                            <w:pPr>
                              <w:spacing w:after="0" w:line="240" w:lineRule="auto"/>
                              <w:rPr>
                                <w:rFonts w:ascii="Times New Roman" w:hAnsi="Times New Roman"/>
                                <w:lang w:val="ru-RU"/>
                              </w:rPr>
                            </w:pPr>
                            <w:r w:rsidRPr="003B5892">
                              <w:rPr>
                                <w:rFonts w:ascii="Times New Roman" w:hAnsi="Times New Roman"/>
                                <w:i/>
                                <w:lang w:val="ru-RU"/>
                              </w:rPr>
                              <w:t>цивільні наукові організації (за договорами</w:t>
                            </w:r>
                            <w:r w:rsidRPr="003B5892">
                              <w:rPr>
                                <w:rFonts w:ascii="Times New Roman" w:hAnsi="Times New Roman"/>
                                <w:lang w:val="ru-RU"/>
                              </w:rPr>
                              <w:t xml:space="preserve">), </w:t>
                            </w:r>
                          </w:p>
                          <w:p w14:paraId="1F49CC1A" w14:textId="77777777" w:rsidR="00F25FCF" w:rsidRPr="003B5892" w:rsidRDefault="00F25FCF" w:rsidP="000F5770">
                            <w:pPr>
                              <w:jc w:val="center"/>
                              <w:rPr>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EDB45EB" id="Прямоугольник 13" o:spid="_x0000_s1133" style="position:absolute;left:0;text-align:left;margin-left:77.6pt;margin-top:4.95pt;width:272.85pt;height:1in;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" fillcolor="window" strokecolor="windowText" strokeweight="2pt">
                <v:textbox>
                  <w:txbxContent>
                    <w:p w14:paraId="0A26833A" w14:textId="77777777" w:rsidR="00F25FCF" w:rsidRPr="003B5892" w:rsidRDefault="00F25FCF" w:rsidP="000F5770">
                      <w:pPr>
                        <w:spacing w:after="0" w:line="216" w:lineRule="auto"/>
                        <w:jc w:val="center"/>
                        <w:rPr>
                          <w:rFonts w:ascii="Times New Roman" w:hAnsi="Times New Roman"/>
                          <w:b/>
                          <w:lang w:val="ru-RU"/>
                        </w:rPr>
                      </w:pPr>
                      <w:r w:rsidRPr="003B5892">
                        <w:rPr>
                          <w:rFonts w:ascii="Times New Roman" w:hAnsi="Times New Roman"/>
                          <w:b/>
                          <w:lang w:val="ru-RU"/>
                        </w:rPr>
                        <w:t>Інші суб’єкти:</w:t>
                      </w:r>
                    </w:p>
                    <w:p w14:paraId="0284EFA3" w14:textId="77777777" w:rsidR="00F25FCF" w:rsidRPr="003B5892" w:rsidRDefault="00F25FCF" w:rsidP="000F5770">
                      <w:pPr>
                        <w:spacing w:after="0" w:line="240" w:lineRule="auto"/>
                        <w:rPr>
                          <w:rFonts w:ascii="Times New Roman" w:hAnsi="Times New Roman"/>
                          <w:i/>
                          <w:lang w:val="ru-RU"/>
                        </w:rPr>
                      </w:pPr>
                      <w:r w:rsidRPr="003B5892">
                        <w:rPr>
                          <w:rFonts w:ascii="Times New Roman" w:hAnsi="Times New Roman"/>
                          <w:i/>
                          <w:lang w:val="ru-RU"/>
                        </w:rPr>
                        <w:t xml:space="preserve">підприємства оборонно-промислового комплексу; </w:t>
                      </w:r>
                    </w:p>
                    <w:p w14:paraId="40E9F018" w14:textId="77777777" w:rsidR="00F25FCF" w:rsidRPr="003B5892" w:rsidRDefault="00F25FCF" w:rsidP="000F5770">
                      <w:pPr>
                        <w:spacing w:after="0" w:line="240" w:lineRule="auto"/>
                        <w:rPr>
                          <w:rFonts w:ascii="Times New Roman" w:hAnsi="Times New Roman"/>
                          <w:i/>
                          <w:lang w:val="ru-RU"/>
                        </w:rPr>
                      </w:pPr>
                      <w:r w:rsidRPr="003B5892">
                        <w:rPr>
                          <w:rFonts w:ascii="Times New Roman" w:hAnsi="Times New Roman"/>
                          <w:i/>
                          <w:lang w:val="ru-RU"/>
                        </w:rPr>
                        <w:t>установи НАН України (за взаємодією);</w:t>
                      </w:r>
                    </w:p>
                    <w:p w14:paraId="69ACA52E" w14:textId="77777777" w:rsidR="00F25FCF" w:rsidRPr="003B5892" w:rsidRDefault="00F25FCF" w:rsidP="000F5770">
                      <w:pPr>
                        <w:spacing w:after="0" w:line="240" w:lineRule="auto"/>
                        <w:rPr>
                          <w:rFonts w:ascii="Times New Roman" w:hAnsi="Times New Roman"/>
                          <w:lang w:val="ru-RU"/>
                        </w:rPr>
                      </w:pPr>
                      <w:r w:rsidRPr="003B5892">
                        <w:rPr>
                          <w:rFonts w:ascii="Times New Roman" w:hAnsi="Times New Roman"/>
                          <w:i/>
                          <w:lang w:val="ru-RU"/>
                        </w:rPr>
                        <w:t>цивільні наукові організації (за договорами</w:t>
                      </w:r>
                      <w:r w:rsidRPr="003B5892">
                        <w:rPr>
                          <w:rFonts w:ascii="Times New Roman" w:hAnsi="Times New Roman"/>
                          <w:lang w:val="ru-RU"/>
                        </w:rPr>
                        <w:t xml:space="preserve">), </w:t>
                      </w:r>
                    </w:p>
                    <w:p w14:paraId="1F49CC1A" w14:textId="77777777" w:rsidR="00F25FCF" w:rsidRPr="003B5892" w:rsidRDefault="00F25FCF" w:rsidP="000F5770">
                      <w:pPr>
                        <w:jc w:val="center"/>
                        <w:rPr>
                          <w:lang w:val="ru-RU"/>
                        </w:rPr>
                      </w:pPr>
                    </w:p>
                  </w:txbxContent>
                </v:textbox>
              </v:rect>
            </w:pict>
          </mc:Fallback>
        </mc:AlternateContent>
      </w:r>
    </w:p>
    <w:p w14:paraId="1984AAEB"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119DB398"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69FF86DD"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0AE5B26A"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28FA5617"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39136" behindDoc="0" locked="0" layoutInCell="1" allowOverlap="1" wp14:anchorId="75116473" wp14:editId="37478E42">
                <wp:simplePos x="0" y="0"/>
                <wp:positionH relativeFrom="column">
                  <wp:posOffset>5510076</wp:posOffset>
                </wp:positionH>
                <wp:positionV relativeFrom="paragraph">
                  <wp:posOffset>168910</wp:posOffset>
                </wp:positionV>
                <wp:extent cx="145778" cy="1043940"/>
                <wp:effectExtent l="38100" t="38100" r="26035" b="99060"/>
                <wp:wrapNone/>
                <wp:docPr id="869429574" name="Правая фигурная скобка 20"/>
                <wp:cNvGraphicFramePr/>
                <a:graphic xmlns:a="http://schemas.openxmlformats.org/drawingml/2006/main">
                  <a:graphicData uri="http://schemas.microsoft.com/office/word/2010/wordprocessingShape">
                    <wps:wsp>
                      <wps:cNvSpPr/>
                      <wps:spPr>
                        <a:xfrm>
                          <a:off x="0" y="0"/>
                          <a:ext cx="145778" cy="1043940"/>
                        </a:xfrm>
                        <a:prstGeom prst="rightBrace">
                          <a:avLst>
                            <a:gd name="adj1" fmla="val 55402"/>
                            <a:gd name="adj2" fmla="val 45624"/>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F5BB0" id="Правая фигурная скобка 20" o:spid="_x0000_s1026" type="#_x0000_t88" style="position:absolute;margin-left:433.85pt;margin-top:13.3pt;width:11.5pt;height:82.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" adj="1671,9855" strokecolor="windowText" strokeweight="2pt">
                <v:shadow on="t" color="black" opacity="24903f" origin=",.5" offset="0,.55556mm"/>
              </v:shape>
            </w:pict>
          </mc:Fallback>
        </mc:AlternateContent>
      </w: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27872" behindDoc="0" locked="0" layoutInCell="1" allowOverlap="1" wp14:anchorId="4F2944D4" wp14:editId="7D426476">
                <wp:simplePos x="0" y="0"/>
                <wp:positionH relativeFrom="column">
                  <wp:posOffset>4304665</wp:posOffset>
                </wp:positionH>
                <wp:positionV relativeFrom="paragraph">
                  <wp:posOffset>167821</wp:posOffset>
                </wp:positionV>
                <wp:extent cx="1131570" cy="1043940"/>
                <wp:effectExtent l="0" t="0" r="11430" b="22860"/>
                <wp:wrapNone/>
                <wp:docPr id="1326459059" name="Прямоугольник 9"/>
                <wp:cNvGraphicFramePr/>
                <a:graphic xmlns:a="http://schemas.openxmlformats.org/drawingml/2006/main">
                  <a:graphicData uri="http://schemas.microsoft.com/office/word/2010/wordprocessingShape">
                    <wps:wsp>
                      <wps:cNvSpPr/>
                      <wps:spPr>
                        <a:xfrm>
                          <a:off x="0" y="0"/>
                          <a:ext cx="1131570" cy="1043940"/>
                        </a:xfrm>
                        <a:prstGeom prst="rect">
                          <a:avLst/>
                        </a:prstGeom>
                        <a:solidFill>
                          <a:sysClr val="window" lastClr="FFFFFF"/>
                        </a:solidFill>
                        <a:ln w="25400" cap="flat" cmpd="sng" algn="ctr">
                          <a:solidFill>
                            <a:sysClr val="windowText" lastClr="000000"/>
                          </a:solidFill>
                          <a:prstDash val="solid"/>
                        </a:ln>
                        <a:effectLst/>
                      </wps:spPr>
                      <wps:txbx>
                        <w:txbxContent>
                          <w:p w14:paraId="274913ED" w14:textId="77777777" w:rsidR="00F25FCF" w:rsidRPr="003B5892" w:rsidRDefault="00F25FCF" w:rsidP="000F5770">
                            <w:pPr>
                              <w:spacing w:after="0" w:line="216" w:lineRule="auto"/>
                              <w:ind w:left="-57" w:right="-57"/>
                              <w:jc w:val="center"/>
                              <w:rPr>
                                <w:rFonts w:ascii="Times New Roman" w:hAnsi="Times New Roman"/>
                                <w:b/>
                                <w:sz w:val="16"/>
                                <w:szCs w:val="16"/>
                                <w:lang w:val="ru-RU"/>
                              </w:rPr>
                            </w:pPr>
                            <w:r w:rsidRPr="003B5892">
                              <w:rPr>
                                <w:rFonts w:ascii="Times New Roman" w:hAnsi="Times New Roman"/>
                                <w:b/>
                                <w:sz w:val="16"/>
                                <w:szCs w:val="16"/>
                                <w:lang w:val="ru-RU"/>
                              </w:rPr>
                              <w:t>Інформаційне забезпечення:</w:t>
                            </w:r>
                          </w:p>
                          <w:p w14:paraId="398E2EC2"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наукові бази даних;</w:t>
                            </w:r>
                          </w:p>
                          <w:p w14:paraId="1EA4A324"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 xml:space="preserve">інформаційно-аналітичні системи; </w:t>
                            </w:r>
                          </w:p>
                          <w:p w14:paraId="2D136DAD"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обмін науковою інформацією.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2944D4" id="Прямоугольник 9" o:spid="_x0000_s1134" style="position:absolute;left:0;text-align:left;margin-left:338.95pt;margin-top:13.2pt;width:89.1pt;height:82.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" fillcolor="window" strokecolor="windowText" strokeweight="2pt">
                <v:textbox>
                  <w:txbxContent>
                    <w:p w14:paraId="274913ED" w14:textId="77777777" w:rsidR="00F25FCF" w:rsidRPr="003B5892" w:rsidRDefault="00F25FCF" w:rsidP="000F5770">
                      <w:pPr>
                        <w:spacing w:after="0" w:line="216" w:lineRule="auto"/>
                        <w:ind w:left="-57" w:right="-57"/>
                        <w:jc w:val="center"/>
                        <w:rPr>
                          <w:rFonts w:ascii="Times New Roman" w:hAnsi="Times New Roman"/>
                          <w:b/>
                          <w:sz w:val="16"/>
                          <w:szCs w:val="16"/>
                          <w:lang w:val="ru-RU"/>
                        </w:rPr>
                      </w:pPr>
                      <w:r w:rsidRPr="003B5892">
                        <w:rPr>
                          <w:rFonts w:ascii="Times New Roman" w:hAnsi="Times New Roman"/>
                          <w:b/>
                          <w:sz w:val="16"/>
                          <w:szCs w:val="16"/>
                          <w:lang w:val="ru-RU"/>
                        </w:rPr>
                        <w:t>Інформаційне забезпечення:</w:t>
                      </w:r>
                    </w:p>
                    <w:p w14:paraId="398E2EC2"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наукові бази даних;</w:t>
                      </w:r>
                    </w:p>
                    <w:p w14:paraId="1EA4A324"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 xml:space="preserve">інформаційно-аналітичні системи; </w:t>
                      </w:r>
                    </w:p>
                    <w:p w14:paraId="2D136DAD"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обмін науковою інформацією.</w:t>
                      </w:r>
                    </w:p>
                  </w:txbxContent>
                </v:textbox>
              </v:rect>
            </w:pict>
          </mc:Fallback>
        </mc:AlternateContent>
      </w: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28896" behindDoc="0" locked="0" layoutInCell="1" allowOverlap="1" wp14:anchorId="7714EED6" wp14:editId="791B7E33">
                <wp:simplePos x="0" y="0"/>
                <wp:positionH relativeFrom="column">
                  <wp:posOffset>3085465</wp:posOffset>
                </wp:positionH>
                <wp:positionV relativeFrom="paragraph">
                  <wp:posOffset>176711</wp:posOffset>
                </wp:positionV>
                <wp:extent cx="1158240" cy="1035685"/>
                <wp:effectExtent l="0" t="0" r="22860" b="12065"/>
                <wp:wrapNone/>
                <wp:docPr id="2064366613" name="Прямоугольник 10"/>
                <wp:cNvGraphicFramePr/>
                <a:graphic xmlns:a="http://schemas.openxmlformats.org/drawingml/2006/main">
                  <a:graphicData uri="http://schemas.microsoft.com/office/word/2010/wordprocessingShape">
                    <wps:wsp>
                      <wps:cNvSpPr/>
                      <wps:spPr>
                        <a:xfrm>
                          <a:off x="0" y="0"/>
                          <a:ext cx="1158240" cy="1035685"/>
                        </a:xfrm>
                        <a:prstGeom prst="rect">
                          <a:avLst/>
                        </a:prstGeom>
                        <a:solidFill>
                          <a:sysClr val="window" lastClr="FFFFFF"/>
                        </a:solidFill>
                        <a:ln w="25400" cap="flat" cmpd="sng" algn="ctr">
                          <a:solidFill>
                            <a:sysClr val="windowText" lastClr="000000"/>
                          </a:solidFill>
                          <a:prstDash val="solid"/>
                        </a:ln>
                        <a:effectLst/>
                      </wps:spPr>
                      <wps:txbx>
                        <w:txbxContent>
                          <w:p w14:paraId="473E216A" w14:textId="77777777" w:rsidR="00F25FCF" w:rsidRPr="003B5892" w:rsidRDefault="00F25FCF" w:rsidP="000F5770">
                            <w:pPr>
                              <w:spacing w:after="0" w:line="216" w:lineRule="auto"/>
                              <w:ind w:left="-57" w:right="-57"/>
                              <w:jc w:val="center"/>
                              <w:rPr>
                                <w:rFonts w:ascii="Times New Roman" w:hAnsi="Times New Roman"/>
                                <w:b/>
                                <w:sz w:val="16"/>
                                <w:szCs w:val="16"/>
                                <w:lang w:val="ru-RU"/>
                              </w:rPr>
                            </w:pPr>
                            <w:r w:rsidRPr="003B5892">
                              <w:rPr>
                                <w:rFonts w:ascii="Times New Roman" w:hAnsi="Times New Roman"/>
                                <w:b/>
                                <w:sz w:val="16"/>
                                <w:szCs w:val="16"/>
                                <w:lang w:val="ru-RU"/>
                              </w:rPr>
                              <w:t>Інноваційна діяльність:</w:t>
                            </w:r>
                          </w:p>
                          <w:p w14:paraId="3594AAE3"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впровадження результатів досліджень;</w:t>
                            </w:r>
                          </w:p>
                          <w:p w14:paraId="236C95F7"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створення нових технологій;</w:t>
                            </w:r>
                          </w:p>
                          <w:p w14:paraId="17C1F3DC"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трансфер технологій.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4EED6" id="Прямоугольник 10" o:spid="_x0000_s1135" style="position:absolute;left:0;text-align:left;margin-left:242.95pt;margin-top:13.9pt;width:91.2pt;height:81.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" fillcolor="window" strokecolor="windowText" strokeweight="2pt">
                <v:textbox>
                  <w:txbxContent>
                    <w:p w14:paraId="473E216A" w14:textId="77777777" w:rsidR="00F25FCF" w:rsidRPr="003B5892" w:rsidRDefault="00F25FCF" w:rsidP="000F5770">
                      <w:pPr>
                        <w:spacing w:after="0" w:line="216" w:lineRule="auto"/>
                        <w:ind w:left="-57" w:right="-57"/>
                        <w:jc w:val="center"/>
                        <w:rPr>
                          <w:rFonts w:ascii="Times New Roman" w:hAnsi="Times New Roman"/>
                          <w:b/>
                          <w:sz w:val="16"/>
                          <w:szCs w:val="16"/>
                          <w:lang w:val="ru-RU"/>
                        </w:rPr>
                      </w:pPr>
                      <w:r w:rsidRPr="003B5892">
                        <w:rPr>
                          <w:rFonts w:ascii="Times New Roman" w:hAnsi="Times New Roman"/>
                          <w:b/>
                          <w:sz w:val="16"/>
                          <w:szCs w:val="16"/>
                          <w:lang w:val="ru-RU"/>
                        </w:rPr>
                        <w:t>Інноваційна діяльність:</w:t>
                      </w:r>
                    </w:p>
                    <w:p w14:paraId="3594AAE3"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впровадження результатів досліджень;</w:t>
                      </w:r>
                    </w:p>
                    <w:p w14:paraId="236C95F7"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створення нових технологій;</w:t>
                      </w:r>
                    </w:p>
                    <w:p w14:paraId="17C1F3DC"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трансфер технологій.</w:t>
                      </w:r>
                    </w:p>
                  </w:txbxContent>
                </v:textbox>
              </v:rect>
            </w:pict>
          </mc:Fallback>
        </mc:AlternateContent>
      </w: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30944" behindDoc="0" locked="0" layoutInCell="1" allowOverlap="1" wp14:anchorId="2EC57179" wp14:editId="679F0E0A">
                <wp:simplePos x="0" y="0"/>
                <wp:positionH relativeFrom="column">
                  <wp:posOffset>1848485</wp:posOffset>
                </wp:positionH>
                <wp:positionV relativeFrom="paragraph">
                  <wp:posOffset>185601</wp:posOffset>
                </wp:positionV>
                <wp:extent cx="1175385" cy="1035685"/>
                <wp:effectExtent l="0" t="0" r="24765" b="12065"/>
                <wp:wrapNone/>
                <wp:docPr id="798726796" name="Прямоугольник 12"/>
                <wp:cNvGraphicFramePr/>
                <a:graphic xmlns:a="http://schemas.openxmlformats.org/drawingml/2006/main">
                  <a:graphicData uri="http://schemas.microsoft.com/office/word/2010/wordprocessingShape">
                    <wps:wsp>
                      <wps:cNvSpPr/>
                      <wps:spPr>
                        <a:xfrm>
                          <a:off x="0" y="0"/>
                          <a:ext cx="1175385" cy="1035685"/>
                        </a:xfrm>
                        <a:prstGeom prst="rect">
                          <a:avLst/>
                        </a:prstGeom>
                        <a:solidFill>
                          <a:sysClr val="window" lastClr="FFFFFF"/>
                        </a:solidFill>
                        <a:ln w="25400" cap="flat" cmpd="sng" algn="ctr">
                          <a:solidFill>
                            <a:sysClr val="windowText" lastClr="000000"/>
                          </a:solidFill>
                          <a:prstDash val="solid"/>
                        </a:ln>
                        <a:effectLst/>
                      </wps:spPr>
                      <wps:txbx>
                        <w:txbxContent>
                          <w:p w14:paraId="65B01124" w14:textId="77777777" w:rsidR="00F25FCF" w:rsidRPr="003B5892" w:rsidRDefault="00F25FCF" w:rsidP="000F5770">
                            <w:pPr>
                              <w:spacing w:after="0" w:line="216" w:lineRule="auto"/>
                              <w:ind w:left="-57" w:right="-57"/>
                              <w:jc w:val="center"/>
                              <w:rPr>
                                <w:rFonts w:ascii="Times New Roman" w:hAnsi="Times New Roman"/>
                                <w:b/>
                                <w:sz w:val="16"/>
                                <w:szCs w:val="16"/>
                                <w:lang w:val="ru-RU"/>
                              </w:rPr>
                            </w:pPr>
                            <w:r w:rsidRPr="003B5892">
                              <w:rPr>
                                <w:rFonts w:ascii="Times New Roman" w:hAnsi="Times New Roman"/>
                                <w:b/>
                                <w:sz w:val="16"/>
                                <w:szCs w:val="16"/>
                                <w:lang w:val="ru-RU"/>
                              </w:rPr>
                              <w:t>Підготовка наукових кадрі</w:t>
                            </w:r>
                            <w:r w:rsidRPr="003B5892">
                              <w:rPr>
                                <w:rFonts w:ascii="Times New Roman" w:hAnsi="Times New Roman"/>
                                <w:sz w:val="16"/>
                                <w:szCs w:val="16"/>
                                <w:lang w:val="ru-RU"/>
                              </w:rPr>
                              <w:t>в</w:t>
                            </w:r>
                          </w:p>
                          <w:p w14:paraId="2E8E7775"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 xml:space="preserve">ад’юнктура та </w:t>
                            </w:r>
                          </w:p>
                          <w:p w14:paraId="2A899421"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 xml:space="preserve">докторантура; </w:t>
                            </w:r>
                          </w:p>
                          <w:p w14:paraId="7B047A8B"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підвищення кваліфікації та</w:t>
                            </w:r>
                          </w:p>
                          <w:p w14:paraId="75DE2E6A" w14:textId="77777777" w:rsidR="00F25FCF" w:rsidRPr="003B5892" w:rsidRDefault="00F25FCF" w:rsidP="000F5770">
                            <w:pPr>
                              <w:spacing w:after="0" w:line="216" w:lineRule="auto"/>
                              <w:ind w:left="-57" w:right="-57"/>
                              <w:jc w:val="both"/>
                              <w:rPr>
                                <w:lang w:val="ru-RU"/>
                              </w:rPr>
                            </w:pPr>
                            <w:r w:rsidRPr="003B5892">
                              <w:rPr>
                                <w:rFonts w:ascii="Times New Roman" w:hAnsi="Times New Roman"/>
                                <w:i/>
                                <w:sz w:val="16"/>
                                <w:szCs w:val="16"/>
                                <w:lang w:val="ru-RU"/>
                              </w:rPr>
                              <w:t xml:space="preserve">атестація наукових кадрів.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57179" id="Прямоугольник 12" o:spid="_x0000_s1136" style="position:absolute;left:0;text-align:left;margin-left:145.55pt;margin-top:14.6pt;width:92.55pt;height:81.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" fillcolor="window" strokecolor="windowText" strokeweight="2pt">
                <v:textbox>
                  <w:txbxContent>
                    <w:p w14:paraId="65B01124" w14:textId="77777777" w:rsidR="00F25FCF" w:rsidRPr="003B5892" w:rsidRDefault="00F25FCF" w:rsidP="000F5770">
                      <w:pPr>
                        <w:spacing w:after="0" w:line="216" w:lineRule="auto"/>
                        <w:ind w:left="-57" w:right="-57"/>
                        <w:jc w:val="center"/>
                        <w:rPr>
                          <w:rFonts w:ascii="Times New Roman" w:hAnsi="Times New Roman"/>
                          <w:b/>
                          <w:sz w:val="16"/>
                          <w:szCs w:val="16"/>
                          <w:lang w:val="ru-RU"/>
                        </w:rPr>
                      </w:pPr>
                      <w:r w:rsidRPr="003B5892">
                        <w:rPr>
                          <w:rFonts w:ascii="Times New Roman" w:hAnsi="Times New Roman"/>
                          <w:b/>
                          <w:sz w:val="16"/>
                          <w:szCs w:val="16"/>
                          <w:lang w:val="ru-RU"/>
                        </w:rPr>
                        <w:t>Підготовка наукових кадрі</w:t>
                      </w:r>
                      <w:r w:rsidRPr="003B5892">
                        <w:rPr>
                          <w:rFonts w:ascii="Times New Roman" w:hAnsi="Times New Roman"/>
                          <w:sz w:val="16"/>
                          <w:szCs w:val="16"/>
                          <w:lang w:val="ru-RU"/>
                        </w:rPr>
                        <w:t>в</w:t>
                      </w:r>
                    </w:p>
                    <w:p w14:paraId="2E8E7775"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 xml:space="preserve">ад’юнктура та </w:t>
                      </w:r>
                    </w:p>
                    <w:p w14:paraId="2A899421"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 xml:space="preserve">докторантура; </w:t>
                      </w:r>
                    </w:p>
                    <w:p w14:paraId="7B047A8B"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підвищення кваліфікації та</w:t>
                      </w:r>
                    </w:p>
                    <w:p w14:paraId="75DE2E6A" w14:textId="77777777" w:rsidR="00F25FCF" w:rsidRPr="003B5892" w:rsidRDefault="00F25FCF" w:rsidP="000F5770">
                      <w:pPr>
                        <w:spacing w:after="0" w:line="216" w:lineRule="auto"/>
                        <w:ind w:left="-57" w:right="-57"/>
                        <w:jc w:val="both"/>
                        <w:rPr>
                          <w:lang w:val="ru-RU"/>
                        </w:rPr>
                      </w:pPr>
                      <w:r w:rsidRPr="003B5892">
                        <w:rPr>
                          <w:rFonts w:ascii="Times New Roman" w:hAnsi="Times New Roman"/>
                          <w:i/>
                          <w:sz w:val="16"/>
                          <w:szCs w:val="16"/>
                          <w:lang w:val="ru-RU"/>
                        </w:rPr>
                        <w:t xml:space="preserve">атестація наукових кадрів. </w:t>
                      </w:r>
                    </w:p>
                  </w:txbxContent>
                </v:textbox>
              </v:rect>
            </w:pict>
          </mc:Fallback>
        </mc:AlternateContent>
      </w: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29920" behindDoc="0" locked="0" layoutInCell="1" allowOverlap="1" wp14:anchorId="5BEA82BA" wp14:editId="4EA60564">
                <wp:simplePos x="0" y="0"/>
                <wp:positionH relativeFrom="column">
                  <wp:posOffset>525145</wp:posOffset>
                </wp:positionH>
                <wp:positionV relativeFrom="paragraph">
                  <wp:posOffset>184966</wp:posOffset>
                </wp:positionV>
                <wp:extent cx="1270635" cy="1027430"/>
                <wp:effectExtent l="0" t="0" r="24765" b="20320"/>
                <wp:wrapNone/>
                <wp:docPr id="652855155" name="Прямоугольник 11"/>
                <wp:cNvGraphicFramePr/>
                <a:graphic xmlns:a="http://schemas.openxmlformats.org/drawingml/2006/main">
                  <a:graphicData uri="http://schemas.microsoft.com/office/word/2010/wordprocessingShape">
                    <wps:wsp>
                      <wps:cNvSpPr/>
                      <wps:spPr>
                        <a:xfrm>
                          <a:off x="0" y="0"/>
                          <a:ext cx="1270635" cy="1027430"/>
                        </a:xfrm>
                        <a:prstGeom prst="rect">
                          <a:avLst/>
                        </a:prstGeom>
                        <a:solidFill>
                          <a:sysClr val="window" lastClr="FFFFFF"/>
                        </a:solidFill>
                        <a:ln w="25400" cap="flat" cmpd="sng" algn="ctr">
                          <a:solidFill>
                            <a:sysClr val="windowText" lastClr="000000"/>
                          </a:solidFill>
                          <a:prstDash val="solid"/>
                        </a:ln>
                        <a:effectLst/>
                      </wps:spPr>
                      <wps:txbx>
                        <w:txbxContent>
                          <w:p w14:paraId="20BA70F9" w14:textId="77777777" w:rsidR="00F25FCF" w:rsidRPr="003B5892" w:rsidRDefault="00F25FCF" w:rsidP="000F5770">
                            <w:pPr>
                              <w:spacing w:after="0" w:line="216" w:lineRule="auto"/>
                              <w:ind w:left="-57" w:right="-57"/>
                              <w:rPr>
                                <w:rFonts w:ascii="Times New Roman" w:hAnsi="Times New Roman"/>
                                <w:b/>
                                <w:sz w:val="16"/>
                                <w:szCs w:val="16"/>
                                <w:lang w:val="ru-RU"/>
                              </w:rPr>
                            </w:pPr>
                            <w:r w:rsidRPr="003B5892">
                              <w:rPr>
                                <w:rFonts w:ascii="Times New Roman" w:hAnsi="Times New Roman"/>
                                <w:b/>
                                <w:sz w:val="16"/>
                                <w:szCs w:val="16"/>
                                <w:lang w:val="ru-RU"/>
                              </w:rPr>
                              <w:t>Наукова діяльність:</w:t>
                            </w:r>
                          </w:p>
                          <w:p w14:paraId="2B8CCDA2"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фундаментальні дослідження;</w:t>
                            </w:r>
                          </w:p>
                          <w:p w14:paraId="53B99D23"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прикладні дослідження;</w:t>
                            </w:r>
                          </w:p>
                          <w:p w14:paraId="12CE2707" w14:textId="77777777" w:rsidR="00F25FCF" w:rsidRPr="003B5892" w:rsidRDefault="00F25FCF" w:rsidP="000F5770">
                            <w:pPr>
                              <w:spacing w:after="0" w:line="216" w:lineRule="auto"/>
                              <w:ind w:left="-57" w:right="-57"/>
                              <w:jc w:val="both"/>
                              <w:rPr>
                                <w:lang w:val="ru-RU"/>
                              </w:rPr>
                            </w:pPr>
                            <w:r w:rsidRPr="003B5892">
                              <w:rPr>
                                <w:rFonts w:ascii="Times New Roman" w:hAnsi="Times New Roman"/>
                                <w:i/>
                                <w:sz w:val="16"/>
                                <w:szCs w:val="16"/>
                                <w:lang w:val="ru-RU"/>
                              </w:rPr>
                              <w:t>науково-дослідні роботи та дослідно-конструкторські роботи.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A82BA" id="Прямоугольник 11" o:spid="_x0000_s1137" style="position:absolute;left:0;text-align:left;margin-left:41.35pt;margin-top:14.55pt;width:100.05pt;height:80.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" fillcolor="window" strokecolor="windowText" strokeweight="2pt">
                <v:textbox>
                  <w:txbxContent>
                    <w:p w14:paraId="20BA70F9" w14:textId="77777777" w:rsidR="00F25FCF" w:rsidRPr="003B5892" w:rsidRDefault="00F25FCF" w:rsidP="000F5770">
                      <w:pPr>
                        <w:spacing w:after="0" w:line="216" w:lineRule="auto"/>
                        <w:ind w:left="-57" w:right="-57"/>
                        <w:rPr>
                          <w:rFonts w:ascii="Times New Roman" w:hAnsi="Times New Roman"/>
                          <w:b/>
                          <w:sz w:val="16"/>
                          <w:szCs w:val="16"/>
                          <w:lang w:val="ru-RU"/>
                        </w:rPr>
                      </w:pPr>
                      <w:r w:rsidRPr="003B5892">
                        <w:rPr>
                          <w:rFonts w:ascii="Times New Roman" w:hAnsi="Times New Roman"/>
                          <w:b/>
                          <w:sz w:val="16"/>
                          <w:szCs w:val="16"/>
                          <w:lang w:val="ru-RU"/>
                        </w:rPr>
                        <w:t>Наукова діяльність:</w:t>
                      </w:r>
                    </w:p>
                    <w:p w14:paraId="2B8CCDA2"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фундаментальні дослідження;</w:t>
                      </w:r>
                    </w:p>
                    <w:p w14:paraId="53B99D23" w14:textId="77777777" w:rsidR="00F25FCF" w:rsidRPr="003B5892" w:rsidRDefault="00F25FCF" w:rsidP="000F5770">
                      <w:pPr>
                        <w:spacing w:after="0" w:line="216" w:lineRule="auto"/>
                        <w:ind w:left="-57" w:right="-57"/>
                        <w:jc w:val="both"/>
                        <w:rPr>
                          <w:rFonts w:ascii="Times New Roman" w:hAnsi="Times New Roman"/>
                          <w:i/>
                          <w:sz w:val="16"/>
                          <w:szCs w:val="16"/>
                          <w:lang w:val="ru-RU"/>
                        </w:rPr>
                      </w:pPr>
                      <w:r w:rsidRPr="003B5892">
                        <w:rPr>
                          <w:rFonts w:ascii="Times New Roman" w:hAnsi="Times New Roman"/>
                          <w:i/>
                          <w:sz w:val="16"/>
                          <w:szCs w:val="16"/>
                          <w:lang w:val="ru-RU"/>
                        </w:rPr>
                        <w:t>прикладні дослідження;</w:t>
                      </w:r>
                    </w:p>
                    <w:p w14:paraId="12CE2707" w14:textId="77777777" w:rsidR="00F25FCF" w:rsidRPr="003B5892" w:rsidRDefault="00F25FCF" w:rsidP="000F5770">
                      <w:pPr>
                        <w:spacing w:after="0" w:line="216" w:lineRule="auto"/>
                        <w:ind w:left="-57" w:right="-57"/>
                        <w:jc w:val="both"/>
                        <w:rPr>
                          <w:lang w:val="ru-RU"/>
                        </w:rPr>
                      </w:pPr>
                      <w:r w:rsidRPr="003B5892">
                        <w:rPr>
                          <w:rFonts w:ascii="Times New Roman" w:hAnsi="Times New Roman"/>
                          <w:i/>
                          <w:sz w:val="16"/>
                          <w:szCs w:val="16"/>
                          <w:lang w:val="ru-RU"/>
                        </w:rPr>
                        <w:t>науково-дослідні роботи та дослідно-конструкторські роботи.</w:t>
                      </w:r>
                    </w:p>
                  </w:txbxContent>
                </v:textbox>
              </v:rect>
            </w:pict>
          </mc:Fallback>
        </mc:AlternateContent>
      </w:r>
    </w:p>
    <w:p w14:paraId="26C57212"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Calibri" w:eastAsia="Times New Roman" w:hAnsi="Calibri" w:cs="Times New Roman"/>
          <w:noProof/>
          <w:kern w:val="0"/>
          <w:lang w:val="uk-UA" w:eastAsia="uk-UA"/>
          <w14:ligatures w14:val="none"/>
        </w:rPr>
        <mc:AlternateContent>
          <mc:Choice Requires="wps">
            <w:drawing>
              <wp:anchor distT="0" distB="0" distL="114300" distR="114300" simplePos="0" relativeHeight="251744256" behindDoc="0" locked="0" layoutInCell="0" allowOverlap="1" wp14:anchorId="5229B5C7" wp14:editId="252F7514">
                <wp:simplePos x="0" y="0"/>
                <wp:positionH relativeFrom="margin">
                  <wp:posOffset>5734685</wp:posOffset>
                </wp:positionH>
                <wp:positionV relativeFrom="margin">
                  <wp:posOffset>5511165</wp:posOffset>
                </wp:positionV>
                <wp:extent cx="1036320" cy="670560"/>
                <wp:effectExtent l="0" t="0" r="0" b="0"/>
                <wp:wrapSquare wrapText="bothSides"/>
                <wp:docPr id="1716724804"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6320" cy="67056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14:paraId="0978ED63" w14:textId="77777777" w:rsidR="00F25FCF" w:rsidRDefault="00F25FCF" w:rsidP="000F5770">
                            <w:pPr>
                              <w:pBdr>
                                <w:left w:val="single" w:sz="12" w:space="10" w:color="7BA0CD"/>
                              </w:pBdr>
                              <w:spacing w:after="0" w:line="240" w:lineRule="auto"/>
                              <w:ind w:right="-57"/>
                              <w:jc w:val="center"/>
                              <w:rPr>
                                <w:rFonts w:ascii="Times New Roman" w:hAnsi="Times New Roman"/>
                                <w:iCs/>
                                <w:sz w:val="20"/>
                                <w:szCs w:val="20"/>
                              </w:rPr>
                            </w:pPr>
                            <w:r>
                              <w:rPr>
                                <w:rFonts w:ascii="Times New Roman" w:hAnsi="Times New Roman"/>
                                <w:iCs/>
                                <w:sz w:val="20"/>
                                <w:szCs w:val="20"/>
                              </w:rPr>
                              <w:t>Основні функціональні</w:t>
                            </w:r>
                          </w:p>
                          <w:p w14:paraId="7F37B22C" w14:textId="77777777" w:rsidR="00F25FCF" w:rsidRPr="005A0E7C" w:rsidRDefault="00F25FCF" w:rsidP="000F5770">
                            <w:pPr>
                              <w:pBdr>
                                <w:left w:val="single" w:sz="12" w:space="10" w:color="7BA0CD"/>
                              </w:pBdr>
                              <w:spacing w:after="0" w:line="240" w:lineRule="auto"/>
                              <w:ind w:right="-57"/>
                              <w:jc w:val="center"/>
                              <w:rPr>
                                <w:rFonts w:ascii="Times New Roman" w:hAnsi="Times New Roman"/>
                                <w:iCs/>
                                <w:sz w:val="20"/>
                                <w:szCs w:val="20"/>
                              </w:rPr>
                            </w:pPr>
                            <w:r>
                              <w:rPr>
                                <w:rFonts w:ascii="Times New Roman" w:hAnsi="Times New Roman"/>
                                <w:iCs/>
                                <w:sz w:val="20"/>
                                <w:szCs w:val="20"/>
                              </w:rPr>
                              <w:t>компоненти</w:t>
                            </w: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229B5C7" id="_x0000_s1138" style="position:absolute;left:0;text-align:left;margin-left:451.55pt;margin-top:433.95pt;width:81.6pt;height:52.8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" o:allowincell="f" filled="f" fillcolor="#4f81bd" stroked="f">
                <v:shadow color="#2f4d71" offset="1pt,1pt"/>
                <v:textbox inset="0,0,18pt,0">
                  <w:txbxContent>
                    <w:p w14:paraId="0978ED63" w14:textId="77777777" w:rsidR="00F25FCF" w:rsidRDefault="00F25FCF" w:rsidP="000F5770">
                      <w:pPr>
                        <w:pBdr>
                          <w:left w:val="single" w:sz="12" w:space="10" w:color="7BA0CD"/>
                        </w:pBdr>
                        <w:spacing w:after="0" w:line="240" w:lineRule="auto"/>
                        <w:ind w:right="-57"/>
                        <w:jc w:val="center"/>
                        <w:rPr>
                          <w:rFonts w:ascii="Times New Roman" w:hAnsi="Times New Roman"/>
                          <w:iCs/>
                          <w:sz w:val="20"/>
                          <w:szCs w:val="20"/>
                        </w:rPr>
                      </w:pPr>
                      <w:r>
                        <w:rPr>
                          <w:rFonts w:ascii="Times New Roman" w:hAnsi="Times New Roman"/>
                          <w:iCs/>
                          <w:sz w:val="20"/>
                          <w:szCs w:val="20"/>
                        </w:rPr>
                        <w:t>Основні функціональні</w:t>
                      </w:r>
                    </w:p>
                    <w:p w14:paraId="7F37B22C" w14:textId="77777777" w:rsidR="00F25FCF" w:rsidRPr="005A0E7C" w:rsidRDefault="00F25FCF" w:rsidP="000F5770">
                      <w:pPr>
                        <w:pBdr>
                          <w:left w:val="single" w:sz="12" w:space="10" w:color="7BA0CD"/>
                        </w:pBdr>
                        <w:spacing w:after="0" w:line="240" w:lineRule="auto"/>
                        <w:ind w:right="-57"/>
                        <w:jc w:val="center"/>
                        <w:rPr>
                          <w:rFonts w:ascii="Times New Roman" w:hAnsi="Times New Roman"/>
                          <w:iCs/>
                          <w:sz w:val="20"/>
                          <w:szCs w:val="20"/>
                        </w:rPr>
                      </w:pPr>
                      <w:r>
                        <w:rPr>
                          <w:rFonts w:ascii="Times New Roman" w:hAnsi="Times New Roman"/>
                          <w:iCs/>
                          <w:sz w:val="20"/>
                          <w:szCs w:val="20"/>
                        </w:rPr>
                        <w:t>компоненти</w:t>
                      </w:r>
                    </w:p>
                  </w:txbxContent>
                </v:textbox>
                <w10:wrap type="square" anchorx="margin" anchory="margin"/>
              </v:rect>
            </w:pict>
          </mc:Fallback>
        </mc:AlternateContent>
      </w:r>
    </w:p>
    <w:p w14:paraId="7FB5DB7A"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7EB1C756"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05391D5D"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7B283AA5"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515EBF2E"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Calibri" w:eastAsia="Times New Roman" w:hAnsi="Calibri" w:cs="Times New Roman"/>
          <w:noProof/>
          <w:kern w:val="0"/>
          <w:lang w:val="uk-UA" w:eastAsia="uk-UA"/>
          <w14:ligatures w14:val="none"/>
        </w:rPr>
        <mc:AlternateContent>
          <mc:Choice Requires="wps">
            <w:drawing>
              <wp:anchor distT="0" distB="0" distL="114300" distR="114300" simplePos="0" relativeHeight="251754496" behindDoc="0" locked="0" layoutInCell="0" allowOverlap="1" wp14:anchorId="28AB3551" wp14:editId="4B292EFB">
                <wp:simplePos x="0" y="0"/>
                <wp:positionH relativeFrom="margin">
                  <wp:posOffset>5613400</wp:posOffset>
                </wp:positionH>
                <wp:positionV relativeFrom="margin">
                  <wp:posOffset>6503670</wp:posOffset>
                </wp:positionV>
                <wp:extent cx="1007110" cy="670560"/>
                <wp:effectExtent l="0" t="0" r="0" b="0"/>
                <wp:wrapSquare wrapText="bothSides"/>
                <wp:docPr id="1252666095"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7110" cy="67056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14:paraId="288261A3" w14:textId="77777777" w:rsidR="00F25FCF" w:rsidRPr="005A0E7C" w:rsidRDefault="00F25FCF" w:rsidP="000F5770">
                            <w:pPr>
                              <w:pBdr>
                                <w:left w:val="single" w:sz="12" w:space="0" w:color="7BA0CD"/>
                              </w:pBdr>
                              <w:spacing w:after="0" w:line="216" w:lineRule="auto"/>
                              <w:jc w:val="center"/>
                              <w:rPr>
                                <w:rFonts w:ascii="Times New Roman" w:hAnsi="Times New Roman"/>
                                <w:iCs/>
                                <w:sz w:val="20"/>
                                <w:szCs w:val="20"/>
                              </w:rPr>
                            </w:pPr>
                            <w:r>
                              <w:rPr>
                                <w:rFonts w:ascii="Times New Roman" w:hAnsi="Times New Roman"/>
                                <w:iCs/>
                                <w:sz w:val="20"/>
                                <w:szCs w:val="20"/>
                              </w:rPr>
                              <w:t xml:space="preserve">Складові діяльності суб’єктів ННТД щодо взаємодії  </w:t>
                            </w: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8AB3551" id="_x0000_s1139" style="position:absolute;left:0;text-align:left;margin-left:442pt;margin-top:512.1pt;width:79.3pt;height:52.8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" o:allowincell="f" filled="f" fillcolor="#4f81bd" stroked="f">
                <v:shadow color="#2f4d71" offset="1pt,1pt"/>
                <v:textbox inset="0,0,18pt,0">
                  <w:txbxContent>
                    <w:p w14:paraId="288261A3" w14:textId="77777777" w:rsidR="00F25FCF" w:rsidRPr="005A0E7C" w:rsidRDefault="00F25FCF" w:rsidP="000F5770">
                      <w:pPr>
                        <w:pBdr>
                          <w:left w:val="single" w:sz="12" w:space="0" w:color="7BA0CD"/>
                        </w:pBdr>
                        <w:spacing w:after="0" w:line="216" w:lineRule="auto"/>
                        <w:jc w:val="center"/>
                        <w:rPr>
                          <w:rFonts w:ascii="Times New Roman" w:hAnsi="Times New Roman"/>
                          <w:iCs/>
                          <w:sz w:val="20"/>
                          <w:szCs w:val="20"/>
                        </w:rPr>
                      </w:pPr>
                      <w:r>
                        <w:rPr>
                          <w:rFonts w:ascii="Times New Roman" w:hAnsi="Times New Roman"/>
                          <w:iCs/>
                          <w:sz w:val="20"/>
                          <w:szCs w:val="20"/>
                        </w:rPr>
                        <w:t xml:space="preserve">Складові діяльності суб’єктів ННТД щодо взаємодії  </w:t>
                      </w:r>
                    </w:p>
                  </w:txbxContent>
                </v:textbox>
                <w10:wrap type="square" anchorx="margin" anchory="margin"/>
              </v:rect>
            </w:pict>
          </mc:Fallback>
        </mc:AlternateContent>
      </w: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53472" behindDoc="0" locked="0" layoutInCell="1" allowOverlap="1" wp14:anchorId="05FC22C3" wp14:editId="34CE4292">
                <wp:simplePos x="0" y="0"/>
                <wp:positionH relativeFrom="column">
                  <wp:posOffset>5507143</wp:posOffset>
                </wp:positionH>
                <wp:positionV relativeFrom="paragraph">
                  <wp:posOffset>100542</wp:posOffset>
                </wp:positionV>
                <wp:extent cx="145415" cy="795655"/>
                <wp:effectExtent l="38100" t="38100" r="26035" b="99695"/>
                <wp:wrapNone/>
                <wp:docPr id="587530873" name="Правая фигурная скобка 32"/>
                <wp:cNvGraphicFramePr/>
                <a:graphic xmlns:a="http://schemas.openxmlformats.org/drawingml/2006/main">
                  <a:graphicData uri="http://schemas.microsoft.com/office/word/2010/wordprocessingShape">
                    <wps:wsp>
                      <wps:cNvSpPr/>
                      <wps:spPr>
                        <a:xfrm>
                          <a:off x="0" y="0"/>
                          <a:ext cx="145415" cy="795655"/>
                        </a:xfrm>
                        <a:prstGeom prst="rightBrace">
                          <a:avLst>
                            <a:gd name="adj1" fmla="val 55402"/>
                            <a:gd name="adj2" fmla="val 45624"/>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9F762" id="Правая фигурная скобка 32" o:spid="_x0000_s1026" type="#_x0000_t88" style="position:absolute;margin-left:433.65pt;margin-top:7.9pt;width:11.45pt;height:62.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" adj="2187,9855" strokecolor="windowText" strokeweight="2pt">
                <v:shadow on="t" color="black" opacity="24903f" origin=",.5" offset="0,.55556mm"/>
              </v:shape>
            </w:pict>
          </mc:Fallback>
        </mc:AlternateContent>
      </w: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26848" behindDoc="0" locked="0" layoutInCell="1" allowOverlap="1" wp14:anchorId="67DCA990" wp14:editId="1761E0F1">
                <wp:simplePos x="0" y="0"/>
                <wp:positionH relativeFrom="column">
                  <wp:posOffset>525145</wp:posOffset>
                </wp:positionH>
                <wp:positionV relativeFrom="paragraph">
                  <wp:posOffset>139881</wp:posOffset>
                </wp:positionV>
                <wp:extent cx="4910455" cy="757555"/>
                <wp:effectExtent l="0" t="0" r="23495" b="23495"/>
                <wp:wrapNone/>
                <wp:docPr id="1985041533" name="Прямоугольник 8"/>
                <wp:cNvGraphicFramePr/>
                <a:graphic xmlns:a="http://schemas.openxmlformats.org/drawingml/2006/main">
                  <a:graphicData uri="http://schemas.microsoft.com/office/word/2010/wordprocessingShape">
                    <wps:wsp>
                      <wps:cNvSpPr/>
                      <wps:spPr>
                        <a:xfrm>
                          <a:off x="0" y="0"/>
                          <a:ext cx="4910455" cy="757555"/>
                        </a:xfrm>
                        <a:prstGeom prst="rect">
                          <a:avLst/>
                        </a:prstGeom>
                        <a:solidFill>
                          <a:sysClr val="window" lastClr="FFFFFF"/>
                        </a:solidFill>
                        <a:ln w="25400" cap="flat" cmpd="sng" algn="ctr">
                          <a:solidFill>
                            <a:sysClr val="windowText" lastClr="000000"/>
                          </a:solidFill>
                          <a:prstDash val="solid"/>
                        </a:ln>
                        <a:effectLst/>
                      </wps:spPr>
                      <wps:txbx>
                        <w:txbxContent>
                          <w:p w14:paraId="6DAC0F70" w14:textId="77777777" w:rsidR="00F25FCF" w:rsidRDefault="00F25FCF" w:rsidP="000F5770">
                            <w:pPr>
                              <w:spacing w:after="0" w:line="216" w:lineRule="auto"/>
                              <w:jc w:val="center"/>
                              <w:rPr>
                                <w:rFonts w:ascii="Times New Roman" w:hAnsi="Times New Roman"/>
                                <w:b/>
                              </w:rPr>
                            </w:pPr>
                            <w:r w:rsidRPr="00D27A68">
                              <w:rPr>
                                <w:rFonts w:ascii="Times New Roman" w:hAnsi="Times New Roman"/>
                                <w:b/>
                              </w:rPr>
                              <w:t>Механізми взаємодії</w:t>
                            </w:r>
                            <w:r>
                              <w:rPr>
                                <w:rFonts w:ascii="Times New Roman" w:hAnsi="Times New Roman"/>
                                <w:b/>
                              </w:rPr>
                              <w:t>:</w:t>
                            </w:r>
                          </w:p>
                          <w:p w14:paraId="7CD935F8" w14:textId="77777777" w:rsidR="00F25FCF" w:rsidRPr="00D27A68" w:rsidRDefault="00F25FCF" w:rsidP="000F5770">
                            <w:pPr>
                              <w:spacing w:after="0" w:line="240" w:lineRule="auto"/>
                              <w:jc w:val="both"/>
                              <w:rPr>
                                <w:rFonts w:ascii="Times New Roman" w:hAnsi="Times New Roman"/>
                                <w:i/>
                              </w:rPr>
                            </w:pPr>
                            <w:r>
                              <w:rPr>
                                <w:rFonts w:ascii="Times New Roman" w:hAnsi="Times New Roman"/>
                                <w:i/>
                              </w:rPr>
                              <w:t>здійснення внутрі</w:t>
                            </w:r>
                            <w:r w:rsidRPr="00D27A68">
                              <w:rPr>
                                <w:rFonts w:ascii="Times New Roman" w:hAnsi="Times New Roman"/>
                                <w:i/>
                              </w:rPr>
                              <w:t>відомч</w:t>
                            </w:r>
                            <w:r>
                              <w:rPr>
                                <w:rFonts w:ascii="Times New Roman" w:hAnsi="Times New Roman"/>
                                <w:i/>
                              </w:rPr>
                              <w:t xml:space="preserve">ої та </w:t>
                            </w:r>
                            <w:r w:rsidRPr="00D27A68">
                              <w:rPr>
                                <w:rFonts w:ascii="Times New Roman" w:hAnsi="Times New Roman"/>
                                <w:i/>
                              </w:rPr>
                              <w:t>міжвідомч</w:t>
                            </w:r>
                            <w:r>
                              <w:rPr>
                                <w:rFonts w:ascii="Times New Roman" w:hAnsi="Times New Roman"/>
                                <w:i/>
                              </w:rPr>
                              <w:t>ої</w:t>
                            </w:r>
                            <w:r w:rsidRPr="00D27A68">
                              <w:rPr>
                                <w:rFonts w:ascii="Times New Roman" w:hAnsi="Times New Roman"/>
                                <w:i/>
                              </w:rPr>
                              <w:t xml:space="preserve"> координаці</w:t>
                            </w:r>
                            <w:r>
                              <w:rPr>
                                <w:rFonts w:ascii="Times New Roman" w:hAnsi="Times New Roman"/>
                                <w:i/>
                              </w:rPr>
                              <w:t>ї,</w:t>
                            </w:r>
                            <w:r w:rsidRPr="00D27A68">
                              <w:rPr>
                                <w:rFonts w:ascii="Times New Roman" w:hAnsi="Times New Roman"/>
                                <w:i/>
                              </w:rPr>
                              <w:t xml:space="preserve"> </w:t>
                            </w:r>
                            <w:r>
                              <w:rPr>
                                <w:rFonts w:ascii="Times New Roman" w:hAnsi="Times New Roman"/>
                                <w:i/>
                              </w:rPr>
                              <w:t xml:space="preserve">проведення спільних </w:t>
                            </w:r>
                            <w:r w:rsidRPr="00D27A68">
                              <w:rPr>
                                <w:rFonts w:ascii="Times New Roman" w:hAnsi="Times New Roman"/>
                                <w:i/>
                              </w:rPr>
                              <w:t>науково-технічн</w:t>
                            </w:r>
                            <w:r>
                              <w:rPr>
                                <w:rFonts w:ascii="Times New Roman" w:hAnsi="Times New Roman"/>
                                <w:i/>
                              </w:rPr>
                              <w:t>их</w:t>
                            </w:r>
                            <w:r w:rsidRPr="00D27A68">
                              <w:rPr>
                                <w:rFonts w:ascii="Times New Roman" w:hAnsi="Times New Roman"/>
                                <w:i/>
                              </w:rPr>
                              <w:t xml:space="preserve"> рад</w:t>
                            </w:r>
                            <w:r>
                              <w:rPr>
                                <w:rFonts w:ascii="Times New Roman" w:hAnsi="Times New Roman"/>
                                <w:i/>
                              </w:rPr>
                              <w:t>,</w:t>
                            </w:r>
                            <w:r w:rsidRPr="00D27A68">
                              <w:rPr>
                                <w:rFonts w:ascii="Times New Roman" w:hAnsi="Times New Roman"/>
                                <w:i/>
                              </w:rPr>
                              <w:t xml:space="preserve"> </w:t>
                            </w:r>
                            <w:r>
                              <w:rPr>
                                <w:rFonts w:ascii="Times New Roman" w:hAnsi="Times New Roman"/>
                                <w:i/>
                              </w:rPr>
                              <w:t xml:space="preserve">реалізація </w:t>
                            </w:r>
                            <w:r w:rsidRPr="00D27A68">
                              <w:rPr>
                                <w:rFonts w:ascii="Times New Roman" w:hAnsi="Times New Roman"/>
                                <w:i/>
                              </w:rPr>
                              <w:t>спільн</w:t>
                            </w:r>
                            <w:r>
                              <w:rPr>
                                <w:rFonts w:ascii="Times New Roman" w:hAnsi="Times New Roman"/>
                                <w:i/>
                              </w:rPr>
                              <w:t>их</w:t>
                            </w:r>
                            <w:r w:rsidRPr="00D27A68">
                              <w:rPr>
                                <w:rFonts w:ascii="Times New Roman" w:hAnsi="Times New Roman"/>
                                <w:i/>
                              </w:rPr>
                              <w:t xml:space="preserve"> проєкт</w:t>
                            </w:r>
                            <w:r>
                              <w:rPr>
                                <w:rFonts w:ascii="Times New Roman" w:hAnsi="Times New Roman"/>
                                <w:i/>
                              </w:rPr>
                              <w:t xml:space="preserve">ів </w:t>
                            </w:r>
                            <w:r w:rsidRPr="00D27A68">
                              <w:rPr>
                                <w:rFonts w:ascii="Times New Roman" w:hAnsi="Times New Roman"/>
                                <w:i/>
                              </w:rPr>
                              <w:t>та програм</w:t>
                            </w:r>
                            <w:r>
                              <w:rPr>
                                <w:rFonts w:ascii="Times New Roman" w:hAnsi="Times New Roman"/>
                                <w:i/>
                              </w:rPr>
                              <w:t>,</w:t>
                            </w:r>
                            <w:r w:rsidRPr="002F032B">
                              <w:rPr>
                                <w:rFonts w:ascii="Times New Roman" w:hAnsi="Times New Roman"/>
                                <w:i/>
                              </w:rPr>
                              <w:t xml:space="preserve"> </w:t>
                            </w:r>
                            <w:r w:rsidRPr="00D27A68">
                              <w:rPr>
                                <w:rFonts w:ascii="Times New Roman" w:hAnsi="Times New Roman"/>
                                <w:i/>
                              </w:rPr>
                              <w:t>договірна діяльність</w:t>
                            </w:r>
                            <w:r>
                              <w:rPr>
                                <w:rFonts w:ascii="Times New Roman" w:hAnsi="Times New Roman"/>
                                <w:i/>
                              </w:rPr>
                              <w:t>,</w:t>
                            </w:r>
                            <w:r w:rsidRPr="00D27A68">
                              <w:rPr>
                                <w:rFonts w:ascii="Times New Roman" w:hAnsi="Times New Roman"/>
                                <w:i/>
                              </w:rPr>
                              <w:t xml:space="preserve"> </w:t>
                            </w:r>
                            <w:r>
                              <w:rPr>
                                <w:rFonts w:ascii="Times New Roman" w:hAnsi="Times New Roman"/>
                                <w:i/>
                              </w:rPr>
                              <w:t xml:space="preserve">організація </w:t>
                            </w:r>
                            <w:r w:rsidRPr="00D27A68">
                              <w:rPr>
                                <w:rFonts w:ascii="Times New Roman" w:hAnsi="Times New Roman"/>
                                <w:i/>
                              </w:rPr>
                              <w:t>міжнародн</w:t>
                            </w:r>
                            <w:r>
                              <w:rPr>
                                <w:rFonts w:ascii="Times New Roman" w:hAnsi="Times New Roman"/>
                                <w:i/>
                              </w:rPr>
                              <w:t>ого</w:t>
                            </w:r>
                            <w:r w:rsidRPr="00D27A68">
                              <w:rPr>
                                <w:rFonts w:ascii="Times New Roman" w:hAnsi="Times New Roman"/>
                                <w:i/>
                              </w:rPr>
                              <w:t xml:space="preserve"> співробітництв</w:t>
                            </w:r>
                            <w:r>
                              <w:rPr>
                                <w:rFonts w:ascii="Times New Roman" w:hAnsi="Times New Roman"/>
                                <w:i/>
                              </w:rPr>
                              <w:t>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DCA990" id="Прямоугольник 8" o:spid="_x0000_s1140" style="position:absolute;left:0;text-align:left;margin-left:41.35pt;margin-top:11pt;width:386.65pt;height:59.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" fillcolor="window" strokecolor="windowText" strokeweight="2pt">
                <v:textbox>
                  <w:txbxContent>
                    <w:p w14:paraId="6DAC0F70" w14:textId="77777777" w:rsidR="00F25FCF" w:rsidRDefault="00F25FCF" w:rsidP="000F5770">
                      <w:pPr>
                        <w:spacing w:after="0" w:line="216" w:lineRule="auto"/>
                        <w:jc w:val="center"/>
                        <w:rPr>
                          <w:rFonts w:ascii="Times New Roman" w:hAnsi="Times New Roman"/>
                          <w:b/>
                        </w:rPr>
                      </w:pPr>
                      <w:r w:rsidRPr="00D27A68">
                        <w:rPr>
                          <w:rFonts w:ascii="Times New Roman" w:hAnsi="Times New Roman"/>
                          <w:b/>
                        </w:rPr>
                        <w:t>Механізми взаємодії</w:t>
                      </w:r>
                      <w:r>
                        <w:rPr>
                          <w:rFonts w:ascii="Times New Roman" w:hAnsi="Times New Roman"/>
                          <w:b/>
                        </w:rPr>
                        <w:t>:</w:t>
                      </w:r>
                    </w:p>
                    <w:p w14:paraId="7CD935F8" w14:textId="77777777" w:rsidR="00F25FCF" w:rsidRPr="00D27A68" w:rsidRDefault="00F25FCF" w:rsidP="000F5770">
                      <w:pPr>
                        <w:spacing w:after="0" w:line="240" w:lineRule="auto"/>
                        <w:jc w:val="both"/>
                        <w:rPr>
                          <w:rFonts w:ascii="Times New Roman" w:hAnsi="Times New Roman"/>
                          <w:i/>
                        </w:rPr>
                      </w:pPr>
                      <w:r>
                        <w:rPr>
                          <w:rFonts w:ascii="Times New Roman" w:hAnsi="Times New Roman"/>
                          <w:i/>
                        </w:rPr>
                        <w:t>здійснення внутрі</w:t>
                      </w:r>
                      <w:r w:rsidRPr="00D27A68">
                        <w:rPr>
                          <w:rFonts w:ascii="Times New Roman" w:hAnsi="Times New Roman"/>
                          <w:i/>
                        </w:rPr>
                        <w:t>відомч</w:t>
                      </w:r>
                      <w:r>
                        <w:rPr>
                          <w:rFonts w:ascii="Times New Roman" w:hAnsi="Times New Roman"/>
                          <w:i/>
                        </w:rPr>
                        <w:t xml:space="preserve">ої та </w:t>
                      </w:r>
                      <w:r w:rsidRPr="00D27A68">
                        <w:rPr>
                          <w:rFonts w:ascii="Times New Roman" w:hAnsi="Times New Roman"/>
                          <w:i/>
                        </w:rPr>
                        <w:t>міжвідомч</w:t>
                      </w:r>
                      <w:r>
                        <w:rPr>
                          <w:rFonts w:ascii="Times New Roman" w:hAnsi="Times New Roman"/>
                          <w:i/>
                        </w:rPr>
                        <w:t>ої</w:t>
                      </w:r>
                      <w:r w:rsidRPr="00D27A68">
                        <w:rPr>
                          <w:rFonts w:ascii="Times New Roman" w:hAnsi="Times New Roman"/>
                          <w:i/>
                        </w:rPr>
                        <w:t xml:space="preserve"> координаці</w:t>
                      </w:r>
                      <w:r>
                        <w:rPr>
                          <w:rFonts w:ascii="Times New Roman" w:hAnsi="Times New Roman"/>
                          <w:i/>
                        </w:rPr>
                        <w:t>ї,</w:t>
                      </w:r>
                      <w:r w:rsidRPr="00D27A68">
                        <w:rPr>
                          <w:rFonts w:ascii="Times New Roman" w:hAnsi="Times New Roman"/>
                          <w:i/>
                        </w:rPr>
                        <w:t xml:space="preserve"> </w:t>
                      </w:r>
                      <w:r>
                        <w:rPr>
                          <w:rFonts w:ascii="Times New Roman" w:hAnsi="Times New Roman"/>
                          <w:i/>
                        </w:rPr>
                        <w:t xml:space="preserve">проведення спільних </w:t>
                      </w:r>
                      <w:r w:rsidRPr="00D27A68">
                        <w:rPr>
                          <w:rFonts w:ascii="Times New Roman" w:hAnsi="Times New Roman"/>
                          <w:i/>
                        </w:rPr>
                        <w:t>науково-технічн</w:t>
                      </w:r>
                      <w:r>
                        <w:rPr>
                          <w:rFonts w:ascii="Times New Roman" w:hAnsi="Times New Roman"/>
                          <w:i/>
                        </w:rPr>
                        <w:t>их</w:t>
                      </w:r>
                      <w:r w:rsidRPr="00D27A68">
                        <w:rPr>
                          <w:rFonts w:ascii="Times New Roman" w:hAnsi="Times New Roman"/>
                          <w:i/>
                        </w:rPr>
                        <w:t xml:space="preserve"> рад</w:t>
                      </w:r>
                      <w:r>
                        <w:rPr>
                          <w:rFonts w:ascii="Times New Roman" w:hAnsi="Times New Roman"/>
                          <w:i/>
                        </w:rPr>
                        <w:t>,</w:t>
                      </w:r>
                      <w:r w:rsidRPr="00D27A68">
                        <w:rPr>
                          <w:rFonts w:ascii="Times New Roman" w:hAnsi="Times New Roman"/>
                          <w:i/>
                        </w:rPr>
                        <w:t xml:space="preserve"> </w:t>
                      </w:r>
                      <w:r>
                        <w:rPr>
                          <w:rFonts w:ascii="Times New Roman" w:hAnsi="Times New Roman"/>
                          <w:i/>
                        </w:rPr>
                        <w:t xml:space="preserve">реалізація </w:t>
                      </w:r>
                      <w:r w:rsidRPr="00D27A68">
                        <w:rPr>
                          <w:rFonts w:ascii="Times New Roman" w:hAnsi="Times New Roman"/>
                          <w:i/>
                        </w:rPr>
                        <w:t>спільн</w:t>
                      </w:r>
                      <w:r>
                        <w:rPr>
                          <w:rFonts w:ascii="Times New Roman" w:hAnsi="Times New Roman"/>
                          <w:i/>
                        </w:rPr>
                        <w:t>их</w:t>
                      </w:r>
                      <w:r w:rsidRPr="00D27A68">
                        <w:rPr>
                          <w:rFonts w:ascii="Times New Roman" w:hAnsi="Times New Roman"/>
                          <w:i/>
                        </w:rPr>
                        <w:t xml:space="preserve"> проєкт</w:t>
                      </w:r>
                      <w:r>
                        <w:rPr>
                          <w:rFonts w:ascii="Times New Roman" w:hAnsi="Times New Roman"/>
                          <w:i/>
                        </w:rPr>
                        <w:t xml:space="preserve">ів </w:t>
                      </w:r>
                      <w:r w:rsidRPr="00D27A68">
                        <w:rPr>
                          <w:rFonts w:ascii="Times New Roman" w:hAnsi="Times New Roman"/>
                          <w:i/>
                        </w:rPr>
                        <w:t>та програм</w:t>
                      </w:r>
                      <w:r>
                        <w:rPr>
                          <w:rFonts w:ascii="Times New Roman" w:hAnsi="Times New Roman"/>
                          <w:i/>
                        </w:rPr>
                        <w:t>,</w:t>
                      </w:r>
                      <w:r w:rsidRPr="002F032B">
                        <w:rPr>
                          <w:rFonts w:ascii="Times New Roman" w:hAnsi="Times New Roman"/>
                          <w:i/>
                        </w:rPr>
                        <w:t xml:space="preserve"> </w:t>
                      </w:r>
                      <w:r w:rsidRPr="00D27A68">
                        <w:rPr>
                          <w:rFonts w:ascii="Times New Roman" w:hAnsi="Times New Roman"/>
                          <w:i/>
                        </w:rPr>
                        <w:t>договірна діяльність</w:t>
                      </w:r>
                      <w:r>
                        <w:rPr>
                          <w:rFonts w:ascii="Times New Roman" w:hAnsi="Times New Roman"/>
                          <w:i/>
                        </w:rPr>
                        <w:t>,</w:t>
                      </w:r>
                      <w:r w:rsidRPr="00D27A68">
                        <w:rPr>
                          <w:rFonts w:ascii="Times New Roman" w:hAnsi="Times New Roman"/>
                          <w:i/>
                        </w:rPr>
                        <w:t xml:space="preserve"> </w:t>
                      </w:r>
                      <w:r>
                        <w:rPr>
                          <w:rFonts w:ascii="Times New Roman" w:hAnsi="Times New Roman"/>
                          <w:i/>
                        </w:rPr>
                        <w:t xml:space="preserve">організація </w:t>
                      </w:r>
                      <w:r w:rsidRPr="00D27A68">
                        <w:rPr>
                          <w:rFonts w:ascii="Times New Roman" w:hAnsi="Times New Roman"/>
                          <w:i/>
                        </w:rPr>
                        <w:t>міжнародн</w:t>
                      </w:r>
                      <w:r>
                        <w:rPr>
                          <w:rFonts w:ascii="Times New Roman" w:hAnsi="Times New Roman"/>
                          <w:i/>
                        </w:rPr>
                        <w:t>ого</w:t>
                      </w:r>
                      <w:r w:rsidRPr="00D27A68">
                        <w:rPr>
                          <w:rFonts w:ascii="Times New Roman" w:hAnsi="Times New Roman"/>
                          <w:i/>
                        </w:rPr>
                        <w:t xml:space="preserve"> співробітництв</w:t>
                      </w:r>
                      <w:r>
                        <w:rPr>
                          <w:rFonts w:ascii="Times New Roman" w:hAnsi="Times New Roman"/>
                          <w:i/>
                        </w:rPr>
                        <w:t>а</w:t>
                      </w:r>
                    </w:p>
                  </w:txbxContent>
                </v:textbox>
              </v:rect>
            </w:pict>
          </mc:Fallback>
        </mc:AlternateContent>
      </w:r>
    </w:p>
    <w:p w14:paraId="3AD92FA3"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39055795"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1CFDC107"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4DE2F179"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1656972F"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40160" behindDoc="0" locked="0" layoutInCell="1" allowOverlap="1" wp14:anchorId="20FF390C" wp14:editId="7A3C3D60">
                <wp:simplePos x="0" y="0"/>
                <wp:positionH relativeFrom="column">
                  <wp:posOffset>5507990</wp:posOffset>
                </wp:positionH>
                <wp:positionV relativeFrom="paragraph">
                  <wp:posOffset>10614</wp:posOffset>
                </wp:positionV>
                <wp:extent cx="145415" cy="1043940"/>
                <wp:effectExtent l="38100" t="38100" r="26035" b="99060"/>
                <wp:wrapNone/>
                <wp:docPr id="2107488849" name="Правая фигурная скобка 21"/>
                <wp:cNvGraphicFramePr/>
                <a:graphic xmlns:a="http://schemas.openxmlformats.org/drawingml/2006/main">
                  <a:graphicData uri="http://schemas.microsoft.com/office/word/2010/wordprocessingShape">
                    <wps:wsp>
                      <wps:cNvSpPr/>
                      <wps:spPr>
                        <a:xfrm>
                          <a:off x="0" y="0"/>
                          <a:ext cx="145415" cy="1043940"/>
                        </a:xfrm>
                        <a:prstGeom prst="rightBrace">
                          <a:avLst>
                            <a:gd name="adj1" fmla="val 55402"/>
                            <a:gd name="adj2" fmla="val 45624"/>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2730E" id="Правая фигурная скобка 21" o:spid="_x0000_s1026" type="#_x0000_t88" style="position:absolute;margin-left:433.7pt;margin-top:.85pt;width:11.45pt;height:82.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" adj="1667,9855" strokecolor="windowText" strokeweight="2pt">
                <v:shadow on="t" color="black" opacity="24903f" origin=",.5" offset="0,.55556mm"/>
              </v:shape>
            </w:pict>
          </mc:Fallback>
        </mc:AlternateContent>
      </w: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23776" behindDoc="0" locked="0" layoutInCell="1" allowOverlap="1" wp14:anchorId="740B78AB" wp14:editId="77212E6E">
                <wp:simplePos x="0" y="0"/>
                <wp:positionH relativeFrom="column">
                  <wp:posOffset>3886200</wp:posOffset>
                </wp:positionH>
                <wp:positionV relativeFrom="paragraph">
                  <wp:posOffset>13516</wp:posOffset>
                </wp:positionV>
                <wp:extent cx="1550035" cy="1088390"/>
                <wp:effectExtent l="0" t="0" r="12065" b="16510"/>
                <wp:wrapNone/>
                <wp:docPr id="1558575492" name="Прямоугольник 5"/>
                <wp:cNvGraphicFramePr/>
                <a:graphic xmlns:a="http://schemas.openxmlformats.org/drawingml/2006/main">
                  <a:graphicData uri="http://schemas.microsoft.com/office/word/2010/wordprocessingShape">
                    <wps:wsp>
                      <wps:cNvSpPr/>
                      <wps:spPr>
                        <a:xfrm>
                          <a:off x="0" y="0"/>
                          <a:ext cx="1550035" cy="1088390"/>
                        </a:xfrm>
                        <a:prstGeom prst="rect">
                          <a:avLst/>
                        </a:prstGeom>
                        <a:solidFill>
                          <a:sysClr val="window" lastClr="FFFFFF"/>
                        </a:solidFill>
                        <a:ln w="25400" cap="flat" cmpd="sng" algn="ctr">
                          <a:solidFill>
                            <a:sysClr val="windowText" lastClr="000000"/>
                          </a:solidFill>
                          <a:prstDash val="solid"/>
                        </a:ln>
                        <a:effectLst/>
                      </wps:spPr>
                      <wps:txbx>
                        <w:txbxContent>
                          <w:p w14:paraId="58FD399A" w14:textId="77777777" w:rsidR="00F25FCF" w:rsidRPr="003B5892" w:rsidRDefault="00F25FCF" w:rsidP="000F5770">
                            <w:pPr>
                              <w:spacing w:after="0" w:line="216" w:lineRule="auto"/>
                              <w:jc w:val="center"/>
                              <w:rPr>
                                <w:rFonts w:ascii="Times New Roman" w:hAnsi="Times New Roman"/>
                                <w:b/>
                                <w:lang w:val="ru-RU"/>
                              </w:rPr>
                            </w:pPr>
                            <w:r w:rsidRPr="003B5892">
                              <w:rPr>
                                <w:rFonts w:ascii="Times New Roman" w:hAnsi="Times New Roman"/>
                                <w:b/>
                                <w:lang w:val="ru-RU"/>
                              </w:rPr>
                              <w:t>Контроль і оцінка:</w:t>
                            </w:r>
                          </w:p>
                          <w:p w14:paraId="0597A6E9" w14:textId="77777777" w:rsidR="00F25FCF" w:rsidRPr="003B5892" w:rsidRDefault="00F25FCF" w:rsidP="000F5770">
                            <w:pPr>
                              <w:spacing w:after="0" w:line="216" w:lineRule="auto"/>
                              <w:ind w:left="-57" w:right="-57"/>
                              <w:jc w:val="both"/>
                              <w:rPr>
                                <w:rFonts w:ascii="Times New Roman" w:hAnsi="Times New Roman"/>
                                <w:i/>
                                <w:lang w:val="ru-RU"/>
                              </w:rPr>
                            </w:pPr>
                            <w:r w:rsidRPr="003B5892">
                              <w:rPr>
                                <w:rFonts w:ascii="Times New Roman" w:hAnsi="Times New Roman"/>
                                <w:i/>
                                <w:lang w:val="ru-RU"/>
                              </w:rPr>
                              <w:t>моніторинг виконання НДР;</w:t>
                            </w:r>
                          </w:p>
                          <w:p w14:paraId="25EAE395" w14:textId="77777777" w:rsidR="00F25FCF" w:rsidRPr="00053803" w:rsidRDefault="00F25FCF" w:rsidP="000F5770">
                            <w:pPr>
                              <w:spacing w:after="0" w:line="216" w:lineRule="auto"/>
                              <w:ind w:left="-57" w:right="-57"/>
                              <w:jc w:val="both"/>
                              <w:rPr>
                                <w:rFonts w:ascii="Times New Roman" w:hAnsi="Times New Roman"/>
                                <w:i/>
                              </w:rPr>
                            </w:pPr>
                            <w:r w:rsidRPr="00053803">
                              <w:rPr>
                                <w:rFonts w:ascii="Times New Roman" w:hAnsi="Times New Roman"/>
                                <w:i/>
                              </w:rPr>
                              <w:t>оцінка ефективності</w:t>
                            </w:r>
                            <w:r>
                              <w:rPr>
                                <w:rFonts w:ascii="Times New Roman" w:hAnsi="Times New Roman"/>
                                <w:i/>
                              </w:rPr>
                              <w:t>;</w:t>
                            </w:r>
                          </w:p>
                          <w:p w14:paraId="3F2981AD" w14:textId="77777777" w:rsidR="00F25FCF" w:rsidRPr="00053803" w:rsidRDefault="00F25FCF" w:rsidP="000F5770">
                            <w:pPr>
                              <w:spacing w:after="0" w:line="216" w:lineRule="auto"/>
                              <w:ind w:left="-57" w:right="-57"/>
                              <w:jc w:val="both"/>
                              <w:rPr>
                                <w:rFonts w:ascii="Times New Roman" w:hAnsi="Times New Roman"/>
                                <w:i/>
                              </w:rPr>
                            </w:pPr>
                            <w:r w:rsidRPr="00053803">
                              <w:rPr>
                                <w:rFonts w:ascii="Times New Roman" w:hAnsi="Times New Roman"/>
                                <w:i/>
                              </w:rPr>
                              <w:t>звітність</w:t>
                            </w:r>
                            <w:r>
                              <w:rPr>
                                <w:rFonts w:ascii="Times New Roman" w:hAnsi="Times New Roman"/>
                                <w:i/>
                              </w:rPr>
                              <w:t>.</w:t>
                            </w:r>
                          </w:p>
                          <w:p w14:paraId="3660ACAE" w14:textId="77777777" w:rsidR="00F25FCF" w:rsidRPr="00053803" w:rsidRDefault="00F25FCF" w:rsidP="000F5770">
                            <w:pPr>
                              <w:spacing w:after="0" w:line="216" w:lineRule="auto"/>
                              <w:ind w:left="-57" w:right="-57"/>
                              <w:jc w:val="both"/>
                              <w:rPr>
                                <w:rFonts w:ascii="Times New Roman" w:hAnsi="Times New Roman"/>
                                <w: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B78AB" id="Прямоугольник 5" o:spid="_x0000_s1141" style="position:absolute;left:0;text-align:left;margin-left:306pt;margin-top:1.05pt;width:122.05pt;height:85.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" fillcolor="window" strokecolor="windowText" strokeweight="2pt">
                <v:textbox>
                  <w:txbxContent>
                    <w:p w14:paraId="58FD399A" w14:textId="77777777" w:rsidR="00F25FCF" w:rsidRPr="003B5892" w:rsidRDefault="00F25FCF" w:rsidP="000F5770">
                      <w:pPr>
                        <w:spacing w:after="0" w:line="216" w:lineRule="auto"/>
                        <w:jc w:val="center"/>
                        <w:rPr>
                          <w:rFonts w:ascii="Times New Roman" w:hAnsi="Times New Roman"/>
                          <w:b/>
                          <w:lang w:val="ru-RU"/>
                        </w:rPr>
                      </w:pPr>
                      <w:r w:rsidRPr="003B5892">
                        <w:rPr>
                          <w:rFonts w:ascii="Times New Roman" w:hAnsi="Times New Roman"/>
                          <w:b/>
                          <w:lang w:val="ru-RU"/>
                        </w:rPr>
                        <w:t>Контроль і оцінка:</w:t>
                      </w:r>
                    </w:p>
                    <w:p w14:paraId="0597A6E9" w14:textId="77777777" w:rsidR="00F25FCF" w:rsidRPr="003B5892" w:rsidRDefault="00F25FCF" w:rsidP="000F5770">
                      <w:pPr>
                        <w:spacing w:after="0" w:line="216" w:lineRule="auto"/>
                        <w:ind w:left="-57" w:right="-57"/>
                        <w:jc w:val="both"/>
                        <w:rPr>
                          <w:rFonts w:ascii="Times New Roman" w:hAnsi="Times New Roman"/>
                          <w:i/>
                          <w:lang w:val="ru-RU"/>
                        </w:rPr>
                      </w:pPr>
                      <w:r w:rsidRPr="003B5892">
                        <w:rPr>
                          <w:rFonts w:ascii="Times New Roman" w:hAnsi="Times New Roman"/>
                          <w:i/>
                          <w:lang w:val="ru-RU"/>
                        </w:rPr>
                        <w:t>моніторинг виконання НДР;</w:t>
                      </w:r>
                    </w:p>
                    <w:p w14:paraId="25EAE395" w14:textId="77777777" w:rsidR="00F25FCF" w:rsidRPr="00053803" w:rsidRDefault="00F25FCF" w:rsidP="000F5770">
                      <w:pPr>
                        <w:spacing w:after="0" w:line="216" w:lineRule="auto"/>
                        <w:ind w:left="-57" w:right="-57"/>
                        <w:jc w:val="both"/>
                        <w:rPr>
                          <w:rFonts w:ascii="Times New Roman" w:hAnsi="Times New Roman"/>
                          <w:i/>
                        </w:rPr>
                      </w:pPr>
                      <w:r w:rsidRPr="00053803">
                        <w:rPr>
                          <w:rFonts w:ascii="Times New Roman" w:hAnsi="Times New Roman"/>
                          <w:i/>
                        </w:rPr>
                        <w:t>оцінка ефективності</w:t>
                      </w:r>
                      <w:r>
                        <w:rPr>
                          <w:rFonts w:ascii="Times New Roman" w:hAnsi="Times New Roman"/>
                          <w:i/>
                        </w:rPr>
                        <w:t>;</w:t>
                      </w:r>
                    </w:p>
                    <w:p w14:paraId="3F2981AD" w14:textId="77777777" w:rsidR="00F25FCF" w:rsidRPr="00053803" w:rsidRDefault="00F25FCF" w:rsidP="000F5770">
                      <w:pPr>
                        <w:spacing w:after="0" w:line="216" w:lineRule="auto"/>
                        <w:ind w:left="-57" w:right="-57"/>
                        <w:jc w:val="both"/>
                        <w:rPr>
                          <w:rFonts w:ascii="Times New Roman" w:hAnsi="Times New Roman"/>
                          <w:i/>
                        </w:rPr>
                      </w:pPr>
                      <w:r w:rsidRPr="00053803">
                        <w:rPr>
                          <w:rFonts w:ascii="Times New Roman" w:hAnsi="Times New Roman"/>
                          <w:i/>
                        </w:rPr>
                        <w:t>звітність</w:t>
                      </w:r>
                      <w:r>
                        <w:rPr>
                          <w:rFonts w:ascii="Times New Roman" w:hAnsi="Times New Roman"/>
                          <w:i/>
                        </w:rPr>
                        <w:t>.</w:t>
                      </w:r>
                    </w:p>
                    <w:p w14:paraId="3660ACAE" w14:textId="77777777" w:rsidR="00F25FCF" w:rsidRPr="00053803" w:rsidRDefault="00F25FCF" w:rsidP="000F5770">
                      <w:pPr>
                        <w:spacing w:after="0" w:line="216" w:lineRule="auto"/>
                        <w:ind w:left="-57" w:right="-57"/>
                        <w:jc w:val="both"/>
                        <w:rPr>
                          <w:rFonts w:ascii="Times New Roman" w:hAnsi="Times New Roman"/>
                          <w:i/>
                        </w:rPr>
                      </w:pPr>
                    </w:p>
                  </w:txbxContent>
                </v:textbox>
              </v:rect>
            </w:pict>
          </mc:Fallback>
        </mc:AlternateContent>
      </w: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24800" behindDoc="0" locked="0" layoutInCell="1" allowOverlap="1" wp14:anchorId="4EFF2AF8" wp14:editId="2E20536C">
                <wp:simplePos x="0" y="0"/>
                <wp:positionH relativeFrom="column">
                  <wp:posOffset>2171065</wp:posOffset>
                </wp:positionH>
                <wp:positionV relativeFrom="paragraph">
                  <wp:posOffset>49076</wp:posOffset>
                </wp:positionV>
                <wp:extent cx="1524000" cy="1088390"/>
                <wp:effectExtent l="0" t="0" r="19050" b="16510"/>
                <wp:wrapNone/>
                <wp:docPr id="575273496" name="Прямоугольник 6"/>
                <wp:cNvGraphicFramePr/>
                <a:graphic xmlns:a="http://schemas.openxmlformats.org/drawingml/2006/main">
                  <a:graphicData uri="http://schemas.microsoft.com/office/word/2010/wordprocessingShape">
                    <wps:wsp>
                      <wps:cNvSpPr/>
                      <wps:spPr>
                        <a:xfrm>
                          <a:off x="0" y="0"/>
                          <a:ext cx="1524000" cy="1088390"/>
                        </a:xfrm>
                        <a:prstGeom prst="rect">
                          <a:avLst/>
                        </a:prstGeom>
                        <a:solidFill>
                          <a:sysClr val="window" lastClr="FFFFFF"/>
                        </a:solidFill>
                        <a:ln w="25400" cap="flat" cmpd="sng" algn="ctr">
                          <a:solidFill>
                            <a:sysClr val="windowText" lastClr="000000"/>
                          </a:solidFill>
                          <a:prstDash val="solid"/>
                        </a:ln>
                        <a:effectLst/>
                      </wps:spPr>
                      <wps:txbx>
                        <w:txbxContent>
                          <w:p w14:paraId="21DFA4F1" w14:textId="77777777" w:rsidR="00F25FCF" w:rsidRPr="003B5892" w:rsidRDefault="00F25FCF" w:rsidP="000F5770">
                            <w:pPr>
                              <w:spacing w:after="0" w:line="216" w:lineRule="auto"/>
                              <w:jc w:val="center"/>
                              <w:rPr>
                                <w:rFonts w:ascii="Times New Roman" w:hAnsi="Times New Roman"/>
                                <w:b/>
                                <w:lang w:val="ru-RU"/>
                              </w:rPr>
                            </w:pPr>
                            <w:r w:rsidRPr="003B5892">
                              <w:rPr>
                                <w:rFonts w:ascii="Times New Roman" w:hAnsi="Times New Roman"/>
                                <w:b/>
                                <w:lang w:val="ru-RU"/>
                              </w:rPr>
                              <w:t>Фінансування:</w:t>
                            </w:r>
                          </w:p>
                          <w:p w14:paraId="1BC7865F" w14:textId="77777777" w:rsidR="00F25FCF" w:rsidRPr="003B5892" w:rsidRDefault="00F25FCF" w:rsidP="000F5770">
                            <w:pPr>
                              <w:spacing w:after="0" w:line="216" w:lineRule="auto"/>
                              <w:ind w:left="-57" w:right="-57"/>
                              <w:jc w:val="both"/>
                              <w:rPr>
                                <w:rFonts w:ascii="Times New Roman" w:hAnsi="Times New Roman"/>
                                <w:i/>
                                <w:lang w:val="ru-RU"/>
                              </w:rPr>
                            </w:pPr>
                            <w:r w:rsidRPr="003B5892">
                              <w:rPr>
                                <w:rFonts w:ascii="Times New Roman" w:hAnsi="Times New Roman"/>
                                <w:i/>
                                <w:lang w:val="ru-RU"/>
                              </w:rPr>
                              <w:t>державний бюджет;</w:t>
                            </w:r>
                          </w:p>
                          <w:p w14:paraId="507AB5AA" w14:textId="77777777" w:rsidR="00F25FCF" w:rsidRPr="003B5892" w:rsidRDefault="00F25FCF" w:rsidP="000F5770">
                            <w:pPr>
                              <w:spacing w:after="0" w:line="216" w:lineRule="auto"/>
                              <w:ind w:left="-57" w:right="-57"/>
                              <w:jc w:val="both"/>
                              <w:rPr>
                                <w:rFonts w:ascii="Times New Roman" w:hAnsi="Times New Roman"/>
                                <w:i/>
                                <w:lang w:val="ru-RU"/>
                              </w:rPr>
                            </w:pPr>
                            <w:r w:rsidRPr="003B5892">
                              <w:rPr>
                                <w:rFonts w:ascii="Times New Roman" w:hAnsi="Times New Roman"/>
                                <w:i/>
                                <w:lang w:val="ru-RU"/>
                              </w:rPr>
                              <w:t xml:space="preserve">спеціальні фонди; </w:t>
                            </w:r>
                          </w:p>
                          <w:p w14:paraId="0E981BB8" w14:textId="77777777" w:rsidR="00F25FCF" w:rsidRPr="00182FBC" w:rsidRDefault="00F25FCF" w:rsidP="000F5770">
                            <w:pPr>
                              <w:spacing w:after="0" w:line="216" w:lineRule="auto"/>
                              <w:ind w:left="-57" w:right="-57"/>
                              <w:jc w:val="both"/>
                              <w:rPr>
                                <w:rFonts w:ascii="Times New Roman" w:hAnsi="Times New Roman"/>
                                <w:i/>
                              </w:rPr>
                            </w:pPr>
                            <w:r w:rsidRPr="00182FBC">
                              <w:rPr>
                                <w:rFonts w:ascii="Times New Roman" w:hAnsi="Times New Roman"/>
                                <w:i/>
                              </w:rPr>
                              <w:t>гранти та міжнародна допомога</w:t>
                            </w:r>
                            <w:r>
                              <w:rPr>
                                <w:rFonts w:ascii="Times New Roman" w:hAnsi="Times New Roman"/>
                                <w: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FF2AF8" id="Прямоугольник 6" o:spid="_x0000_s1142" style="position:absolute;left:0;text-align:left;margin-left:170.95pt;margin-top:3.85pt;width:120pt;height:85.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" fillcolor="window" strokecolor="windowText" strokeweight="2pt">
                <v:textbox>
                  <w:txbxContent>
                    <w:p w14:paraId="21DFA4F1" w14:textId="77777777" w:rsidR="00F25FCF" w:rsidRPr="003B5892" w:rsidRDefault="00F25FCF" w:rsidP="000F5770">
                      <w:pPr>
                        <w:spacing w:after="0" w:line="216" w:lineRule="auto"/>
                        <w:jc w:val="center"/>
                        <w:rPr>
                          <w:rFonts w:ascii="Times New Roman" w:hAnsi="Times New Roman"/>
                          <w:b/>
                          <w:lang w:val="ru-RU"/>
                        </w:rPr>
                      </w:pPr>
                      <w:r w:rsidRPr="003B5892">
                        <w:rPr>
                          <w:rFonts w:ascii="Times New Roman" w:hAnsi="Times New Roman"/>
                          <w:b/>
                          <w:lang w:val="ru-RU"/>
                        </w:rPr>
                        <w:t>Фінансування:</w:t>
                      </w:r>
                    </w:p>
                    <w:p w14:paraId="1BC7865F" w14:textId="77777777" w:rsidR="00F25FCF" w:rsidRPr="003B5892" w:rsidRDefault="00F25FCF" w:rsidP="000F5770">
                      <w:pPr>
                        <w:spacing w:after="0" w:line="216" w:lineRule="auto"/>
                        <w:ind w:left="-57" w:right="-57"/>
                        <w:jc w:val="both"/>
                        <w:rPr>
                          <w:rFonts w:ascii="Times New Roman" w:hAnsi="Times New Roman"/>
                          <w:i/>
                          <w:lang w:val="ru-RU"/>
                        </w:rPr>
                      </w:pPr>
                      <w:r w:rsidRPr="003B5892">
                        <w:rPr>
                          <w:rFonts w:ascii="Times New Roman" w:hAnsi="Times New Roman"/>
                          <w:i/>
                          <w:lang w:val="ru-RU"/>
                        </w:rPr>
                        <w:t>державний бюджет;</w:t>
                      </w:r>
                    </w:p>
                    <w:p w14:paraId="507AB5AA" w14:textId="77777777" w:rsidR="00F25FCF" w:rsidRPr="003B5892" w:rsidRDefault="00F25FCF" w:rsidP="000F5770">
                      <w:pPr>
                        <w:spacing w:after="0" w:line="216" w:lineRule="auto"/>
                        <w:ind w:left="-57" w:right="-57"/>
                        <w:jc w:val="both"/>
                        <w:rPr>
                          <w:rFonts w:ascii="Times New Roman" w:hAnsi="Times New Roman"/>
                          <w:i/>
                          <w:lang w:val="ru-RU"/>
                        </w:rPr>
                      </w:pPr>
                      <w:r w:rsidRPr="003B5892">
                        <w:rPr>
                          <w:rFonts w:ascii="Times New Roman" w:hAnsi="Times New Roman"/>
                          <w:i/>
                          <w:lang w:val="ru-RU"/>
                        </w:rPr>
                        <w:t xml:space="preserve">спеціальні фонди; </w:t>
                      </w:r>
                    </w:p>
                    <w:p w14:paraId="0E981BB8" w14:textId="77777777" w:rsidR="00F25FCF" w:rsidRPr="00182FBC" w:rsidRDefault="00F25FCF" w:rsidP="000F5770">
                      <w:pPr>
                        <w:spacing w:after="0" w:line="216" w:lineRule="auto"/>
                        <w:ind w:left="-57" w:right="-57"/>
                        <w:jc w:val="both"/>
                        <w:rPr>
                          <w:rFonts w:ascii="Times New Roman" w:hAnsi="Times New Roman"/>
                          <w:i/>
                        </w:rPr>
                      </w:pPr>
                      <w:r w:rsidRPr="00182FBC">
                        <w:rPr>
                          <w:rFonts w:ascii="Times New Roman" w:hAnsi="Times New Roman"/>
                          <w:i/>
                        </w:rPr>
                        <w:t>гранти та міжнародна допомога</w:t>
                      </w:r>
                      <w:r>
                        <w:rPr>
                          <w:rFonts w:ascii="Times New Roman" w:hAnsi="Times New Roman"/>
                          <w:i/>
                        </w:rPr>
                        <w:t>.</w:t>
                      </w:r>
                    </w:p>
                  </w:txbxContent>
                </v:textbox>
              </v:rect>
            </w:pict>
          </mc:Fallback>
        </mc:AlternateContent>
      </w:r>
      <w:r w:rsidRPr="003B5892">
        <w:rPr>
          <w:rFonts w:ascii="Times New Roman" w:eastAsia="Times New Roman" w:hAnsi="Times New Roman" w:cs="Times New Roman"/>
          <w:noProof/>
          <w:kern w:val="0"/>
          <w:sz w:val="28"/>
          <w:szCs w:val="28"/>
          <w:lang w:val="uk-UA" w:eastAsia="uk-UA"/>
          <w14:ligatures w14:val="none"/>
        </w:rPr>
        <mc:AlternateContent>
          <mc:Choice Requires="wps">
            <w:drawing>
              <wp:anchor distT="0" distB="0" distL="114300" distR="114300" simplePos="0" relativeHeight="251725824" behindDoc="0" locked="0" layoutInCell="1" allowOverlap="1" wp14:anchorId="292D1C38" wp14:editId="42A05CD8">
                <wp:simplePos x="0" y="0"/>
                <wp:positionH relativeFrom="column">
                  <wp:posOffset>525145</wp:posOffset>
                </wp:positionH>
                <wp:positionV relativeFrom="paragraph">
                  <wp:posOffset>40186</wp:posOffset>
                </wp:positionV>
                <wp:extent cx="1515110" cy="1088390"/>
                <wp:effectExtent l="0" t="0" r="27940" b="16510"/>
                <wp:wrapNone/>
                <wp:docPr id="1005522630" name="Прямоугольник 7"/>
                <wp:cNvGraphicFramePr/>
                <a:graphic xmlns:a="http://schemas.openxmlformats.org/drawingml/2006/main">
                  <a:graphicData uri="http://schemas.microsoft.com/office/word/2010/wordprocessingShape">
                    <wps:wsp>
                      <wps:cNvSpPr/>
                      <wps:spPr>
                        <a:xfrm>
                          <a:off x="0" y="0"/>
                          <a:ext cx="1515110" cy="1088390"/>
                        </a:xfrm>
                        <a:prstGeom prst="rect">
                          <a:avLst/>
                        </a:prstGeom>
                        <a:solidFill>
                          <a:sysClr val="window" lastClr="FFFFFF"/>
                        </a:solidFill>
                        <a:ln w="25400" cap="flat" cmpd="sng" algn="ctr">
                          <a:solidFill>
                            <a:sysClr val="windowText" lastClr="000000"/>
                          </a:solidFill>
                          <a:prstDash val="solid"/>
                        </a:ln>
                        <a:effectLst/>
                      </wps:spPr>
                      <wps:txbx>
                        <w:txbxContent>
                          <w:p w14:paraId="59B9F99D" w14:textId="77777777" w:rsidR="00F25FCF" w:rsidRPr="003B5892" w:rsidRDefault="00F25FCF" w:rsidP="000F5770">
                            <w:pPr>
                              <w:spacing w:after="0" w:line="216" w:lineRule="auto"/>
                              <w:jc w:val="center"/>
                              <w:rPr>
                                <w:rFonts w:ascii="Times New Roman" w:hAnsi="Times New Roman"/>
                                <w:b/>
                                <w:lang w:val="ru-RU"/>
                              </w:rPr>
                            </w:pPr>
                            <w:r w:rsidRPr="003B5892">
                              <w:rPr>
                                <w:rFonts w:ascii="Times New Roman" w:hAnsi="Times New Roman"/>
                                <w:b/>
                                <w:lang w:val="ru-RU"/>
                              </w:rPr>
                              <w:t>Планування:</w:t>
                            </w:r>
                          </w:p>
                          <w:p w14:paraId="4EA9EDDA" w14:textId="77777777" w:rsidR="00F25FCF" w:rsidRPr="003B5892" w:rsidRDefault="00F25FCF" w:rsidP="000F5770">
                            <w:pPr>
                              <w:spacing w:after="0" w:line="216" w:lineRule="auto"/>
                              <w:ind w:left="-57" w:right="-57"/>
                              <w:jc w:val="both"/>
                              <w:rPr>
                                <w:rFonts w:ascii="Times New Roman" w:hAnsi="Times New Roman"/>
                                <w:i/>
                                <w:lang w:val="ru-RU"/>
                              </w:rPr>
                            </w:pPr>
                            <w:r w:rsidRPr="003B5892">
                              <w:rPr>
                                <w:rFonts w:ascii="Times New Roman" w:hAnsi="Times New Roman"/>
                                <w:i/>
                                <w:lang w:val="ru-RU"/>
                              </w:rPr>
                              <w:t>формування тематик НДР;</w:t>
                            </w:r>
                          </w:p>
                          <w:p w14:paraId="68169AA9" w14:textId="77777777" w:rsidR="00F25FCF" w:rsidRPr="003B5892" w:rsidRDefault="00F25FCF" w:rsidP="000F5770">
                            <w:pPr>
                              <w:spacing w:after="0" w:line="216" w:lineRule="auto"/>
                              <w:ind w:left="-57" w:right="-57"/>
                              <w:jc w:val="both"/>
                              <w:rPr>
                                <w:rFonts w:ascii="Times New Roman" w:hAnsi="Times New Roman"/>
                                <w:i/>
                                <w:lang w:val="ru-RU"/>
                              </w:rPr>
                            </w:pPr>
                            <w:r w:rsidRPr="003B5892">
                              <w:rPr>
                                <w:rFonts w:ascii="Times New Roman" w:hAnsi="Times New Roman"/>
                                <w:i/>
                                <w:lang w:val="ru-RU"/>
                              </w:rPr>
                              <w:t>державне оборонне</w:t>
                            </w:r>
                            <w:r w:rsidRPr="003B5892">
                              <w:rPr>
                                <w:lang w:val="ru-RU"/>
                              </w:rPr>
                              <w:t xml:space="preserve"> </w:t>
                            </w:r>
                            <w:r w:rsidRPr="003B5892">
                              <w:rPr>
                                <w:rFonts w:ascii="Times New Roman" w:hAnsi="Times New Roman"/>
                                <w:i/>
                                <w:lang w:val="ru-RU"/>
                              </w:rPr>
                              <w:t xml:space="preserve">замовлення; </w:t>
                            </w:r>
                          </w:p>
                          <w:p w14:paraId="463836C3" w14:textId="77777777" w:rsidR="00F25FCF" w:rsidRDefault="00F25FCF" w:rsidP="000F5770">
                            <w:pPr>
                              <w:spacing w:after="0" w:line="216" w:lineRule="auto"/>
                              <w:ind w:left="-57" w:right="-57"/>
                              <w:jc w:val="both"/>
                            </w:pPr>
                            <w:r w:rsidRPr="00182FBC">
                              <w:rPr>
                                <w:rFonts w:ascii="Times New Roman" w:hAnsi="Times New Roman"/>
                                <w:i/>
                              </w:rPr>
                              <w:t>перспективне</w:t>
                            </w:r>
                            <w:r w:rsidRPr="00182FBC">
                              <w:t xml:space="preserve"> </w:t>
                            </w:r>
                            <w:r w:rsidRPr="00182FBC">
                              <w:rPr>
                                <w:rFonts w:ascii="Times New Roman" w:hAnsi="Times New Roman"/>
                                <w:i/>
                              </w:rPr>
                              <w:t>та поточне планування</w:t>
                            </w:r>
                            <w:r>
                              <w:rPr>
                                <w:rFonts w:ascii="Times New Roman" w:hAnsi="Times New Roman"/>
                                <w: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2D1C38" id="Прямоугольник 7" o:spid="_x0000_s1143" style="position:absolute;left:0;text-align:left;margin-left:41.35pt;margin-top:3.15pt;width:119.3pt;height:85.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" fillcolor="window" strokecolor="windowText" strokeweight="2pt">
                <v:textbox>
                  <w:txbxContent>
                    <w:p w14:paraId="59B9F99D" w14:textId="77777777" w:rsidR="00F25FCF" w:rsidRPr="003B5892" w:rsidRDefault="00F25FCF" w:rsidP="000F5770">
                      <w:pPr>
                        <w:spacing w:after="0" w:line="216" w:lineRule="auto"/>
                        <w:jc w:val="center"/>
                        <w:rPr>
                          <w:rFonts w:ascii="Times New Roman" w:hAnsi="Times New Roman"/>
                          <w:b/>
                          <w:lang w:val="ru-RU"/>
                        </w:rPr>
                      </w:pPr>
                      <w:r w:rsidRPr="003B5892">
                        <w:rPr>
                          <w:rFonts w:ascii="Times New Roman" w:hAnsi="Times New Roman"/>
                          <w:b/>
                          <w:lang w:val="ru-RU"/>
                        </w:rPr>
                        <w:t>Планування:</w:t>
                      </w:r>
                    </w:p>
                    <w:p w14:paraId="4EA9EDDA" w14:textId="77777777" w:rsidR="00F25FCF" w:rsidRPr="003B5892" w:rsidRDefault="00F25FCF" w:rsidP="000F5770">
                      <w:pPr>
                        <w:spacing w:after="0" w:line="216" w:lineRule="auto"/>
                        <w:ind w:left="-57" w:right="-57"/>
                        <w:jc w:val="both"/>
                        <w:rPr>
                          <w:rFonts w:ascii="Times New Roman" w:hAnsi="Times New Roman"/>
                          <w:i/>
                          <w:lang w:val="ru-RU"/>
                        </w:rPr>
                      </w:pPr>
                      <w:r w:rsidRPr="003B5892">
                        <w:rPr>
                          <w:rFonts w:ascii="Times New Roman" w:hAnsi="Times New Roman"/>
                          <w:i/>
                          <w:lang w:val="ru-RU"/>
                        </w:rPr>
                        <w:t>формування тематик НДР;</w:t>
                      </w:r>
                    </w:p>
                    <w:p w14:paraId="68169AA9" w14:textId="77777777" w:rsidR="00F25FCF" w:rsidRPr="003B5892" w:rsidRDefault="00F25FCF" w:rsidP="000F5770">
                      <w:pPr>
                        <w:spacing w:after="0" w:line="216" w:lineRule="auto"/>
                        <w:ind w:left="-57" w:right="-57"/>
                        <w:jc w:val="both"/>
                        <w:rPr>
                          <w:rFonts w:ascii="Times New Roman" w:hAnsi="Times New Roman"/>
                          <w:i/>
                          <w:lang w:val="ru-RU"/>
                        </w:rPr>
                      </w:pPr>
                      <w:r w:rsidRPr="003B5892">
                        <w:rPr>
                          <w:rFonts w:ascii="Times New Roman" w:hAnsi="Times New Roman"/>
                          <w:i/>
                          <w:lang w:val="ru-RU"/>
                        </w:rPr>
                        <w:t>державне оборонне</w:t>
                      </w:r>
                      <w:r w:rsidRPr="003B5892">
                        <w:rPr>
                          <w:lang w:val="ru-RU"/>
                        </w:rPr>
                        <w:t xml:space="preserve"> </w:t>
                      </w:r>
                      <w:r w:rsidRPr="003B5892">
                        <w:rPr>
                          <w:rFonts w:ascii="Times New Roman" w:hAnsi="Times New Roman"/>
                          <w:i/>
                          <w:lang w:val="ru-RU"/>
                        </w:rPr>
                        <w:t xml:space="preserve">замовлення; </w:t>
                      </w:r>
                    </w:p>
                    <w:p w14:paraId="463836C3" w14:textId="77777777" w:rsidR="00F25FCF" w:rsidRDefault="00F25FCF" w:rsidP="000F5770">
                      <w:pPr>
                        <w:spacing w:after="0" w:line="216" w:lineRule="auto"/>
                        <w:ind w:left="-57" w:right="-57"/>
                        <w:jc w:val="both"/>
                      </w:pPr>
                      <w:r w:rsidRPr="00182FBC">
                        <w:rPr>
                          <w:rFonts w:ascii="Times New Roman" w:hAnsi="Times New Roman"/>
                          <w:i/>
                        </w:rPr>
                        <w:t>перспективне</w:t>
                      </w:r>
                      <w:r w:rsidRPr="00182FBC">
                        <w:t xml:space="preserve"> </w:t>
                      </w:r>
                      <w:r w:rsidRPr="00182FBC">
                        <w:rPr>
                          <w:rFonts w:ascii="Times New Roman" w:hAnsi="Times New Roman"/>
                          <w:i/>
                        </w:rPr>
                        <w:t>та поточне планування</w:t>
                      </w:r>
                      <w:r>
                        <w:rPr>
                          <w:rFonts w:ascii="Times New Roman" w:hAnsi="Times New Roman"/>
                          <w:i/>
                        </w:rPr>
                        <w:t>.</w:t>
                      </w:r>
                    </w:p>
                  </w:txbxContent>
                </v:textbox>
              </v:rect>
            </w:pict>
          </mc:Fallback>
        </mc:AlternateContent>
      </w:r>
    </w:p>
    <w:p w14:paraId="12F2B2F4"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Calibri" w:eastAsia="Times New Roman" w:hAnsi="Calibri" w:cs="Times New Roman"/>
          <w:noProof/>
          <w:kern w:val="0"/>
          <w:lang w:val="uk-UA" w:eastAsia="uk-UA"/>
          <w14:ligatures w14:val="none"/>
        </w:rPr>
        <mc:AlternateContent>
          <mc:Choice Requires="wps">
            <w:drawing>
              <wp:anchor distT="0" distB="0" distL="114300" distR="114300" simplePos="0" relativeHeight="251745280" behindDoc="0" locked="0" layoutInCell="0" allowOverlap="1" wp14:anchorId="1D16B5C5" wp14:editId="0B47FE3E">
                <wp:simplePos x="0" y="0"/>
                <wp:positionH relativeFrom="margin">
                  <wp:posOffset>5678805</wp:posOffset>
                </wp:positionH>
                <wp:positionV relativeFrom="margin">
                  <wp:posOffset>7635240</wp:posOffset>
                </wp:positionV>
                <wp:extent cx="931545" cy="670560"/>
                <wp:effectExtent l="0" t="0" r="0" b="0"/>
                <wp:wrapSquare wrapText="bothSides"/>
                <wp:docPr id="1066864351"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1545" cy="670560"/>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14:paraId="231640A7" w14:textId="77777777" w:rsidR="00F25FCF" w:rsidRPr="005A0E7C" w:rsidRDefault="00F25FCF" w:rsidP="000F5770">
                            <w:pPr>
                              <w:pBdr>
                                <w:left w:val="single" w:sz="12" w:space="10" w:color="7BA0CD"/>
                              </w:pBdr>
                              <w:spacing w:after="0" w:line="240" w:lineRule="auto"/>
                              <w:ind w:right="-57"/>
                              <w:jc w:val="center"/>
                              <w:rPr>
                                <w:rFonts w:ascii="Times New Roman" w:hAnsi="Times New Roman"/>
                                <w:iCs/>
                                <w:sz w:val="20"/>
                                <w:szCs w:val="20"/>
                              </w:rPr>
                            </w:pPr>
                            <w:r>
                              <w:rPr>
                                <w:rFonts w:ascii="Times New Roman" w:hAnsi="Times New Roman"/>
                                <w:iCs/>
                                <w:sz w:val="20"/>
                                <w:szCs w:val="20"/>
                              </w:rPr>
                              <w:t>Системи забезпечення</w:t>
                            </w:r>
                          </w:p>
                        </w:txbxContent>
                      </wps:txbx>
                      <wps:bodyPr rot="0" vert="horz" wrap="square" lIns="0" tIns="0" rIns="22860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D16B5C5" id="_x0000_s1144" style="position:absolute;left:0;text-align:left;margin-left:447.15pt;margin-top:601.2pt;width:73.35pt;height:52.8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" o:allowincell="f" filled="f" fillcolor="#4f81bd" stroked="f">
                <v:shadow color="#2f4d71" offset="1pt,1pt"/>
                <v:textbox inset="0,0,18pt,0">
                  <w:txbxContent>
                    <w:p w14:paraId="231640A7" w14:textId="77777777" w:rsidR="00F25FCF" w:rsidRPr="005A0E7C" w:rsidRDefault="00F25FCF" w:rsidP="000F5770">
                      <w:pPr>
                        <w:pBdr>
                          <w:left w:val="single" w:sz="12" w:space="10" w:color="7BA0CD"/>
                        </w:pBdr>
                        <w:spacing w:after="0" w:line="240" w:lineRule="auto"/>
                        <w:ind w:right="-57"/>
                        <w:jc w:val="center"/>
                        <w:rPr>
                          <w:rFonts w:ascii="Times New Roman" w:hAnsi="Times New Roman"/>
                          <w:iCs/>
                          <w:sz w:val="20"/>
                          <w:szCs w:val="20"/>
                        </w:rPr>
                      </w:pPr>
                      <w:r>
                        <w:rPr>
                          <w:rFonts w:ascii="Times New Roman" w:hAnsi="Times New Roman"/>
                          <w:iCs/>
                          <w:sz w:val="20"/>
                          <w:szCs w:val="20"/>
                        </w:rPr>
                        <w:t>Системи забезпечення</w:t>
                      </w:r>
                    </w:p>
                  </w:txbxContent>
                </v:textbox>
                <w10:wrap type="square" anchorx="margin" anchory="margin"/>
              </v:rect>
            </w:pict>
          </mc:Fallback>
        </mc:AlternateContent>
      </w:r>
    </w:p>
    <w:p w14:paraId="03C7FC0F"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2A1D6E84"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46259818"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p>
    <w:p w14:paraId="047A1BAB" w14:textId="77777777" w:rsidR="00D37602" w:rsidRDefault="00D37602" w:rsidP="00023291">
      <w:pPr>
        <w:shd w:val="clear" w:color="auto" w:fill="FFFFFF"/>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uk-UA"/>
          <w14:ligatures w14:val="none"/>
        </w:rPr>
      </w:pPr>
    </w:p>
    <w:p w14:paraId="5B840F30" w14:textId="2A427A8A" w:rsidR="00D37602" w:rsidRDefault="00912982" w:rsidP="00023291">
      <w:pPr>
        <w:shd w:val="clear" w:color="auto" w:fill="FFFFFF"/>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uk-UA"/>
          <w14:ligatures w14:val="none"/>
        </w:rPr>
      </w:pPr>
      <w:r>
        <w:rPr>
          <w:rFonts w:ascii="Times New Roman" w:eastAsia="Times New Roman" w:hAnsi="Times New Roman" w:cs="Times New Roman"/>
          <w:color w:val="000000"/>
          <w:kern w:val="0"/>
          <w:sz w:val="28"/>
          <w:szCs w:val="28"/>
          <w:lang w:val="uk-UA" w:eastAsia="uk-UA"/>
          <w14:ligatures w14:val="none"/>
        </w:rPr>
        <w:t xml:space="preserve">Рис. 3. </w:t>
      </w:r>
      <w:r w:rsidRPr="003B5892">
        <w:rPr>
          <w:rFonts w:ascii="Times New Roman" w:eastAsia="Times New Roman" w:hAnsi="Times New Roman" w:cs="Times New Roman"/>
          <w:iCs/>
          <w:kern w:val="0"/>
          <w:sz w:val="28"/>
          <w:szCs w:val="28"/>
          <w:lang w:val="uk-UA"/>
          <w14:ligatures w14:val="none"/>
        </w:rPr>
        <w:t>С</w:t>
      </w:r>
      <w:r w:rsidRPr="003B5892">
        <w:rPr>
          <w:rFonts w:ascii="Times New Roman" w:eastAsia="Times New Roman" w:hAnsi="Times New Roman" w:cs="Times New Roman"/>
          <w:kern w:val="0"/>
          <w:sz w:val="28"/>
          <w:szCs w:val="28"/>
          <w:lang w:val="uk-UA" w:eastAsia="uk"/>
          <w14:ligatures w14:val="none"/>
        </w:rPr>
        <w:t xml:space="preserve">хема організації взаємодії </w:t>
      </w:r>
      <w:r w:rsidRPr="003B5892">
        <w:rPr>
          <w:rFonts w:ascii="Times New Roman" w:eastAsia="Times New Roman" w:hAnsi="Times New Roman" w:cs="Times New Roman"/>
          <w:kern w:val="0"/>
          <w:sz w:val="28"/>
          <w:szCs w:val="28"/>
          <w:lang w:val="uk-UA"/>
          <w14:ligatures w14:val="none"/>
        </w:rPr>
        <w:t xml:space="preserve">наукових </w:t>
      </w:r>
      <w:r>
        <w:rPr>
          <w:rFonts w:ascii="Times New Roman" w:eastAsia="Times New Roman" w:hAnsi="Times New Roman" w:cs="Times New Roman"/>
          <w:kern w:val="0"/>
          <w:sz w:val="28"/>
          <w:szCs w:val="28"/>
          <w:lang w:val="uk-UA"/>
          <w14:ligatures w14:val="none"/>
        </w:rPr>
        <w:t xml:space="preserve">структурних </w:t>
      </w:r>
      <w:r w:rsidRPr="003B5892">
        <w:rPr>
          <w:rFonts w:ascii="Times New Roman" w:eastAsia="Times New Roman" w:hAnsi="Times New Roman" w:cs="Times New Roman"/>
          <w:kern w:val="0"/>
          <w:sz w:val="28"/>
          <w:szCs w:val="28"/>
          <w:lang w:val="uk-UA"/>
          <w14:ligatures w14:val="none"/>
        </w:rPr>
        <w:t xml:space="preserve">підрозділів </w:t>
      </w:r>
      <w:r w:rsidRPr="003B5892">
        <w:rPr>
          <w:rFonts w:ascii="Times New Roman" w:eastAsia="Times New Roman" w:hAnsi="Times New Roman" w:cs="Times New Roman"/>
          <w:kern w:val="0"/>
          <w:sz w:val="28"/>
          <w:szCs w:val="28"/>
          <w:lang w:val="uk-UA" w:eastAsia="uk"/>
          <w14:ligatures w14:val="none"/>
        </w:rPr>
        <w:t>системи М</w:t>
      </w:r>
      <w:r>
        <w:rPr>
          <w:rFonts w:ascii="Times New Roman" w:eastAsia="Times New Roman" w:hAnsi="Times New Roman" w:cs="Times New Roman"/>
          <w:kern w:val="0"/>
          <w:sz w:val="28"/>
          <w:szCs w:val="28"/>
          <w:lang w:val="uk-UA" w:eastAsia="uk"/>
          <w14:ligatures w14:val="none"/>
        </w:rPr>
        <w:t>О України</w:t>
      </w:r>
      <w:r w:rsidR="00B9741F">
        <w:rPr>
          <w:rFonts w:ascii="Times New Roman" w:eastAsia="Times New Roman" w:hAnsi="Times New Roman" w:cs="Times New Roman"/>
          <w:kern w:val="0"/>
          <w:sz w:val="28"/>
          <w:szCs w:val="28"/>
          <w:lang w:val="uk-UA" w:eastAsia="uk"/>
          <w14:ligatures w14:val="none"/>
        </w:rPr>
        <w:t xml:space="preserve"> </w:t>
      </w:r>
      <w:r w:rsidR="00B9741F" w:rsidRPr="003B5892">
        <w:rPr>
          <w:rStyle w:val="spanrvts0"/>
          <w:sz w:val="28"/>
          <w:szCs w:val="28"/>
          <w:lang w:val="ru-RU" w:eastAsia="uk"/>
        </w:rPr>
        <w:t>в межах єдиного наукового простору (б</w:t>
      </w:r>
      <w:r w:rsidR="00B9741F" w:rsidRPr="003B5892">
        <w:rPr>
          <w:rFonts w:ascii="Times New Roman" w:hAnsi="Times New Roman"/>
          <w:iCs/>
          <w:sz w:val="28"/>
          <w:szCs w:val="28"/>
          <w:lang w:val="ru-RU"/>
        </w:rPr>
        <w:t>лок-діаграма</w:t>
      </w:r>
      <w:r w:rsidR="00B9741F">
        <w:rPr>
          <w:rFonts w:ascii="Times New Roman" w:hAnsi="Times New Roman"/>
          <w:iCs/>
          <w:sz w:val="28"/>
          <w:szCs w:val="28"/>
          <w:lang w:val="ru-RU"/>
        </w:rPr>
        <w:t>)</w:t>
      </w:r>
    </w:p>
    <w:p w14:paraId="28F73A13" w14:textId="77777777" w:rsidR="00912982" w:rsidRDefault="00912982" w:rsidP="00023291">
      <w:pPr>
        <w:shd w:val="clear" w:color="auto" w:fill="FFFFFF"/>
        <w:tabs>
          <w:tab w:val="left" w:pos="9638"/>
        </w:tabs>
        <w:spacing w:after="0" w:line="240" w:lineRule="auto"/>
        <w:jc w:val="both"/>
        <w:rPr>
          <w:rFonts w:ascii="Times New Roman" w:eastAsia="Times New Roman" w:hAnsi="Times New Roman" w:cs="Times New Roman"/>
          <w:color w:val="000000"/>
          <w:kern w:val="0"/>
          <w:sz w:val="28"/>
          <w:szCs w:val="28"/>
          <w:lang w:val="uk-UA" w:eastAsia="uk-UA"/>
          <w14:ligatures w14:val="none"/>
        </w:rPr>
      </w:pPr>
    </w:p>
    <w:p w14:paraId="2F7BBAED" w14:textId="77777777" w:rsidR="00912982" w:rsidRDefault="00912982" w:rsidP="00023291">
      <w:pPr>
        <w:shd w:val="clear" w:color="auto" w:fill="FFFFFF"/>
        <w:tabs>
          <w:tab w:val="left" w:pos="9638"/>
        </w:tabs>
        <w:spacing w:after="0" w:line="240" w:lineRule="auto"/>
        <w:jc w:val="both"/>
        <w:rPr>
          <w:rFonts w:ascii="Times New Roman" w:eastAsia="Times New Roman" w:hAnsi="Times New Roman" w:cs="Times New Roman"/>
          <w:color w:val="000000"/>
          <w:kern w:val="0"/>
          <w:sz w:val="28"/>
          <w:szCs w:val="28"/>
          <w:lang w:val="uk-UA" w:eastAsia="uk-UA"/>
          <w14:ligatures w14:val="none"/>
        </w:rPr>
      </w:pPr>
    </w:p>
    <w:p w14:paraId="067B45E8" w14:textId="0B406438" w:rsidR="000F5770" w:rsidRPr="003B5892" w:rsidRDefault="00D37602" w:rsidP="00023291">
      <w:pPr>
        <w:shd w:val="clear" w:color="auto" w:fill="FFFFFF"/>
        <w:tabs>
          <w:tab w:val="left" w:pos="9638"/>
        </w:tabs>
        <w:spacing w:after="0" w:line="240" w:lineRule="auto"/>
        <w:jc w:val="both"/>
        <w:rPr>
          <w:rFonts w:ascii="Times New Roman" w:eastAsia="Times New Roman" w:hAnsi="Times New Roman" w:cs="Times New Roman"/>
          <w:color w:val="000000"/>
          <w:kern w:val="0"/>
          <w:sz w:val="28"/>
          <w:szCs w:val="28"/>
          <w:lang w:val="uk-UA" w:eastAsia="uk-UA"/>
          <w14:ligatures w14:val="none"/>
        </w:rPr>
      </w:pPr>
      <w:r w:rsidRPr="003B5892">
        <w:rPr>
          <w:rFonts w:ascii="Times New Roman" w:eastAsia="Times New Roman" w:hAnsi="Times New Roman" w:cs="Times New Roman"/>
          <w:color w:val="000000"/>
          <w:kern w:val="0"/>
          <w:sz w:val="28"/>
          <w:szCs w:val="28"/>
          <w:lang w:val="uk-UA" w:eastAsia="uk-UA"/>
          <w14:ligatures w14:val="none"/>
        </w:rPr>
        <w:t xml:space="preserve">України з установами, які здійснюють наукову підтримку інших складових сектору безпеки і оборони, державних органів та їх науковими організаціями. При цьому питання організації такої взаємодії безпосередньо стосуються повноважень </w:t>
      </w:r>
      <w:r w:rsidRPr="003B5892">
        <w:rPr>
          <w:rFonts w:ascii="Times New Roman" w:eastAsia="Times New Roman" w:hAnsi="Times New Roman" w:cs="Times New Roman"/>
          <w:bCs/>
          <w:color w:val="000000"/>
          <w:kern w:val="0"/>
          <w:sz w:val="28"/>
          <w:szCs w:val="28"/>
          <w:lang w:val="uk-UA" w:eastAsia="uk-UA"/>
          <w14:ligatures w14:val="none"/>
        </w:rPr>
        <w:t xml:space="preserve">КМУ, </w:t>
      </w:r>
      <w:r w:rsidRPr="003B5892">
        <w:rPr>
          <w:rFonts w:ascii="Times New Roman" w:eastAsia="Times New Roman" w:hAnsi="Times New Roman" w:cs="Times New Roman"/>
          <w:color w:val="000000"/>
          <w:kern w:val="0"/>
          <w:sz w:val="28"/>
          <w:szCs w:val="28"/>
          <w:lang w:val="uk-UA" w:eastAsia="uk-UA"/>
          <w14:ligatures w14:val="none"/>
        </w:rPr>
        <w:t xml:space="preserve">можливостей і повноважень МОН та інших ЦОВВ, а також НАНУ, Національної ради України з питань розвитку науки і технологій та Національного фонду досліджень України, у тому числі можливостей </w:t>
      </w:r>
      <w:r w:rsidR="000F5770" w:rsidRPr="003B5892">
        <w:rPr>
          <w:rFonts w:ascii="Times New Roman" w:eastAsia="Times New Roman" w:hAnsi="Times New Roman" w:cs="Times New Roman"/>
          <w:color w:val="000000"/>
          <w:kern w:val="0"/>
          <w:sz w:val="28"/>
          <w:szCs w:val="28"/>
          <w:lang w:val="uk-UA" w:eastAsia="uk-UA"/>
          <w14:ligatures w14:val="none"/>
        </w:rPr>
        <w:t>приватного сектору (оборонно-промислового комплексу) для набуття МО України та ЗС України необхідних спроможностей.</w:t>
      </w:r>
    </w:p>
    <w:p w14:paraId="42359B90"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r w:rsidRPr="003B5892">
        <w:rPr>
          <w:rFonts w:ascii="Times New Roman" w:eastAsia="Times New Roman" w:hAnsi="Times New Roman" w:cs="Times New Roman"/>
          <w:color w:val="000000"/>
          <w:kern w:val="0"/>
          <w:sz w:val="28"/>
          <w:szCs w:val="28"/>
          <w:lang w:val="uk-UA" w:eastAsia="uk-UA"/>
          <w14:ligatures w14:val="none"/>
        </w:rPr>
        <w:t>Таким чином, проведення НУ, ВВНЗ, ВНП ЗВО системи МО України  досліджень за напрямами розвитку спроможностей (Єдиний перелік (каталог) спроможностей МО України, ЗСУ та інших складових сил оборони)</w:t>
      </w:r>
      <w:r w:rsidRPr="003B5892">
        <w:rPr>
          <w:rFonts w:ascii="Times New Roman" w:eastAsia="Times New Roman" w:hAnsi="Times New Roman" w:cs="Times New Roman"/>
          <w:color w:val="000000"/>
          <w:spacing w:val="-2"/>
          <w:kern w:val="28"/>
          <w:sz w:val="28"/>
          <w:szCs w:val="28"/>
          <w:lang w:val="uk-UA"/>
          <w14:ligatures w14:val="none"/>
        </w:rPr>
        <w:t xml:space="preserve"> [10], вимагає здійснення </w:t>
      </w:r>
      <w:r w:rsidRPr="003B5892">
        <w:rPr>
          <w:rFonts w:ascii="Times New Roman" w:eastAsia="Times New Roman" w:hAnsi="Times New Roman" w:cs="Times New Roman"/>
          <w:color w:val="000000"/>
          <w:kern w:val="0"/>
          <w:sz w:val="28"/>
          <w:szCs w:val="28"/>
          <w:lang w:val="uk-UA"/>
          <w14:ligatures w14:val="none"/>
        </w:rPr>
        <w:t xml:space="preserve">заходів з прискорення проведення трансформаційних процесів з </w:t>
      </w:r>
      <w:r w:rsidRPr="003B5892">
        <w:rPr>
          <w:rFonts w:ascii="Times New Roman" w:eastAsia="Times New Roman" w:hAnsi="Times New Roman" w:cs="Times New Roman"/>
          <w:color w:val="000000"/>
          <w:kern w:val="0"/>
          <w:sz w:val="28"/>
          <w:szCs w:val="28"/>
          <w:lang w:val="uk-UA" w:eastAsia="uk-UA"/>
          <w14:ligatures w14:val="none"/>
        </w:rPr>
        <w:t xml:space="preserve">подальшого розвитку </w:t>
      </w:r>
      <w:r w:rsidRPr="003B5892">
        <w:rPr>
          <w:rFonts w:ascii="Times New Roman" w:eastAsia="Times New Roman" w:hAnsi="Times New Roman" w:cs="Times New Roman"/>
          <w:color w:val="000000"/>
          <w:kern w:val="0"/>
          <w:sz w:val="28"/>
          <w:szCs w:val="28"/>
          <w:lang w:val="uk-UA" w:eastAsia="uk"/>
          <w14:ligatures w14:val="none"/>
        </w:rPr>
        <w:t xml:space="preserve">системи ННТД </w:t>
      </w:r>
      <w:r w:rsidRPr="003B5892">
        <w:rPr>
          <w:rFonts w:ascii="Times New Roman" w:eastAsia="Times New Roman" w:hAnsi="Times New Roman" w:cs="Times New Roman"/>
          <w:color w:val="000000"/>
          <w:kern w:val="0"/>
          <w:sz w:val="28"/>
          <w:szCs w:val="28"/>
          <w:lang w:val="uk-UA" w:eastAsia="uk-UA"/>
          <w14:ligatures w14:val="none"/>
        </w:rPr>
        <w:t xml:space="preserve">МО України </w:t>
      </w:r>
      <w:r w:rsidRPr="003B5892">
        <w:rPr>
          <w:rFonts w:ascii="Times New Roman" w:eastAsia="Times New Roman" w:hAnsi="Times New Roman" w:cs="Times New Roman"/>
          <w:color w:val="000000"/>
          <w:kern w:val="0"/>
          <w:sz w:val="28"/>
          <w:szCs w:val="28"/>
          <w:lang w:val="uk-UA" w:eastAsia="uk"/>
          <w14:ligatures w14:val="none"/>
        </w:rPr>
        <w:t>щодо визначення</w:t>
      </w:r>
      <w:r w:rsidRPr="003B5892">
        <w:rPr>
          <w:rFonts w:ascii="Times New Roman" w:eastAsia="Times New Roman" w:hAnsi="Times New Roman" w:cs="Times New Roman"/>
          <w:color w:val="000000"/>
          <w:kern w:val="0"/>
          <w:sz w:val="28"/>
          <w:szCs w:val="28"/>
          <w:lang w:val="uk-UA" w:eastAsia="uk-UA"/>
          <w14:ligatures w14:val="none"/>
        </w:rPr>
        <w:t xml:space="preserve"> можливих варіантів створення інтегрованого наукового середовища у системі МО України. Одним із шляхів створення інтегрованого наукового середовища може стати варіант організації поглибленої взаємодії НУ, НП ВВНЗ і НП ВНП ЗВО під час провадження ними ННТД.</w:t>
      </w:r>
      <w:r w:rsidRPr="003B5892">
        <w:rPr>
          <w:rFonts w:ascii="Times New Roman" w:eastAsia="Times New Roman" w:hAnsi="Times New Roman" w:cs="Times New Roman"/>
          <w:color w:val="000000"/>
          <w:kern w:val="0"/>
          <w:sz w:val="28"/>
          <w:szCs w:val="28"/>
          <w:lang w:val="uk-UA"/>
          <w14:ligatures w14:val="none"/>
        </w:rPr>
        <w:t xml:space="preserve"> При цьому слід враховувати, що у загальній системі ННТД </w:t>
      </w:r>
      <w:r w:rsidRPr="003B5892">
        <w:rPr>
          <w:rFonts w:ascii="Times New Roman" w:eastAsia="Times New Roman" w:hAnsi="Times New Roman" w:cs="Times New Roman"/>
          <w:color w:val="000000"/>
          <w:kern w:val="0"/>
          <w:sz w:val="28"/>
          <w:szCs w:val="28"/>
          <w:lang w:val="uk-UA" w:eastAsia="uk-UA"/>
          <w14:ligatures w14:val="none"/>
        </w:rPr>
        <w:t xml:space="preserve">МО України </w:t>
      </w:r>
      <w:r w:rsidRPr="003B5892">
        <w:rPr>
          <w:rFonts w:ascii="Times New Roman" w:eastAsia="Times New Roman" w:hAnsi="Times New Roman" w:cs="Times New Roman"/>
          <w:color w:val="000000"/>
          <w:kern w:val="0"/>
          <w:sz w:val="28"/>
          <w:szCs w:val="28"/>
          <w:lang w:val="uk-UA"/>
          <w14:ligatures w14:val="none"/>
        </w:rPr>
        <w:t xml:space="preserve">кожна НУ та </w:t>
      </w:r>
      <w:r w:rsidRPr="003B5892">
        <w:rPr>
          <w:rFonts w:ascii="Times New Roman" w:eastAsia="Times New Roman" w:hAnsi="Times New Roman" w:cs="Times New Roman"/>
          <w:color w:val="000000"/>
          <w:kern w:val="0"/>
          <w:sz w:val="28"/>
          <w:szCs w:val="28"/>
          <w:shd w:val="clear" w:color="auto" w:fill="FFFFFF"/>
          <w:lang w:val="uk-UA"/>
          <w14:ligatures w14:val="none"/>
        </w:rPr>
        <w:t>ВВНЗ, ВНП ЗВО</w:t>
      </w:r>
      <w:r w:rsidRPr="003B5892">
        <w:rPr>
          <w:rFonts w:ascii="Times New Roman" w:eastAsia="Times New Roman" w:hAnsi="Times New Roman" w:cs="Times New Roman"/>
          <w:color w:val="000000"/>
          <w:kern w:val="0"/>
          <w:sz w:val="28"/>
          <w:szCs w:val="28"/>
          <w:lang w:val="uk-UA"/>
          <w14:ligatures w14:val="none"/>
        </w:rPr>
        <w:t xml:space="preserve"> має свій унікальний науковий потенціал, відповідно до якого було здійснено розподіл основних напрямів наукових досліджень, що обумовило можливості проведення ними досліджень, уникаючи дублювання згідно з визначеними науковими напрямами. </w:t>
      </w:r>
    </w:p>
    <w:p w14:paraId="1D9DCBB1"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uk-UA"/>
          <w14:ligatures w14:val="none"/>
        </w:rPr>
      </w:pPr>
      <w:r w:rsidRPr="003B5892">
        <w:rPr>
          <w:rFonts w:ascii="Times New Roman" w:eastAsia="Times New Roman" w:hAnsi="Times New Roman" w:cs="Times New Roman"/>
          <w:color w:val="000000"/>
          <w:kern w:val="0"/>
          <w:sz w:val="28"/>
          <w:szCs w:val="28"/>
          <w:lang w:val="uk-UA" w:eastAsia="uk-UA"/>
          <w14:ligatures w14:val="none"/>
        </w:rPr>
        <w:t xml:space="preserve">Оновлене </w:t>
      </w:r>
      <w:r w:rsidRPr="003B5892">
        <w:rPr>
          <w:rFonts w:ascii="Times New Roman" w:eastAsia="Times New Roman" w:hAnsi="Times New Roman" w:cs="Times New Roman"/>
          <w:color w:val="000000"/>
          <w:kern w:val="0"/>
          <w:sz w:val="28"/>
          <w:szCs w:val="28"/>
          <w:shd w:val="clear" w:color="auto" w:fill="FFFFFF"/>
          <w:lang w:val="uk-UA"/>
          <w14:ligatures w14:val="none"/>
        </w:rPr>
        <w:t xml:space="preserve">Положення є базовим документом, яким визначається розподіл повноважень між елементами </w:t>
      </w:r>
      <w:r w:rsidRPr="003B5892">
        <w:rPr>
          <w:rFonts w:ascii="Times New Roman" w:eastAsia="Times New Roman" w:hAnsi="Times New Roman" w:cs="Times New Roman"/>
          <w:color w:val="000000"/>
          <w:kern w:val="0"/>
          <w:sz w:val="28"/>
          <w:szCs w:val="28"/>
          <w:lang w:val="uk-UA" w:eastAsia="uk"/>
          <w14:ligatures w14:val="none"/>
        </w:rPr>
        <w:t xml:space="preserve">системи управління ННТД, суб’єктами ННТД </w:t>
      </w:r>
      <w:r w:rsidRPr="003B5892">
        <w:rPr>
          <w:rFonts w:ascii="Times New Roman" w:eastAsia="Times New Roman" w:hAnsi="Times New Roman" w:cs="Times New Roman"/>
          <w:color w:val="000000"/>
          <w:kern w:val="0"/>
          <w:sz w:val="28"/>
          <w:szCs w:val="28"/>
          <w:shd w:val="clear" w:color="auto" w:fill="FFFFFF"/>
          <w:lang w:val="uk-UA"/>
          <w14:ligatures w14:val="none"/>
        </w:rPr>
        <w:t xml:space="preserve">системи </w:t>
      </w:r>
      <w:r w:rsidRPr="003B5892">
        <w:rPr>
          <w:rFonts w:ascii="Times New Roman" w:eastAsia="Times New Roman" w:hAnsi="Times New Roman" w:cs="Times New Roman"/>
          <w:color w:val="000000"/>
          <w:kern w:val="0"/>
          <w:sz w:val="28"/>
          <w:szCs w:val="28"/>
          <w:lang w:val="uk-UA" w:eastAsia="uk-UA"/>
          <w14:ligatures w14:val="none"/>
        </w:rPr>
        <w:t>МО України,</w:t>
      </w:r>
      <w:r w:rsidRPr="003B5892">
        <w:rPr>
          <w:rFonts w:ascii="Times New Roman" w:eastAsia="Times New Roman" w:hAnsi="Times New Roman" w:cs="Times New Roman"/>
          <w:color w:val="000000"/>
          <w:kern w:val="0"/>
          <w:sz w:val="28"/>
          <w:szCs w:val="28"/>
          <w:lang w:val="uk-UA" w:eastAsia="uk"/>
          <w14:ligatures w14:val="none"/>
        </w:rPr>
        <w:t xml:space="preserve"> </w:t>
      </w:r>
      <w:r w:rsidRPr="003B5892">
        <w:rPr>
          <w:rFonts w:ascii="Times New Roman" w:eastAsia="Times New Roman" w:hAnsi="Times New Roman" w:cs="Times New Roman"/>
          <w:color w:val="000000"/>
          <w:kern w:val="0"/>
          <w:sz w:val="28"/>
          <w:szCs w:val="28"/>
          <w:shd w:val="clear" w:color="auto" w:fill="FFFFFF"/>
          <w:lang w:val="uk-UA"/>
          <w14:ligatures w14:val="none"/>
        </w:rPr>
        <w:t xml:space="preserve">з урахуванням </w:t>
      </w:r>
      <w:r w:rsidRPr="003B5892">
        <w:rPr>
          <w:rFonts w:ascii="Times New Roman" w:eastAsia="Times New Roman" w:hAnsi="Times New Roman" w:cs="Times New Roman"/>
          <w:color w:val="000000"/>
          <w:kern w:val="0"/>
          <w:sz w:val="28"/>
          <w:szCs w:val="28"/>
          <w:lang w:val="uk-UA" w:eastAsia="uk"/>
          <w14:ligatures w14:val="none"/>
        </w:rPr>
        <w:t xml:space="preserve">функціонування системи консультативно-дорадчих органів </w:t>
      </w:r>
      <w:r w:rsidRPr="003B5892">
        <w:rPr>
          <w:rFonts w:ascii="Times New Roman" w:eastAsia="Times New Roman" w:hAnsi="Times New Roman" w:cs="Times New Roman"/>
          <w:color w:val="000000"/>
          <w:spacing w:val="-2"/>
          <w:kern w:val="28"/>
          <w:sz w:val="28"/>
          <w:szCs w:val="28"/>
          <w:lang w:val="uk-UA"/>
          <w14:ligatures w14:val="none"/>
        </w:rPr>
        <w:t>[7]</w:t>
      </w:r>
      <w:r w:rsidRPr="003B5892">
        <w:rPr>
          <w:rFonts w:ascii="Times New Roman" w:eastAsia="Times New Roman" w:hAnsi="Times New Roman" w:cs="Times New Roman"/>
          <w:color w:val="000000"/>
          <w:kern w:val="0"/>
          <w:sz w:val="28"/>
          <w:szCs w:val="28"/>
          <w:lang w:val="uk-UA" w:eastAsia="uk"/>
          <w14:ligatures w14:val="none"/>
        </w:rPr>
        <w:t xml:space="preserve">. </w:t>
      </w:r>
      <w:r w:rsidRPr="003B5892">
        <w:rPr>
          <w:rFonts w:ascii="Times New Roman" w:eastAsia="Times New Roman" w:hAnsi="Times New Roman" w:cs="Times New Roman"/>
          <w:color w:val="000000"/>
          <w:kern w:val="0"/>
          <w:sz w:val="28"/>
          <w:szCs w:val="28"/>
          <w:lang w:val="uk-UA" w:eastAsia="uk-UA"/>
          <w14:ligatures w14:val="none"/>
        </w:rPr>
        <w:t xml:space="preserve">Положення уточнює порядок проведення наукової діяльності, де НУ, НП ВВНЗ і НП ВНП ЗВО системи МО України виступають як виконавці, а органи військового управління – як замовники наукової продукції. </w:t>
      </w:r>
    </w:p>
    <w:p w14:paraId="499BF9C0"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r w:rsidRPr="003B5892">
        <w:rPr>
          <w:rFonts w:ascii="Times New Roman" w:eastAsia="Times New Roman" w:hAnsi="Times New Roman" w:cs="Times New Roman"/>
          <w:color w:val="000000"/>
          <w:kern w:val="0"/>
          <w:sz w:val="28"/>
          <w:szCs w:val="28"/>
          <w:lang w:val="uk-UA" w:eastAsia="uk-UA"/>
          <w14:ligatures w14:val="none"/>
        </w:rPr>
        <w:t>Це стає базисом здійснення</w:t>
      </w:r>
      <w:r w:rsidRPr="003B5892">
        <w:rPr>
          <w:rFonts w:ascii="Times New Roman" w:eastAsia="Times New Roman" w:hAnsi="Times New Roman" w:cs="Times New Roman"/>
          <w:color w:val="000000"/>
          <w:kern w:val="0"/>
          <w:sz w:val="28"/>
          <w:szCs w:val="28"/>
          <w:shd w:val="clear" w:color="auto" w:fill="FFFFFF"/>
          <w:lang w:val="uk-UA"/>
          <w14:ligatures w14:val="none"/>
        </w:rPr>
        <w:t xml:space="preserve"> взаємодії між </w:t>
      </w:r>
      <w:r w:rsidRPr="003B5892">
        <w:rPr>
          <w:rFonts w:ascii="Times New Roman" w:eastAsia="Times New Roman" w:hAnsi="Times New Roman" w:cs="Times New Roman"/>
          <w:color w:val="000000"/>
          <w:kern w:val="0"/>
          <w:sz w:val="28"/>
          <w:szCs w:val="28"/>
          <w:lang w:val="uk-UA" w:eastAsia="uk-UA"/>
          <w14:ligatures w14:val="none"/>
        </w:rPr>
        <w:t xml:space="preserve">НУ, НП ВВНЗ і НП ВНП ЗВО сфери управління МО України </w:t>
      </w:r>
      <w:r w:rsidRPr="003B5892">
        <w:rPr>
          <w:rFonts w:ascii="Times New Roman" w:eastAsia="Times New Roman" w:hAnsi="Times New Roman" w:cs="Times New Roman"/>
          <w:color w:val="000000"/>
          <w:kern w:val="0"/>
          <w:sz w:val="28"/>
          <w:szCs w:val="28"/>
          <w:shd w:val="clear" w:color="auto" w:fill="FFFFFF"/>
          <w:lang w:val="uk-UA"/>
          <w14:ligatures w14:val="none"/>
        </w:rPr>
        <w:t xml:space="preserve">при спільному виконанні ними НДДКР, науковому супроводженні зразків ОВТ (товарів оборонного призначення), використанні наукової матеріальної бази та підготовки наукових кадрів, що має стати підґрунтям для створення єдиного наукового простору системи </w:t>
      </w:r>
      <w:r w:rsidRPr="003B5892">
        <w:rPr>
          <w:rFonts w:ascii="Times New Roman" w:eastAsia="Times New Roman" w:hAnsi="Times New Roman" w:cs="Times New Roman"/>
          <w:color w:val="000000"/>
          <w:kern w:val="0"/>
          <w:sz w:val="28"/>
          <w:szCs w:val="28"/>
          <w:lang w:val="uk-UA" w:eastAsia="uk-UA"/>
          <w14:ligatures w14:val="none"/>
        </w:rPr>
        <w:t>МО України</w:t>
      </w:r>
      <w:r w:rsidRPr="003B5892">
        <w:rPr>
          <w:rFonts w:ascii="Times New Roman" w:eastAsia="Times New Roman" w:hAnsi="Times New Roman" w:cs="Times New Roman"/>
          <w:color w:val="000000"/>
          <w:kern w:val="0"/>
          <w:sz w:val="28"/>
          <w:szCs w:val="28"/>
          <w:shd w:val="clear" w:color="auto" w:fill="FFFFFF"/>
          <w:lang w:val="uk-UA"/>
          <w14:ligatures w14:val="none"/>
        </w:rPr>
        <w:t xml:space="preserve">. </w:t>
      </w:r>
      <w:r w:rsidRPr="003B5892">
        <w:rPr>
          <w:rFonts w:ascii="Times New Roman" w:eastAsia="Times New Roman" w:hAnsi="Times New Roman" w:cs="Times New Roman"/>
          <w:color w:val="000000"/>
          <w:kern w:val="0"/>
          <w:sz w:val="28"/>
          <w:szCs w:val="28"/>
          <w:lang w:val="uk-UA" w:eastAsia="uk"/>
          <w14:ligatures w14:val="none"/>
        </w:rPr>
        <w:t xml:space="preserve">Зміст основних положень наказу від 16.07.2024 № 480 дає підстави стверджувати, що створені на цей час передумови для проведення необхідних заходів з утворення </w:t>
      </w:r>
      <w:r w:rsidRPr="003B5892">
        <w:rPr>
          <w:rFonts w:ascii="Times New Roman" w:eastAsia="Times New Roman" w:hAnsi="Times New Roman" w:cs="Times New Roman"/>
          <w:color w:val="000000"/>
          <w:kern w:val="0"/>
          <w:sz w:val="28"/>
          <w:szCs w:val="28"/>
          <w:lang w:val="uk-UA"/>
          <w14:ligatures w14:val="none"/>
        </w:rPr>
        <w:t xml:space="preserve">цілісної системи ННТД </w:t>
      </w:r>
      <w:r w:rsidRPr="003B5892">
        <w:rPr>
          <w:rFonts w:ascii="Times New Roman" w:eastAsia="Times New Roman" w:hAnsi="Times New Roman" w:cs="Times New Roman"/>
          <w:color w:val="000000"/>
          <w:kern w:val="0"/>
          <w:sz w:val="28"/>
          <w:szCs w:val="28"/>
          <w:lang w:val="uk-UA" w:eastAsia="uk-UA"/>
          <w14:ligatures w14:val="none"/>
        </w:rPr>
        <w:t xml:space="preserve">МО України </w:t>
      </w:r>
      <w:r w:rsidRPr="003B5892">
        <w:rPr>
          <w:rFonts w:ascii="Times New Roman" w:eastAsia="Times New Roman" w:hAnsi="Times New Roman" w:cs="Times New Roman"/>
          <w:color w:val="000000"/>
          <w:kern w:val="0"/>
          <w:sz w:val="28"/>
          <w:szCs w:val="28"/>
          <w:lang w:val="uk-UA"/>
          <w14:ligatures w14:val="none"/>
        </w:rPr>
        <w:t xml:space="preserve">– єдиного наукового простору </w:t>
      </w:r>
      <w:r w:rsidRPr="003B5892">
        <w:rPr>
          <w:rFonts w:ascii="Times New Roman" w:eastAsia="Times New Roman" w:hAnsi="Times New Roman" w:cs="Times New Roman"/>
          <w:color w:val="000000"/>
          <w:kern w:val="0"/>
          <w:sz w:val="28"/>
          <w:szCs w:val="28"/>
          <w:lang w:val="uk-UA" w:eastAsia="uk-UA"/>
          <w14:ligatures w14:val="none"/>
        </w:rPr>
        <w:t>для оперативного вирішення нагальних завдань в інтересах наукового забезпечення діяльності МО України та ЗСУ.</w:t>
      </w:r>
    </w:p>
    <w:p w14:paraId="7FC91A48" w14:textId="4376F3D8"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uk-UA"/>
          <w14:ligatures w14:val="none"/>
        </w:rPr>
      </w:pPr>
      <w:r w:rsidRPr="003B5892">
        <w:rPr>
          <w:rFonts w:ascii="Times New Roman" w:eastAsia="Times New Roman" w:hAnsi="Times New Roman" w:cs="Times New Roman"/>
          <w:color w:val="000000"/>
          <w:kern w:val="0"/>
          <w:sz w:val="28"/>
          <w:szCs w:val="28"/>
          <w:shd w:val="clear" w:color="auto" w:fill="FFFFFF"/>
          <w:lang w:val="uk-UA"/>
          <w14:ligatures w14:val="none"/>
        </w:rPr>
        <w:t>Таким чином</w:t>
      </w:r>
      <w:r w:rsidRPr="003B5892">
        <w:rPr>
          <w:rFonts w:ascii="Times New Roman" w:eastAsia="Times New Roman" w:hAnsi="Times New Roman" w:cs="Times New Roman"/>
          <w:color w:val="000000"/>
          <w:kern w:val="0"/>
          <w:sz w:val="28"/>
          <w:szCs w:val="28"/>
          <w:lang w:val="uk-UA" w:eastAsia="uk"/>
          <w14:ligatures w14:val="none"/>
        </w:rPr>
        <w:t xml:space="preserve">, усі суб’єкти ННТД </w:t>
      </w:r>
      <w:r w:rsidRPr="003B5892">
        <w:rPr>
          <w:rFonts w:ascii="Times New Roman" w:eastAsia="Times New Roman" w:hAnsi="Times New Roman" w:cs="Times New Roman"/>
          <w:color w:val="000000"/>
          <w:kern w:val="0"/>
          <w:sz w:val="28"/>
          <w:szCs w:val="28"/>
          <w:lang w:val="uk-UA" w:eastAsia="uk-UA"/>
          <w14:ligatures w14:val="none"/>
        </w:rPr>
        <w:t xml:space="preserve">МО України </w:t>
      </w:r>
      <w:r w:rsidRPr="003B5892">
        <w:rPr>
          <w:rFonts w:ascii="Times New Roman" w:eastAsia="Times New Roman" w:hAnsi="Times New Roman" w:cs="Times New Roman"/>
          <w:color w:val="000000"/>
          <w:kern w:val="0"/>
          <w:sz w:val="28"/>
          <w:szCs w:val="28"/>
          <w:lang w:val="uk-UA" w:eastAsia="uk"/>
          <w14:ligatures w14:val="none"/>
        </w:rPr>
        <w:t xml:space="preserve">мають можливість здійснювати свою діяльність як елементи </w:t>
      </w:r>
      <w:r w:rsidRPr="003B5892">
        <w:rPr>
          <w:rFonts w:ascii="Times New Roman" w:eastAsia="Times New Roman" w:hAnsi="Times New Roman" w:cs="Times New Roman"/>
          <w:color w:val="000000"/>
          <w:kern w:val="0"/>
          <w:sz w:val="28"/>
          <w:szCs w:val="28"/>
          <w:shd w:val="clear" w:color="auto" w:fill="FFFFFF"/>
          <w:lang w:val="uk-UA"/>
          <w14:ligatures w14:val="none"/>
        </w:rPr>
        <w:t xml:space="preserve">єдиного наукового простору, </w:t>
      </w:r>
      <w:r w:rsidRPr="003B5892">
        <w:rPr>
          <w:rFonts w:ascii="Times New Roman" w:eastAsia="Times New Roman" w:hAnsi="Times New Roman" w:cs="Times New Roman"/>
          <w:color w:val="000000"/>
          <w:kern w:val="0"/>
          <w:sz w:val="28"/>
          <w:szCs w:val="28"/>
          <w:shd w:val="clear" w:color="auto" w:fill="FFFFFF"/>
          <w:lang w:val="uk-UA"/>
          <w14:ligatures w14:val="none"/>
        </w:rPr>
        <w:lastRenderedPageBreak/>
        <w:t xml:space="preserve">базуючись на </w:t>
      </w:r>
      <w:r w:rsidRPr="003B5892">
        <w:rPr>
          <w:rFonts w:ascii="Times New Roman" w:eastAsia="Times New Roman" w:hAnsi="Times New Roman" w:cs="Times New Roman"/>
          <w:color w:val="000000"/>
          <w:kern w:val="0"/>
          <w:sz w:val="28"/>
          <w:szCs w:val="28"/>
          <w:lang w:val="uk-UA" w:eastAsia="uk"/>
          <w14:ligatures w14:val="none"/>
        </w:rPr>
        <w:t xml:space="preserve">таких основних принципах побудови </w:t>
      </w:r>
      <w:r w:rsidRPr="003B5892">
        <w:rPr>
          <w:rFonts w:ascii="Times New Roman" w:eastAsia="Times New Roman" w:hAnsi="Times New Roman" w:cs="Times New Roman"/>
          <w:color w:val="000000"/>
          <w:kern w:val="0"/>
          <w:sz w:val="28"/>
          <w:szCs w:val="28"/>
          <w:lang w:val="uk-UA" w:eastAsia="uk-UA"/>
          <w14:ligatures w14:val="none"/>
        </w:rPr>
        <w:t>інтегрованого наукового середовища:</w:t>
      </w:r>
    </w:p>
    <w:p w14:paraId="61022CB2" w14:textId="77777777" w:rsidR="000F5770" w:rsidRPr="007A2780" w:rsidRDefault="000F5770"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shd w:val="clear" w:color="auto" w:fill="FFFFFF"/>
          <w:lang w:val="uk-UA"/>
          <w14:ligatures w14:val="none"/>
        </w:rPr>
      </w:pPr>
      <w:r w:rsidRPr="007A2780">
        <w:rPr>
          <w:rFonts w:ascii="Times New Roman" w:eastAsia="Times New Roman" w:hAnsi="Times New Roman" w:cs="Times New Roman"/>
          <w:color w:val="000000"/>
          <w:kern w:val="0"/>
          <w:sz w:val="28"/>
          <w:szCs w:val="28"/>
          <w:shd w:val="clear" w:color="auto" w:fill="FFFFFF"/>
          <w:lang w:val="uk-UA"/>
          <w14:ligatures w14:val="none"/>
        </w:rPr>
        <w:t xml:space="preserve">єдності наукової політики </w:t>
      </w:r>
      <w:r w:rsidRPr="007A2780">
        <w:rPr>
          <w:rFonts w:ascii="Times New Roman" w:eastAsia="Times New Roman" w:hAnsi="Times New Roman" w:cs="Times New Roman"/>
          <w:color w:val="000000"/>
          <w:kern w:val="0"/>
          <w:sz w:val="28"/>
          <w:szCs w:val="28"/>
          <w:lang w:val="uk-UA" w:eastAsia="uk-UA"/>
          <w14:ligatures w14:val="none"/>
        </w:rPr>
        <w:t xml:space="preserve">МО України </w:t>
      </w:r>
      <w:r w:rsidRPr="007A2780">
        <w:rPr>
          <w:rFonts w:ascii="Times New Roman" w:eastAsia="Times New Roman" w:hAnsi="Times New Roman" w:cs="Times New Roman"/>
          <w:color w:val="000000"/>
          <w:kern w:val="0"/>
          <w:sz w:val="28"/>
          <w:szCs w:val="28"/>
          <w:shd w:val="clear" w:color="auto" w:fill="FFFFFF"/>
          <w:lang w:val="uk-UA"/>
          <w14:ligatures w14:val="none"/>
        </w:rPr>
        <w:t xml:space="preserve">та узгодженому плануванню ННТД (підстава – планувальні документи </w:t>
      </w:r>
      <w:r w:rsidRPr="007A2780">
        <w:rPr>
          <w:rFonts w:ascii="Times New Roman" w:eastAsia="Times New Roman" w:hAnsi="Times New Roman" w:cs="Times New Roman"/>
          <w:color w:val="000000"/>
          <w:kern w:val="0"/>
          <w:sz w:val="28"/>
          <w:szCs w:val="28"/>
          <w:lang w:val="uk-UA" w:eastAsia="uk-UA"/>
          <w14:ligatures w14:val="none"/>
        </w:rPr>
        <w:t>МО України</w:t>
      </w:r>
      <w:r w:rsidRPr="007A2780">
        <w:rPr>
          <w:rFonts w:ascii="Times New Roman" w:eastAsia="Times New Roman" w:hAnsi="Times New Roman" w:cs="Times New Roman"/>
          <w:color w:val="000000"/>
          <w:kern w:val="0"/>
          <w:sz w:val="28"/>
          <w:szCs w:val="28"/>
          <w:shd w:val="clear" w:color="auto" w:fill="FFFFFF"/>
          <w:lang w:val="uk-UA"/>
          <w14:ligatures w14:val="none"/>
        </w:rPr>
        <w:t xml:space="preserve">, ГШ ЗС України, видів, окремих родів військ (сил) ЗС України, </w:t>
      </w:r>
      <w:r w:rsidRPr="007A2780">
        <w:rPr>
          <w:rFonts w:ascii="Times New Roman" w:eastAsia="Times New Roman" w:hAnsi="Times New Roman" w:cs="Times New Roman"/>
          <w:color w:val="001D35"/>
          <w:kern w:val="0"/>
          <w:sz w:val="28"/>
          <w:szCs w:val="28"/>
          <w:shd w:val="clear" w:color="auto" w:fill="FFFFFF"/>
          <w:lang w:val="uk-UA" w:eastAsia="ru-RU"/>
          <w14:ligatures w14:val="none"/>
        </w:rPr>
        <w:t>Державної спеціальної служби транспорту (ДССТ)</w:t>
      </w:r>
      <w:r w:rsidRPr="007A2780">
        <w:rPr>
          <w:rFonts w:ascii="Times New Roman" w:eastAsia="Times New Roman" w:hAnsi="Times New Roman" w:cs="Times New Roman"/>
          <w:color w:val="000000"/>
          <w:kern w:val="0"/>
          <w:sz w:val="28"/>
          <w:szCs w:val="28"/>
          <w:shd w:val="clear" w:color="auto" w:fill="FFFFFF"/>
          <w:lang w:val="uk-UA"/>
          <w14:ligatures w14:val="none"/>
        </w:rPr>
        <w:t>, НУ, ВВНЗ, ВНП ЗВО, тематика наукових досліджень);</w:t>
      </w:r>
    </w:p>
    <w:p w14:paraId="2B79A246" w14:textId="77777777" w:rsidR="000F5770" w:rsidRPr="007A2780" w:rsidRDefault="000F5770"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uk-UA"/>
          <w14:ligatures w14:val="none"/>
        </w:rPr>
      </w:pPr>
      <w:r w:rsidRPr="007A2780">
        <w:rPr>
          <w:rFonts w:ascii="Times New Roman" w:eastAsia="Times New Roman" w:hAnsi="Times New Roman" w:cs="Times New Roman"/>
          <w:bCs/>
          <w:color w:val="000000"/>
          <w:kern w:val="0"/>
          <w:sz w:val="28"/>
          <w:szCs w:val="28"/>
          <w:lang w:val="uk-UA" w:eastAsia="uk"/>
          <w14:ligatures w14:val="none"/>
        </w:rPr>
        <w:t>взаємодії</w:t>
      </w:r>
      <w:r w:rsidRPr="007A2780">
        <w:rPr>
          <w:rFonts w:ascii="Times New Roman" w:eastAsia="Times New Roman" w:hAnsi="Times New Roman" w:cs="Times New Roman"/>
          <w:color w:val="000000"/>
          <w:kern w:val="0"/>
          <w:sz w:val="28"/>
          <w:szCs w:val="28"/>
          <w:lang w:val="uk-UA" w:eastAsia="uk"/>
          <w14:ligatures w14:val="none"/>
        </w:rPr>
        <w:t xml:space="preserve"> між </w:t>
      </w:r>
      <w:r w:rsidRPr="007A2780">
        <w:rPr>
          <w:rFonts w:ascii="Times New Roman" w:eastAsia="Times New Roman" w:hAnsi="Times New Roman" w:cs="Times New Roman"/>
          <w:color w:val="000000"/>
          <w:kern w:val="0"/>
          <w:sz w:val="28"/>
          <w:szCs w:val="28"/>
          <w:shd w:val="clear" w:color="auto" w:fill="FFFFFF"/>
          <w:lang w:val="uk-UA"/>
          <w14:ligatures w14:val="none"/>
        </w:rPr>
        <w:t xml:space="preserve">НУ, ВВНЗ, ВНП ЗВО </w:t>
      </w:r>
      <w:r w:rsidRPr="007A2780">
        <w:rPr>
          <w:rFonts w:ascii="Times New Roman" w:eastAsia="Times New Roman" w:hAnsi="Times New Roman" w:cs="Times New Roman"/>
          <w:color w:val="000000"/>
          <w:kern w:val="0"/>
          <w:sz w:val="28"/>
          <w:szCs w:val="28"/>
          <w:lang w:val="uk-UA" w:eastAsia="uk"/>
          <w14:ligatures w14:val="none"/>
        </w:rPr>
        <w:t xml:space="preserve">під час </w:t>
      </w:r>
      <w:r w:rsidRPr="007A2780">
        <w:rPr>
          <w:rFonts w:ascii="Times New Roman" w:eastAsia="Times New Roman" w:hAnsi="Times New Roman" w:cs="Times New Roman"/>
          <w:color w:val="000000"/>
          <w:kern w:val="0"/>
          <w:sz w:val="28"/>
          <w:szCs w:val="28"/>
          <w:shd w:val="clear" w:color="auto" w:fill="FFFFFF"/>
          <w:lang w:val="uk-UA"/>
          <w14:ligatures w14:val="none"/>
        </w:rPr>
        <w:t xml:space="preserve">проведення ними досліджень </w:t>
      </w:r>
      <w:r w:rsidRPr="007A2780">
        <w:rPr>
          <w:rFonts w:ascii="Times New Roman" w:eastAsia="Times New Roman" w:hAnsi="Times New Roman" w:cs="Times New Roman"/>
          <w:color w:val="000000"/>
          <w:kern w:val="0"/>
          <w:sz w:val="28"/>
          <w:szCs w:val="28"/>
          <w:lang w:val="uk-UA" w:eastAsia="uk"/>
          <w14:ligatures w14:val="none"/>
        </w:rPr>
        <w:t xml:space="preserve">в інтересах замовника та споживача, з урахування забезпечення недопущення </w:t>
      </w:r>
      <w:r w:rsidRPr="007A2780">
        <w:rPr>
          <w:rFonts w:ascii="Times New Roman" w:eastAsia="Times New Roman" w:hAnsi="Times New Roman" w:cs="Times New Roman"/>
          <w:bCs/>
          <w:color w:val="000000"/>
          <w:kern w:val="0"/>
          <w:sz w:val="28"/>
          <w:szCs w:val="28"/>
          <w:lang w:val="uk-UA" w:eastAsia="uk"/>
          <w14:ligatures w14:val="none"/>
        </w:rPr>
        <w:t>дублювання</w:t>
      </w:r>
      <w:r w:rsidRPr="007A2780">
        <w:rPr>
          <w:rFonts w:ascii="Times New Roman" w:eastAsia="Times New Roman" w:hAnsi="Times New Roman" w:cs="Times New Roman"/>
          <w:color w:val="000000"/>
          <w:kern w:val="0"/>
          <w:sz w:val="28"/>
          <w:szCs w:val="28"/>
          <w:lang w:val="uk-UA" w:eastAsia="uk"/>
          <w14:ligatures w14:val="none"/>
        </w:rPr>
        <w:t xml:space="preserve"> завдань;</w:t>
      </w:r>
    </w:p>
    <w:p w14:paraId="745329B3" w14:textId="77777777" w:rsidR="000F5770" w:rsidRPr="007A2780" w:rsidRDefault="000F5770"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shd w:val="clear" w:color="auto" w:fill="FFFFFF"/>
          <w:lang w:val="uk-UA"/>
          <w14:ligatures w14:val="none"/>
        </w:rPr>
      </w:pPr>
      <w:r w:rsidRPr="007A2780">
        <w:rPr>
          <w:rFonts w:ascii="Times New Roman" w:eastAsia="Times New Roman" w:hAnsi="Times New Roman" w:cs="Times New Roman"/>
          <w:color w:val="000000"/>
          <w:kern w:val="0"/>
          <w:sz w:val="28"/>
          <w:szCs w:val="28"/>
          <w:lang w:val="uk-UA" w:eastAsia="uk"/>
          <w14:ligatures w14:val="none"/>
        </w:rPr>
        <w:t>раціонального розподілу і використання наукового потенціалу і ресурсів, забезпечення обміном інформацією з питань, що досліджуються виконавцями та співвиконавцями;</w:t>
      </w:r>
    </w:p>
    <w:p w14:paraId="3573A2CD" w14:textId="77777777" w:rsidR="000F5770" w:rsidRPr="007A2780" w:rsidRDefault="000F5770"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shd w:val="clear" w:color="auto" w:fill="FFFFFF"/>
          <w:lang w:val="uk-UA"/>
          <w14:ligatures w14:val="none"/>
        </w:rPr>
      </w:pPr>
      <w:r w:rsidRPr="007A2780">
        <w:rPr>
          <w:rFonts w:ascii="Times New Roman" w:eastAsia="Times New Roman" w:hAnsi="Times New Roman" w:cs="Times New Roman"/>
          <w:color w:val="000000"/>
          <w:kern w:val="0"/>
          <w:sz w:val="28"/>
          <w:szCs w:val="28"/>
          <w:shd w:val="clear" w:color="auto" w:fill="FFFFFF"/>
          <w:lang w:val="uk-UA"/>
          <w14:ligatures w14:val="none"/>
        </w:rPr>
        <w:t xml:space="preserve">орієнтації на </w:t>
      </w:r>
      <w:r w:rsidRPr="007A2780">
        <w:rPr>
          <w:rFonts w:ascii="Times New Roman" w:eastAsia="Times New Roman" w:hAnsi="Times New Roman" w:cs="Times New Roman"/>
          <w:color w:val="000000"/>
          <w:kern w:val="0"/>
          <w:sz w:val="28"/>
          <w:szCs w:val="28"/>
          <w:lang w:val="uk-UA" w:eastAsia="uk"/>
          <w14:ligatures w14:val="none"/>
        </w:rPr>
        <w:t>задоволення невідкладних потреб замовника при створенні необхідної наукової (науково-технічної) продукції та суб’єктів наукової діяльності;</w:t>
      </w:r>
    </w:p>
    <w:p w14:paraId="3039662B" w14:textId="77777777" w:rsidR="000F5770" w:rsidRPr="007A2780" w:rsidRDefault="000F5770"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shd w:val="clear" w:color="auto" w:fill="FFFFFF"/>
          <w:lang w:val="uk-UA"/>
          <w14:ligatures w14:val="none"/>
        </w:rPr>
      </w:pPr>
      <w:r w:rsidRPr="007A2780">
        <w:rPr>
          <w:rFonts w:ascii="Times New Roman" w:eastAsia="Times New Roman" w:hAnsi="Times New Roman" w:cs="Times New Roman"/>
          <w:color w:val="000000"/>
          <w:kern w:val="0"/>
          <w:sz w:val="28"/>
          <w:szCs w:val="28"/>
          <w:shd w:val="clear" w:color="auto" w:fill="FFFFFF"/>
          <w:lang w:val="uk-UA"/>
          <w14:ligatures w14:val="none"/>
        </w:rPr>
        <w:t xml:space="preserve">інтеграції освіти і науки при проведенні </w:t>
      </w:r>
      <w:r w:rsidRPr="007A2780">
        <w:rPr>
          <w:rFonts w:ascii="Times New Roman" w:eastAsia="Times New Roman" w:hAnsi="Times New Roman" w:cs="Times New Roman"/>
          <w:color w:val="000000"/>
          <w:kern w:val="0"/>
          <w:sz w:val="28"/>
          <w:szCs w:val="28"/>
          <w:lang w:val="uk-UA" w:eastAsia="uk"/>
          <w14:ligatures w14:val="none"/>
        </w:rPr>
        <w:t xml:space="preserve">суб’єктами наукової діяльності </w:t>
      </w:r>
      <w:r w:rsidRPr="007A2780">
        <w:rPr>
          <w:rFonts w:ascii="Times New Roman" w:eastAsia="Times New Roman" w:hAnsi="Times New Roman" w:cs="Times New Roman"/>
          <w:color w:val="000000"/>
          <w:kern w:val="0"/>
          <w:sz w:val="28"/>
          <w:szCs w:val="28"/>
          <w:shd w:val="clear" w:color="auto" w:fill="FFFFFF"/>
          <w:lang w:val="uk-UA"/>
          <w14:ligatures w14:val="none"/>
        </w:rPr>
        <w:t>досліджень прикладного характеру та оцінці їх результатів.</w:t>
      </w:r>
    </w:p>
    <w:p w14:paraId="25115557" w14:textId="77777777" w:rsidR="000F5770" w:rsidRPr="003B5892" w:rsidRDefault="000F5770" w:rsidP="00023291">
      <w:pPr>
        <w:tabs>
          <w:tab w:val="left" w:pos="9638"/>
        </w:tabs>
        <w:spacing w:after="0" w:line="240" w:lineRule="auto"/>
        <w:ind w:firstLine="709"/>
        <w:jc w:val="both"/>
        <w:rPr>
          <w:rFonts w:ascii="Calibri" w:eastAsia="Times New Roman" w:hAnsi="Calibri" w:cs="Times New Roman"/>
          <w:color w:val="000000"/>
          <w:kern w:val="0"/>
          <w:shd w:val="clear" w:color="auto" w:fill="FFFFFF"/>
          <w:lang w:val="uk-UA"/>
          <w14:ligatures w14:val="none"/>
        </w:rPr>
      </w:pPr>
      <w:r w:rsidRPr="007A2780">
        <w:rPr>
          <w:rFonts w:ascii="Times New Roman" w:eastAsia="Times New Roman" w:hAnsi="Times New Roman" w:cs="Times New Roman"/>
          <w:color w:val="000000"/>
          <w:kern w:val="0"/>
          <w:sz w:val="28"/>
          <w:szCs w:val="28"/>
          <w:lang w:val="uk-UA" w:eastAsia="uk"/>
          <w14:ligatures w14:val="none"/>
        </w:rPr>
        <w:t xml:space="preserve">Наказом </w:t>
      </w:r>
      <w:r w:rsidRPr="007A2780">
        <w:rPr>
          <w:rFonts w:ascii="Times New Roman" w:eastAsia="Times New Roman" w:hAnsi="Times New Roman" w:cs="Times New Roman"/>
          <w:color w:val="000000"/>
          <w:kern w:val="0"/>
          <w:sz w:val="28"/>
          <w:szCs w:val="28"/>
          <w:lang w:val="uk-UA" w:eastAsia="uk-UA"/>
          <w14:ligatures w14:val="none"/>
        </w:rPr>
        <w:t>МО України</w:t>
      </w:r>
      <w:r w:rsidRPr="007A2780">
        <w:rPr>
          <w:rFonts w:ascii="Times New Roman" w:eastAsia="Times New Roman" w:hAnsi="Times New Roman" w:cs="Times New Roman"/>
          <w:color w:val="000000"/>
          <w:kern w:val="0"/>
          <w:sz w:val="28"/>
          <w:szCs w:val="28"/>
          <w:lang w:val="uk-UA" w:eastAsia="uk"/>
          <w14:ligatures w14:val="none"/>
        </w:rPr>
        <w:t xml:space="preserve"> від 16.07.2024 № 480 передбачено створення тимчасових науково-дослідних підрозділів (відділення, лабораторії, групи, трудові колективи) </w:t>
      </w:r>
      <w:r w:rsidRPr="007A2780">
        <w:rPr>
          <w:rFonts w:ascii="Times New Roman" w:eastAsia="Times New Roman" w:hAnsi="Times New Roman" w:cs="Times New Roman"/>
          <w:color w:val="000000"/>
          <w:spacing w:val="-2"/>
          <w:kern w:val="28"/>
          <w:sz w:val="28"/>
          <w:szCs w:val="28"/>
          <w:lang w:val="uk-UA"/>
          <w14:ligatures w14:val="none"/>
        </w:rPr>
        <w:t>[7]</w:t>
      </w:r>
      <w:r w:rsidRPr="007A2780">
        <w:rPr>
          <w:rFonts w:ascii="Times New Roman" w:eastAsia="Times New Roman" w:hAnsi="Times New Roman" w:cs="Times New Roman"/>
          <w:color w:val="000000"/>
          <w:kern w:val="0"/>
          <w:sz w:val="28"/>
          <w:szCs w:val="28"/>
          <w:lang w:val="uk-UA" w:eastAsia="uk"/>
          <w14:ligatures w14:val="none"/>
        </w:rPr>
        <w:t xml:space="preserve">. Формувати такі підрозділи доцільно при виконанні конкретних актуальних НДДКР або програм. При здійсненні таких досліджень до їх складу (тимчасових науково-дослідних підрозділів) крім представників НУ, ВВНЗ (ВНП ЗВО) доречно включення також фахівців з військ </w:t>
      </w:r>
      <w:r w:rsidRPr="003B5892">
        <w:rPr>
          <w:rFonts w:ascii="Times New Roman" w:eastAsia="Times New Roman" w:hAnsi="Times New Roman" w:cs="Times New Roman"/>
          <w:color w:val="000000"/>
          <w:kern w:val="0"/>
          <w:sz w:val="28"/>
          <w:szCs w:val="28"/>
          <w:lang w:val="uk-UA" w:eastAsia="uk"/>
          <w14:ligatures w14:val="none"/>
        </w:rPr>
        <w:t>(військовослужбовці ЗС України та ДССТ). Включення фахівців з військ має сприяти продуктивності цих досліджень. Це дозволить отримати е</w:t>
      </w:r>
      <w:r w:rsidRPr="003B5892">
        <w:rPr>
          <w:rFonts w:ascii="Times New Roman" w:eastAsia="Times New Roman" w:hAnsi="Times New Roman" w:cs="Times New Roman"/>
          <w:color w:val="000000"/>
          <w:kern w:val="0"/>
          <w:sz w:val="28"/>
          <w:szCs w:val="28"/>
          <w:shd w:val="clear" w:color="auto" w:fill="FFFFFF"/>
          <w:lang w:val="uk-UA"/>
          <w14:ligatures w14:val="none"/>
        </w:rPr>
        <w:t>фект від концентрації потрібних компетенцій та скорочення часу на розробку</w:t>
      </w:r>
      <w:r w:rsidRPr="003B5892">
        <w:rPr>
          <w:rFonts w:ascii="Times New Roman" w:eastAsia="Times New Roman" w:hAnsi="Times New Roman" w:cs="Times New Roman"/>
          <w:color w:val="000000"/>
          <w:kern w:val="0"/>
          <w:sz w:val="28"/>
          <w:szCs w:val="28"/>
          <w:lang w:val="uk-UA" w:eastAsia="uk"/>
          <w14:ligatures w14:val="none"/>
        </w:rPr>
        <w:t xml:space="preserve"> актуальних НДДКР або програм.</w:t>
      </w:r>
    </w:p>
    <w:p w14:paraId="2503BCA7"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uk"/>
          <w14:ligatures w14:val="none"/>
        </w:rPr>
      </w:pPr>
      <w:r w:rsidRPr="003B5892">
        <w:rPr>
          <w:rFonts w:ascii="Times New Roman" w:eastAsia="Times New Roman" w:hAnsi="Times New Roman" w:cs="Times New Roman"/>
          <w:color w:val="000000"/>
          <w:kern w:val="0"/>
          <w:sz w:val="28"/>
          <w:szCs w:val="28"/>
          <w:shd w:val="clear" w:color="auto" w:fill="FFFFFF"/>
          <w:lang w:val="uk-UA"/>
          <w14:ligatures w14:val="none"/>
        </w:rPr>
        <w:t xml:space="preserve">Інтеграція освіти і науки при проведенні спільних досліджень прикладного характеру має сприяти </w:t>
      </w:r>
      <w:r w:rsidRPr="003B5892">
        <w:rPr>
          <w:rFonts w:ascii="Times New Roman" w:eastAsia="Times New Roman" w:hAnsi="Times New Roman" w:cs="Times New Roman"/>
          <w:color w:val="000000"/>
          <w:kern w:val="0"/>
          <w:sz w:val="28"/>
          <w:szCs w:val="28"/>
          <w:lang w:val="uk-UA" w:eastAsia="uk"/>
          <w14:ligatures w14:val="none"/>
        </w:rPr>
        <w:t xml:space="preserve">можливості підготовки ад’юнктів і докторантів на базі кількох організацій, включенню тематики дисертацій ад’юнктів і докторантів у державні оборонні програми. Їх залучення до участі у виконання актуальних для </w:t>
      </w:r>
      <w:r w:rsidRPr="003B5892">
        <w:rPr>
          <w:rFonts w:ascii="Times New Roman" w:eastAsia="Times New Roman" w:hAnsi="Times New Roman" w:cs="Times New Roman"/>
          <w:color w:val="000000"/>
          <w:kern w:val="0"/>
          <w:sz w:val="28"/>
          <w:szCs w:val="28"/>
          <w:lang w:val="uk-UA" w:eastAsia="uk-UA"/>
          <w14:ligatures w14:val="none"/>
        </w:rPr>
        <w:t>МО України</w:t>
      </w:r>
      <w:r w:rsidRPr="003B5892">
        <w:rPr>
          <w:rFonts w:ascii="Times New Roman" w:eastAsia="Times New Roman" w:hAnsi="Times New Roman" w:cs="Times New Roman"/>
          <w:color w:val="000000"/>
          <w:kern w:val="0"/>
          <w:sz w:val="28"/>
          <w:szCs w:val="28"/>
          <w:lang w:val="uk-UA" w:eastAsia="uk"/>
          <w14:ligatures w14:val="none"/>
        </w:rPr>
        <w:t xml:space="preserve"> та ЗС України НДДКР надасть здобувачам наукового ступеню можливість доступу до лабораторної та полігонної бази інших установ. Таким чином, НУ, ВВНЗ (ВНП ЗВО) отримають можливість здійснювати підготовку наукових і науково-педагогічних кадрів, які вже інтегровані в реальні дослідницькі проекти та програми.</w:t>
      </w:r>
    </w:p>
    <w:p w14:paraId="1B69288A"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uk"/>
          <w14:ligatures w14:val="none"/>
        </w:rPr>
      </w:pPr>
      <w:r w:rsidRPr="003B5892">
        <w:rPr>
          <w:rFonts w:ascii="Times New Roman" w:eastAsia="Times New Roman" w:hAnsi="Times New Roman" w:cs="Times New Roman"/>
          <w:color w:val="000000"/>
          <w:kern w:val="0"/>
          <w:sz w:val="28"/>
          <w:szCs w:val="28"/>
          <w:lang w:val="uk-UA" w:eastAsia="uk"/>
          <w14:ligatures w14:val="none"/>
        </w:rPr>
        <w:t xml:space="preserve">Крім того, Положенням передбачається формування розширеної системи проведення експертиз під час провадження ННТД, яка включає: наукову, науково-технічну, військово-прикладну, науково-лінгвістичну експертизи тощо </w:t>
      </w:r>
      <w:r w:rsidRPr="003B5892">
        <w:rPr>
          <w:rFonts w:ascii="Times New Roman" w:eastAsia="Times New Roman" w:hAnsi="Times New Roman" w:cs="Times New Roman"/>
          <w:color w:val="000000"/>
          <w:spacing w:val="-2"/>
          <w:kern w:val="28"/>
          <w:sz w:val="28"/>
          <w:szCs w:val="28"/>
          <w:lang w:val="uk-UA"/>
          <w14:ligatures w14:val="none"/>
        </w:rPr>
        <w:t>[7]</w:t>
      </w:r>
      <w:r w:rsidRPr="003B5892">
        <w:rPr>
          <w:rFonts w:ascii="Times New Roman" w:eastAsia="Times New Roman" w:hAnsi="Times New Roman" w:cs="Times New Roman"/>
          <w:color w:val="000000"/>
          <w:kern w:val="0"/>
          <w:sz w:val="28"/>
          <w:szCs w:val="28"/>
          <w:lang w:val="uk-UA" w:eastAsia="uk"/>
          <w14:ligatures w14:val="none"/>
        </w:rPr>
        <w:t>. Для проведення експертиз можуть бути залучені незалежні фахівці з інших НУ та ВВНЗ (ВНП ЗВО). З метою підвищення якості висновків експертизи та зниження ризику відомчої упередженості передбачається можливість використання колегіальних механізмів ухвалення рішень.</w:t>
      </w:r>
    </w:p>
    <w:p w14:paraId="2C44EFC1"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uk"/>
          <w14:ligatures w14:val="none"/>
        </w:rPr>
      </w:pPr>
      <w:r w:rsidRPr="003B5892">
        <w:rPr>
          <w:rFonts w:ascii="Times New Roman" w:eastAsia="Times New Roman" w:hAnsi="Times New Roman" w:cs="Times New Roman"/>
          <w:kern w:val="0"/>
          <w:sz w:val="28"/>
          <w:szCs w:val="28"/>
          <w:lang w:val="uk-UA" w:eastAsia="uk"/>
          <w14:ligatures w14:val="none"/>
        </w:rPr>
        <w:lastRenderedPageBreak/>
        <w:t xml:space="preserve">Таким чином, впровадження оновленого Положення дозволило не тільки спростити бюрократичні процедури організації ННТД, але й удосконалити правове поле для проведення спільних досліджень </w:t>
      </w:r>
      <w:r w:rsidRPr="003B5892">
        <w:rPr>
          <w:rFonts w:ascii="Times New Roman" w:eastAsia="Times New Roman" w:hAnsi="Times New Roman" w:cs="Times New Roman"/>
          <w:color w:val="0A0A0A"/>
          <w:kern w:val="0"/>
          <w:sz w:val="28"/>
          <w:szCs w:val="28"/>
          <w:lang w:val="uk-UA" w:eastAsia="uk-UA"/>
          <w14:ligatures w14:val="none"/>
        </w:rPr>
        <w:t xml:space="preserve">НУ, НП ВВНЗ і НП ВНП ЗВО системи </w:t>
      </w:r>
      <w:r w:rsidRPr="003B5892">
        <w:rPr>
          <w:rFonts w:ascii="Times New Roman" w:eastAsia="Times New Roman" w:hAnsi="Times New Roman" w:cs="Times New Roman"/>
          <w:color w:val="000000"/>
          <w:kern w:val="0"/>
          <w:sz w:val="28"/>
          <w:szCs w:val="28"/>
          <w:lang w:val="uk-UA" w:eastAsia="uk-UA"/>
          <w14:ligatures w14:val="none"/>
        </w:rPr>
        <w:t>МО України</w:t>
      </w:r>
      <w:r w:rsidRPr="003B5892">
        <w:rPr>
          <w:rFonts w:ascii="Times New Roman" w:eastAsia="Times New Roman" w:hAnsi="Times New Roman" w:cs="Times New Roman"/>
          <w:color w:val="000000"/>
          <w:kern w:val="0"/>
          <w:sz w:val="28"/>
          <w:szCs w:val="28"/>
          <w:lang w:val="uk-UA" w:eastAsia="uk"/>
          <w14:ligatures w14:val="none"/>
        </w:rPr>
        <w:t>.</w:t>
      </w:r>
    </w:p>
    <w:p w14:paraId="6BAE8CBD"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uk"/>
          <w14:ligatures w14:val="none"/>
        </w:rPr>
      </w:pPr>
      <w:r w:rsidRPr="003B5892">
        <w:rPr>
          <w:rFonts w:ascii="Times New Roman" w:eastAsia="Times New Roman" w:hAnsi="Times New Roman" w:cs="Times New Roman"/>
          <w:kern w:val="0"/>
          <w:sz w:val="28"/>
          <w:szCs w:val="28"/>
          <w:lang w:val="uk-UA" w:eastAsia="uk"/>
          <w14:ligatures w14:val="none"/>
        </w:rPr>
        <w:t xml:space="preserve">З огляду на викладене, з урахуванням вимог Положення </w:t>
      </w:r>
      <w:r w:rsidRPr="003B5892">
        <w:rPr>
          <w:rFonts w:ascii="Times New Roman" w:eastAsia="Times New Roman" w:hAnsi="Times New Roman" w:cs="Times New Roman"/>
          <w:color w:val="000000"/>
          <w:kern w:val="0"/>
          <w:sz w:val="28"/>
          <w:szCs w:val="28"/>
          <w:lang w:val="uk-UA" w:eastAsia="uk"/>
          <w14:ligatures w14:val="none"/>
        </w:rPr>
        <w:t xml:space="preserve">пропонується </w:t>
      </w:r>
      <w:r w:rsidRPr="003B5892">
        <w:rPr>
          <w:rFonts w:ascii="Times New Roman" w:eastAsia="Times New Roman" w:hAnsi="Times New Roman" w:cs="Times New Roman"/>
          <w:kern w:val="0"/>
          <w:sz w:val="28"/>
          <w:szCs w:val="28"/>
          <w:lang w:val="uk-UA" w:eastAsia="uk"/>
          <w14:ligatures w14:val="none"/>
        </w:rPr>
        <w:t xml:space="preserve">окреслити концептуальну рамку функціонування єдиного наукового простору системи </w:t>
      </w:r>
      <w:r w:rsidRPr="003B5892">
        <w:rPr>
          <w:rFonts w:ascii="Times New Roman" w:eastAsia="Times New Roman" w:hAnsi="Times New Roman" w:cs="Times New Roman"/>
          <w:color w:val="000000"/>
          <w:kern w:val="0"/>
          <w:sz w:val="28"/>
          <w:szCs w:val="28"/>
          <w:lang w:val="uk-UA" w:eastAsia="uk-UA"/>
          <w14:ligatures w14:val="none"/>
        </w:rPr>
        <w:t>МО України</w:t>
      </w:r>
      <w:r w:rsidRPr="003B5892">
        <w:rPr>
          <w:rFonts w:ascii="Times New Roman" w:eastAsia="Times New Roman" w:hAnsi="Times New Roman" w:cs="Times New Roman"/>
          <w:kern w:val="0"/>
          <w:sz w:val="28"/>
          <w:szCs w:val="28"/>
          <w:lang w:val="uk-UA" w:eastAsia="uk"/>
          <w14:ligatures w14:val="none"/>
        </w:rPr>
        <w:t xml:space="preserve">, в межах якого </w:t>
      </w:r>
      <w:r w:rsidRPr="003B5892">
        <w:rPr>
          <w:rFonts w:ascii="Times New Roman" w:eastAsia="Times New Roman" w:hAnsi="Times New Roman" w:cs="Times New Roman"/>
          <w:color w:val="0A0A0A"/>
          <w:kern w:val="0"/>
          <w:sz w:val="28"/>
          <w:szCs w:val="28"/>
          <w:lang w:val="uk-UA" w:eastAsia="uk-UA"/>
          <w14:ligatures w14:val="none"/>
        </w:rPr>
        <w:t>НУ, НП ВВНЗ і НП ВНП ЗВО</w:t>
      </w:r>
      <w:r w:rsidRPr="003B5892">
        <w:rPr>
          <w:rFonts w:ascii="Times New Roman" w:eastAsia="Times New Roman" w:hAnsi="Times New Roman" w:cs="Times New Roman"/>
          <w:kern w:val="0"/>
          <w:sz w:val="28"/>
          <w:szCs w:val="28"/>
          <w:lang w:val="uk-UA" w:eastAsia="uk"/>
          <w14:ligatures w14:val="none"/>
        </w:rPr>
        <w:t xml:space="preserve"> взаємодіють як інтегрована система. Згідно з існуючими положеннями наказу </w:t>
      </w:r>
      <w:r w:rsidRPr="003B5892">
        <w:rPr>
          <w:rFonts w:ascii="Times New Roman" w:eastAsia="Times New Roman" w:hAnsi="Times New Roman" w:cs="Times New Roman"/>
          <w:color w:val="000000"/>
          <w:kern w:val="0"/>
          <w:sz w:val="28"/>
          <w:szCs w:val="28"/>
          <w:lang w:val="uk-UA" w:eastAsia="uk-UA"/>
          <w14:ligatures w14:val="none"/>
        </w:rPr>
        <w:t xml:space="preserve">МО України </w:t>
      </w:r>
      <w:r w:rsidRPr="003B5892">
        <w:rPr>
          <w:rFonts w:ascii="Times New Roman" w:eastAsia="Times New Roman" w:hAnsi="Times New Roman" w:cs="Times New Roman"/>
          <w:kern w:val="0"/>
          <w:sz w:val="28"/>
          <w:szCs w:val="28"/>
          <w:lang w:val="uk-UA" w:eastAsia="uk"/>
          <w14:ligatures w14:val="none"/>
        </w:rPr>
        <w:t xml:space="preserve">від 16.07.2024 № 480 на рисунку 3 структурно представлена схема організації взаємодії </w:t>
      </w:r>
      <w:r w:rsidRPr="003B5892">
        <w:rPr>
          <w:rFonts w:ascii="Times New Roman" w:eastAsia="Times New Roman" w:hAnsi="Times New Roman" w:cs="Times New Roman"/>
          <w:color w:val="0A0A0A"/>
          <w:kern w:val="0"/>
          <w:sz w:val="28"/>
          <w:szCs w:val="28"/>
          <w:lang w:val="uk-UA" w:eastAsia="uk-UA"/>
          <w14:ligatures w14:val="none"/>
        </w:rPr>
        <w:t>НУ, НП ВВНЗ і НП ВНП ЗВО</w:t>
      </w:r>
      <w:r w:rsidRPr="003B5892">
        <w:rPr>
          <w:rFonts w:ascii="Times New Roman" w:eastAsia="Times New Roman" w:hAnsi="Times New Roman" w:cs="Times New Roman"/>
          <w:kern w:val="0"/>
          <w:sz w:val="28"/>
          <w:szCs w:val="28"/>
          <w:lang w:val="uk-UA" w:eastAsia="uk"/>
          <w14:ligatures w14:val="none"/>
        </w:rPr>
        <w:t xml:space="preserve"> системи </w:t>
      </w:r>
      <w:r w:rsidRPr="003B5892">
        <w:rPr>
          <w:rFonts w:ascii="Times New Roman" w:eastAsia="Times New Roman" w:hAnsi="Times New Roman" w:cs="Times New Roman"/>
          <w:color w:val="000000"/>
          <w:kern w:val="0"/>
          <w:sz w:val="28"/>
          <w:szCs w:val="28"/>
          <w:lang w:val="uk-UA" w:eastAsia="uk-UA"/>
          <w14:ligatures w14:val="none"/>
        </w:rPr>
        <w:t xml:space="preserve">МО України </w:t>
      </w:r>
      <w:r w:rsidRPr="003B5892">
        <w:rPr>
          <w:rFonts w:ascii="Times New Roman" w:eastAsia="Times New Roman" w:hAnsi="Times New Roman" w:cs="Times New Roman"/>
          <w:kern w:val="0"/>
          <w:sz w:val="28"/>
          <w:szCs w:val="28"/>
          <w:lang w:val="uk-UA" w:eastAsia="uk"/>
          <w14:ligatures w14:val="none"/>
        </w:rPr>
        <w:t>в межах єдиного наукового простору у вигляді блок-діаграми.</w:t>
      </w:r>
    </w:p>
    <w:p w14:paraId="225A0F65"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kern w:val="0"/>
          <w:sz w:val="28"/>
          <w:szCs w:val="28"/>
          <w:lang w:val="uk-UA" w:eastAsia="uk"/>
          <w14:ligatures w14:val="none"/>
        </w:rPr>
        <w:t xml:space="preserve">Логіка єдиного наукового простору системи </w:t>
      </w:r>
      <w:r w:rsidRPr="003B5892">
        <w:rPr>
          <w:rFonts w:ascii="Times New Roman" w:eastAsia="Times New Roman" w:hAnsi="Times New Roman" w:cs="Times New Roman"/>
          <w:color w:val="000000"/>
          <w:kern w:val="0"/>
          <w:sz w:val="28"/>
          <w:szCs w:val="28"/>
          <w:lang w:val="uk-UA" w:eastAsia="uk-UA"/>
          <w14:ligatures w14:val="none"/>
        </w:rPr>
        <w:t xml:space="preserve">МО України </w:t>
      </w:r>
      <w:r w:rsidRPr="003B5892">
        <w:rPr>
          <w:rFonts w:ascii="Times New Roman" w:eastAsia="Times New Roman" w:hAnsi="Times New Roman" w:cs="Times New Roman"/>
          <w:kern w:val="0"/>
          <w:sz w:val="28"/>
          <w:szCs w:val="28"/>
          <w:lang w:val="uk-UA" w:eastAsia="uk"/>
          <w14:ligatures w14:val="none"/>
        </w:rPr>
        <w:t>у цьому випадку ґрунтується на переході від розрізненого виконання досліджень до мережево-орієнтованої моделі, яка охоплює здійснення досліджень, виконання НДДКР, наукове супроводження ОВТ (товарів оборонного призначення) та підготовку кадрів.</w:t>
      </w:r>
    </w:p>
    <w:p w14:paraId="740D5C59"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3B5892">
        <w:rPr>
          <w:rFonts w:ascii="Times New Roman" w:eastAsia="Times New Roman" w:hAnsi="Times New Roman" w:cs="Times New Roman"/>
          <w:kern w:val="0"/>
          <w:sz w:val="28"/>
          <w:szCs w:val="28"/>
          <w:lang w:val="uk-UA" w:eastAsia="uk"/>
          <w14:ligatures w14:val="none"/>
        </w:rPr>
        <w:t xml:space="preserve">Така структура організації взаємодії </w:t>
      </w:r>
      <w:r w:rsidRPr="003B5892">
        <w:rPr>
          <w:rFonts w:ascii="Times New Roman" w:eastAsia="Times New Roman" w:hAnsi="Times New Roman" w:cs="Times New Roman"/>
          <w:color w:val="0A0A0A"/>
          <w:kern w:val="0"/>
          <w:sz w:val="28"/>
          <w:szCs w:val="28"/>
          <w:lang w:val="uk-UA" w:eastAsia="uk-UA"/>
          <w14:ligatures w14:val="none"/>
        </w:rPr>
        <w:t>НУ, НП ВВНЗ і НП ВНП ЗВО</w:t>
      </w:r>
      <w:r w:rsidRPr="003B5892">
        <w:rPr>
          <w:rFonts w:ascii="Times New Roman" w:eastAsia="Times New Roman" w:hAnsi="Times New Roman" w:cs="Times New Roman"/>
          <w:kern w:val="0"/>
          <w:sz w:val="28"/>
          <w:szCs w:val="28"/>
          <w:lang w:val="uk-UA" w:eastAsia="uk"/>
          <w14:ligatures w14:val="none"/>
        </w:rPr>
        <w:t xml:space="preserve"> забезпечує вертикаль управління (</w:t>
      </w:r>
      <w:r w:rsidRPr="003B5892">
        <w:rPr>
          <w:rFonts w:ascii="Times New Roman" w:eastAsia="Times New Roman" w:hAnsi="Times New Roman" w:cs="Times New Roman"/>
          <w:color w:val="000000"/>
          <w:kern w:val="0"/>
          <w:sz w:val="28"/>
          <w:szCs w:val="28"/>
          <w:lang w:val="uk-UA" w:eastAsia="uk-UA"/>
          <w14:ligatures w14:val="none"/>
        </w:rPr>
        <w:t xml:space="preserve">МО України </w:t>
      </w:r>
      <w:r w:rsidRPr="003B5892">
        <w:rPr>
          <w:rFonts w:ascii="Times New Roman" w:eastAsia="Times New Roman" w:hAnsi="Times New Roman" w:cs="Times New Roman"/>
          <w:kern w:val="0"/>
          <w:sz w:val="28"/>
          <w:szCs w:val="28"/>
          <w:lang w:val="uk-UA" w:eastAsia="uk"/>
          <w14:ligatures w14:val="none"/>
        </w:rPr>
        <w:t xml:space="preserve">та уповноважений орган з питань науки) та горизонтальну інтеграцію (між суб’єктами єдиного наукового простору). На блок-діаграмі окремим елементом також визначено варіант можливого функціонального наповнення системи, який складається з чотирьох основних компонентів. </w:t>
      </w:r>
      <w:r w:rsidRPr="003B5892">
        <w:rPr>
          <w:rFonts w:ascii="Times New Roman" w:eastAsia="Times New Roman" w:hAnsi="Times New Roman" w:cs="Times New Roman"/>
          <w:kern w:val="0"/>
          <w:sz w:val="28"/>
          <w:szCs w:val="28"/>
          <w:lang w:val="uk-UA"/>
          <w14:ligatures w14:val="none"/>
        </w:rPr>
        <w:t xml:space="preserve">Інтеграція різних суб’єктів ННТД у єдиний науковий простір забезпечується реально апробованими механізмами взаємодії. </w:t>
      </w:r>
    </w:p>
    <w:p w14:paraId="3F9CA730"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kern w:val="0"/>
          <w:sz w:val="28"/>
          <w:szCs w:val="28"/>
          <w:lang w:val="uk-UA" w:eastAsia="uk"/>
          <w14:ligatures w14:val="none"/>
        </w:rPr>
        <w:t xml:space="preserve">Результативність функціонування єдиного наукового простору системи </w:t>
      </w:r>
      <w:r w:rsidRPr="003B5892">
        <w:rPr>
          <w:rFonts w:ascii="Times New Roman" w:eastAsia="Times New Roman" w:hAnsi="Times New Roman" w:cs="Times New Roman"/>
          <w:color w:val="000000"/>
          <w:kern w:val="0"/>
          <w:sz w:val="28"/>
          <w:szCs w:val="28"/>
          <w:lang w:val="uk-UA" w:eastAsia="uk-UA"/>
          <w14:ligatures w14:val="none"/>
        </w:rPr>
        <w:t xml:space="preserve">МО України </w:t>
      </w:r>
      <w:r w:rsidRPr="003B5892">
        <w:rPr>
          <w:rFonts w:ascii="Times New Roman" w:eastAsia="Times New Roman" w:hAnsi="Times New Roman" w:cs="Times New Roman"/>
          <w:kern w:val="0"/>
          <w:sz w:val="28"/>
          <w:szCs w:val="28"/>
          <w:lang w:val="uk-UA" w:eastAsia="uk"/>
          <w14:ligatures w14:val="none"/>
        </w:rPr>
        <w:t>у даному випадку має оцінюватися за кінцевими підсумками діяльності суб’єктів ННТД, зокрема:</w:t>
      </w:r>
    </w:p>
    <w:p w14:paraId="77C6A2CB"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kern w:val="0"/>
          <w:sz w:val="28"/>
          <w:szCs w:val="28"/>
          <w:lang w:val="uk-UA" w:eastAsia="uk"/>
          <w14:ligatures w14:val="none"/>
        </w:rPr>
        <w:t xml:space="preserve">результатами створення нових знань про характер та особливості війни, про підготовку збройних сил і держави до оборони, а також про способи ведення збройної боротьби; </w:t>
      </w:r>
    </w:p>
    <w:p w14:paraId="1A603518"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kern w:val="0"/>
          <w:sz w:val="28"/>
          <w:szCs w:val="28"/>
          <w:lang w:val="uk-UA" w:eastAsia="uk"/>
          <w14:ligatures w14:val="none"/>
        </w:rPr>
        <w:t xml:space="preserve">здобутками з розробки та впровадження у практику дій військ сучасних зразків ОВТ, інших товарів оборонного призначення, результатами їх наукового супроводження під час бойового застосування; </w:t>
      </w:r>
    </w:p>
    <w:p w14:paraId="77E18A32"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kern w:val="0"/>
          <w:sz w:val="28"/>
          <w:szCs w:val="28"/>
          <w:lang w:val="uk-UA" w:eastAsia="uk"/>
          <w14:ligatures w14:val="none"/>
        </w:rPr>
        <w:t>показниками підготовки висококваліфікованих наукових і науково-педагогічних кадрів;</w:t>
      </w:r>
    </w:p>
    <w:p w14:paraId="227F8E03"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kern w:val="0"/>
          <w:sz w:val="28"/>
          <w:szCs w:val="28"/>
          <w:lang w:val="uk-UA" w:eastAsia="uk"/>
          <w14:ligatures w14:val="none"/>
        </w:rPr>
        <w:t>успіхами у забезпеченні ефективної оборони та перемоги, підвищенні рівня обороноздатності держави.</w:t>
      </w:r>
    </w:p>
    <w:p w14:paraId="1277C7A8"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kern w:val="0"/>
          <w:sz w:val="28"/>
          <w:szCs w:val="28"/>
          <w:lang w:val="uk-UA" w:eastAsia="uk"/>
          <w14:ligatures w14:val="none"/>
        </w:rPr>
        <w:t xml:space="preserve">Таким чином, зростання ефективності міжвідомчої взаємодії між </w:t>
      </w:r>
      <w:r w:rsidRPr="003B5892">
        <w:rPr>
          <w:rFonts w:ascii="Times New Roman" w:eastAsia="Times New Roman" w:hAnsi="Times New Roman" w:cs="Times New Roman"/>
          <w:color w:val="0A0A0A"/>
          <w:kern w:val="0"/>
          <w:sz w:val="28"/>
          <w:szCs w:val="28"/>
          <w:lang w:val="uk-UA" w:eastAsia="uk-UA"/>
          <w14:ligatures w14:val="none"/>
        </w:rPr>
        <w:t xml:space="preserve">НУ, НП ВВНЗ і НП ВНП ЗВО, структурними підрозділами </w:t>
      </w:r>
      <w:r w:rsidRPr="003B5892">
        <w:rPr>
          <w:rFonts w:ascii="Times New Roman" w:eastAsia="Times New Roman" w:hAnsi="Times New Roman" w:cs="Times New Roman"/>
          <w:color w:val="000000"/>
          <w:kern w:val="0"/>
          <w:sz w:val="28"/>
          <w:szCs w:val="28"/>
          <w:lang w:val="uk-UA" w:eastAsia="uk-UA"/>
          <w14:ligatures w14:val="none"/>
        </w:rPr>
        <w:t xml:space="preserve">МО України </w:t>
      </w:r>
      <w:r w:rsidRPr="003B5892">
        <w:rPr>
          <w:rFonts w:ascii="Times New Roman" w:eastAsia="Times New Roman" w:hAnsi="Times New Roman" w:cs="Times New Roman"/>
          <w:color w:val="0A0A0A"/>
          <w:kern w:val="0"/>
          <w:sz w:val="28"/>
          <w:szCs w:val="28"/>
          <w:lang w:val="uk-UA" w:eastAsia="uk-UA"/>
          <w14:ligatures w14:val="none"/>
        </w:rPr>
        <w:t xml:space="preserve">та ГШ ЗС України шляхом прискорення заходів з </w:t>
      </w:r>
      <w:r w:rsidRPr="003B5892">
        <w:rPr>
          <w:rFonts w:ascii="Times New Roman" w:eastAsia="Times New Roman" w:hAnsi="Times New Roman" w:cs="Times New Roman"/>
          <w:kern w:val="0"/>
          <w:sz w:val="28"/>
          <w:szCs w:val="28"/>
          <w:lang w:val="uk-UA" w:eastAsia="uk"/>
          <w14:ligatures w14:val="none"/>
        </w:rPr>
        <w:t xml:space="preserve">реалізації єдиного наукового простору системи </w:t>
      </w:r>
      <w:r w:rsidRPr="003B5892">
        <w:rPr>
          <w:rFonts w:ascii="Times New Roman" w:eastAsia="Times New Roman" w:hAnsi="Times New Roman" w:cs="Times New Roman"/>
          <w:color w:val="000000"/>
          <w:kern w:val="0"/>
          <w:sz w:val="28"/>
          <w:szCs w:val="28"/>
          <w:lang w:val="uk-UA" w:eastAsia="uk-UA"/>
          <w14:ligatures w14:val="none"/>
        </w:rPr>
        <w:t xml:space="preserve">МО України </w:t>
      </w:r>
      <w:r w:rsidRPr="003B5892">
        <w:rPr>
          <w:rFonts w:ascii="Times New Roman" w:eastAsia="Times New Roman" w:hAnsi="Times New Roman" w:cs="Times New Roman"/>
          <w:kern w:val="0"/>
          <w:sz w:val="28"/>
          <w:szCs w:val="28"/>
          <w:lang w:val="uk-UA" w:eastAsia="uk"/>
          <w14:ligatures w14:val="none"/>
        </w:rPr>
        <w:t xml:space="preserve">стає одним із перспективних напрямів. Потреба у його формуванні обумовлена необхідністю забезпечення підвищення гнучкості управління системою ННТД, узгодженості пріоритетів діяльності у ході проведення досліджень, використання </w:t>
      </w:r>
      <w:r w:rsidRPr="003B5892">
        <w:rPr>
          <w:rFonts w:ascii="Times New Roman" w:eastAsia="Times New Roman" w:hAnsi="Times New Roman" w:cs="Times New Roman"/>
          <w:kern w:val="0"/>
          <w:sz w:val="28"/>
          <w:szCs w:val="28"/>
          <w:lang w:val="uk-UA"/>
          <w14:ligatures w14:val="none"/>
        </w:rPr>
        <w:t>суб’єктами ННТД</w:t>
      </w:r>
      <w:r w:rsidRPr="003B5892">
        <w:rPr>
          <w:rFonts w:ascii="Times New Roman" w:eastAsia="Times New Roman" w:hAnsi="Times New Roman" w:cs="Times New Roman"/>
          <w:kern w:val="0"/>
          <w:sz w:val="28"/>
          <w:szCs w:val="28"/>
          <w:lang w:val="uk-UA" w:eastAsia="uk"/>
          <w14:ligatures w14:val="none"/>
        </w:rPr>
        <w:t xml:space="preserve"> синергетичного ефекту </w:t>
      </w:r>
      <w:r w:rsidRPr="003B5892">
        <w:rPr>
          <w:rFonts w:ascii="Times New Roman" w:eastAsia="Times New Roman" w:hAnsi="Times New Roman" w:cs="Times New Roman"/>
          <w:kern w:val="0"/>
          <w:sz w:val="28"/>
          <w:szCs w:val="28"/>
          <w:lang w:val="uk-UA"/>
          <w14:ligatures w14:val="none"/>
        </w:rPr>
        <w:t xml:space="preserve">при </w:t>
      </w:r>
      <w:r w:rsidRPr="003B5892">
        <w:rPr>
          <w:rFonts w:ascii="Times New Roman" w:eastAsia="Times New Roman" w:hAnsi="Times New Roman" w:cs="Times New Roman"/>
          <w:kern w:val="0"/>
          <w:sz w:val="28"/>
          <w:szCs w:val="28"/>
          <w:lang w:val="uk-UA" w:eastAsia="uk"/>
          <w14:ligatures w14:val="none"/>
        </w:rPr>
        <w:t xml:space="preserve">здійсненні ними досліджень, можливостями швидкого обміну </w:t>
      </w:r>
      <w:r w:rsidRPr="003B5892">
        <w:rPr>
          <w:rFonts w:ascii="Times New Roman" w:eastAsia="Times New Roman" w:hAnsi="Times New Roman" w:cs="Times New Roman"/>
          <w:kern w:val="0"/>
          <w:sz w:val="28"/>
          <w:szCs w:val="28"/>
          <w:lang w:val="uk-UA" w:eastAsia="uk"/>
          <w14:ligatures w14:val="none"/>
        </w:rPr>
        <w:lastRenderedPageBreak/>
        <w:t>науковою інформацією між суб’єктами, скорочення циклу “дослідження – розробка – впровадження”, задоволення потреби військ у науково-технічній продукції.</w:t>
      </w:r>
    </w:p>
    <w:p w14:paraId="18334536"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b/>
          <w:bCs/>
          <w:color w:val="000000"/>
          <w:kern w:val="0"/>
          <w:sz w:val="28"/>
          <w:szCs w:val="28"/>
          <w:lang w:val="uk-UA" w:eastAsia="uk-UA"/>
          <w14:ligatures w14:val="none"/>
        </w:rPr>
        <w:t>Висновки.</w:t>
      </w:r>
      <w:r w:rsidRPr="003B5892">
        <w:rPr>
          <w:rFonts w:ascii="Times New Roman" w:eastAsia="Times New Roman" w:hAnsi="Times New Roman" w:cs="Times New Roman"/>
          <w:color w:val="000000"/>
          <w:kern w:val="0"/>
          <w:sz w:val="24"/>
          <w:szCs w:val="28"/>
          <w:lang w:val="uk-UA" w:eastAsia="uk-UA"/>
          <w14:ligatures w14:val="none"/>
        </w:rPr>
        <w:t xml:space="preserve"> </w:t>
      </w:r>
      <w:r w:rsidRPr="003B5892">
        <w:rPr>
          <w:rFonts w:ascii="Times New Roman" w:eastAsia="Times New Roman" w:hAnsi="Times New Roman" w:cs="Times New Roman"/>
          <w:kern w:val="0"/>
          <w:sz w:val="28"/>
          <w:szCs w:val="28"/>
          <w:lang w:val="uk-UA" w:eastAsia="uk"/>
          <w14:ligatures w14:val="none"/>
        </w:rPr>
        <w:t xml:space="preserve">Виклики, що обумовлені війною в Україні, вимагають здійснення заходів з трансформації системи ННТД </w:t>
      </w:r>
      <w:r w:rsidRPr="003B5892">
        <w:rPr>
          <w:rFonts w:ascii="Times New Roman" w:eastAsia="Times New Roman" w:hAnsi="Times New Roman" w:cs="Times New Roman"/>
          <w:color w:val="000000"/>
          <w:kern w:val="0"/>
          <w:sz w:val="28"/>
          <w:szCs w:val="28"/>
          <w:lang w:val="uk-UA" w:eastAsia="uk-UA"/>
          <w14:ligatures w14:val="none"/>
        </w:rPr>
        <w:t>МО України</w:t>
      </w:r>
      <w:r w:rsidRPr="003B5892">
        <w:rPr>
          <w:rFonts w:ascii="Times New Roman" w:eastAsia="Times New Roman" w:hAnsi="Times New Roman" w:cs="Times New Roman"/>
          <w:kern w:val="0"/>
          <w:sz w:val="28"/>
          <w:szCs w:val="28"/>
          <w:lang w:val="uk-UA" w:eastAsia="uk"/>
          <w14:ligatures w14:val="none"/>
        </w:rPr>
        <w:t xml:space="preserve">. Проведений аналіз свідчить, що підходи зі створення єдиного наукового простору шляхом структуризації системи науково-технічної діяльності </w:t>
      </w:r>
      <w:r w:rsidRPr="003B5892">
        <w:rPr>
          <w:rFonts w:ascii="Times New Roman" w:eastAsia="Times New Roman" w:hAnsi="Times New Roman" w:cs="Times New Roman"/>
          <w:color w:val="000000"/>
          <w:kern w:val="0"/>
          <w:sz w:val="28"/>
          <w:szCs w:val="28"/>
          <w:lang w:val="uk-UA" w:eastAsia="uk-UA"/>
          <w14:ligatures w14:val="none"/>
        </w:rPr>
        <w:t xml:space="preserve">МО України </w:t>
      </w:r>
      <w:r w:rsidRPr="003B5892">
        <w:rPr>
          <w:rFonts w:ascii="Times New Roman" w:eastAsia="Times New Roman" w:hAnsi="Times New Roman" w:cs="Times New Roman"/>
          <w:kern w:val="0"/>
          <w:sz w:val="28"/>
          <w:szCs w:val="28"/>
          <w:lang w:val="uk-UA" w:eastAsia="uk"/>
          <w14:ligatures w14:val="none"/>
        </w:rPr>
        <w:t>при провадженні поглибленої взаємодії між суб’єктами ННТД мають великий потенціал з підвищення ефективності наукової діяльності в оборонній сфері.</w:t>
      </w:r>
    </w:p>
    <w:p w14:paraId="01F2DF8B"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kern w:val="0"/>
          <w:sz w:val="28"/>
          <w:szCs w:val="28"/>
          <w:lang w:val="uk-UA" w:eastAsia="uk"/>
          <w14:ligatures w14:val="none"/>
        </w:rPr>
        <w:t xml:space="preserve">За результатами проведеного дослідження визначено, що система управління ННТД </w:t>
      </w:r>
      <w:r w:rsidRPr="003B5892">
        <w:rPr>
          <w:rFonts w:ascii="Times New Roman" w:eastAsia="Times New Roman" w:hAnsi="Times New Roman" w:cs="Times New Roman"/>
          <w:color w:val="000000"/>
          <w:kern w:val="0"/>
          <w:sz w:val="28"/>
          <w:szCs w:val="28"/>
          <w:lang w:val="uk-UA" w:eastAsia="uk-UA"/>
          <w14:ligatures w14:val="none"/>
        </w:rPr>
        <w:t xml:space="preserve">МО України </w:t>
      </w:r>
      <w:r w:rsidRPr="003B5892">
        <w:rPr>
          <w:rFonts w:ascii="Times New Roman" w:eastAsia="Times New Roman" w:hAnsi="Times New Roman" w:cs="Times New Roman"/>
          <w:kern w:val="0"/>
          <w:sz w:val="28"/>
          <w:szCs w:val="28"/>
          <w:lang w:val="uk-UA" w:eastAsia="uk"/>
          <w14:ligatures w14:val="none"/>
        </w:rPr>
        <w:t xml:space="preserve">являє собою </w:t>
      </w:r>
      <w:r w:rsidRPr="003B5892">
        <w:rPr>
          <w:rFonts w:ascii="Times New Roman" w:eastAsia="Times New Roman" w:hAnsi="Times New Roman" w:cs="Times New Roman"/>
          <w:bCs/>
          <w:kern w:val="0"/>
          <w:sz w:val="28"/>
          <w:szCs w:val="28"/>
          <w:lang w:val="uk-UA" w:eastAsia="uk"/>
          <w14:ligatures w14:val="none"/>
        </w:rPr>
        <w:t>багаторівневу ієрархічну мережеву структуру</w:t>
      </w:r>
      <w:r w:rsidRPr="003B5892">
        <w:rPr>
          <w:rFonts w:ascii="Times New Roman" w:eastAsia="Times New Roman" w:hAnsi="Times New Roman" w:cs="Times New Roman"/>
          <w:kern w:val="0"/>
          <w:sz w:val="28"/>
          <w:szCs w:val="28"/>
          <w:lang w:val="uk-UA" w:eastAsia="uk"/>
          <w14:ligatures w14:val="none"/>
        </w:rPr>
        <w:t xml:space="preserve">, яка має забезпечувати потреби </w:t>
      </w:r>
      <w:r w:rsidRPr="003B5892">
        <w:rPr>
          <w:rFonts w:ascii="Times New Roman" w:eastAsia="Times New Roman" w:hAnsi="Times New Roman" w:cs="Times New Roman"/>
          <w:color w:val="000000"/>
          <w:kern w:val="0"/>
          <w:sz w:val="28"/>
          <w:szCs w:val="28"/>
          <w:lang w:val="uk-UA" w:eastAsia="uk-UA"/>
          <w14:ligatures w14:val="none"/>
        </w:rPr>
        <w:t xml:space="preserve">МО України </w:t>
      </w:r>
      <w:r w:rsidRPr="003B5892">
        <w:rPr>
          <w:rFonts w:ascii="Times New Roman" w:eastAsia="Times New Roman" w:hAnsi="Times New Roman" w:cs="Times New Roman"/>
          <w:kern w:val="0"/>
          <w:sz w:val="28"/>
          <w:szCs w:val="28"/>
          <w:lang w:val="uk-UA" w:eastAsia="uk"/>
          <w14:ligatures w14:val="none"/>
        </w:rPr>
        <w:t>та ЗС України в інноваційній науковій та науково-технічній продукції під час реалізації державної політики у сфері військової науки та мати спроможності з її забезпечення.</w:t>
      </w:r>
    </w:p>
    <w:p w14:paraId="5D769071"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kern w:val="0"/>
          <w:sz w:val="28"/>
          <w:szCs w:val="28"/>
          <w:lang w:val="uk-UA" w:eastAsia="uk"/>
          <w14:ligatures w14:val="none"/>
        </w:rPr>
        <w:t xml:space="preserve">Ключовою тенденцією розвитку системи ННТД </w:t>
      </w:r>
      <w:r w:rsidRPr="003B5892">
        <w:rPr>
          <w:rFonts w:ascii="Times New Roman" w:eastAsia="Times New Roman" w:hAnsi="Times New Roman" w:cs="Times New Roman"/>
          <w:color w:val="000000"/>
          <w:kern w:val="0"/>
          <w:sz w:val="28"/>
          <w:szCs w:val="28"/>
          <w:lang w:val="uk-UA" w:eastAsia="uk-UA"/>
          <w14:ligatures w14:val="none"/>
        </w:rPr>
        <w:t xml:space="preserve">МО України </w:t>
      </w:r>
      <w:r w:rsidRPr="003B5892">
        <w:rPr>
          <w:rFonts w:ascii="Times New Roman" w:eastAsia="Times New Roman" w:hAnsi="Times New Roman" w:cs="Times New Roman"/>
          <w:kern w:val="0"/>
          <w:sz w:val="28"/>
          <w:szCs w:val="28"/>
          <w:lang w:val="uk-UA" w:eastAsia="uk"/>
          <w14:ligatures w14:val="none"/>
        </w:rPr>
        <w:t xml:space="preserve">стає перехід від виконання розрізнених наукових досліджень до формування </w:t>
      </w:r>
      <w:r w:rsidRPr="003B5892">
        <w:rPr>
          <w:rFonts w:ascii="Times New Roman" w:eastAsia="Times New Roman" w:hAnsi="Times New Roman" w:cs="Times New Roman"/>
          <w:bCs/>
          <w:kern w:val="0"/>
          <w:sz w:val="28"/>
          <w:szCs w:val="28"/>
          <w:lang w:val="uk-UA" w:eastAsia="uk"/>
          <w14:ligatures w14:val="none"/>
        </w:rPr>
        <w:t>єдиного наукового простору</w:t>
      </w:r>
      <w:r w:rsidRPr="003B5892">
        <w:rPr>
          <w:rFonts w:ascii="Times New Roman" w:eastAsia="Times New Roman" w:hAnsi="Times New Roman" w:cs="Times New Roman"/>
          <w:kern w:val="0"/>
          <w:sz w:val="28"/>
          <w:szCs w:val="28"/>
          <w:lang w:val="uk-UA" w:eastAsia="uk"/>
          <w14:ligatures w14:val="none"/>
        </w:rPr>
        <w:t xml:space="preserve">, який об’єднує НУ, ВВНЗ, ВНП ЗВО, НП військових частин та інших суб’єктів під час проведення ними наукових досліджень, базуючись на використанні механізмів координації, інтеграції та спільного використання ресурсів. При цьому, ефективність функціонування такої системи має забезпечуватися поєднанням </w:t>
      </w:r>
      <w:r w:rsidRPr="003B5892">
        <w:rPr>
          <w:rFonts w:ascii="Times New Roman" w:eastAsia="Times New Roman" w:hAnsi="Times New Roman" w:cs="Times New Roman"/>
          <w:bCs/>
          <w:kern w:val="0"/>
          <w:sz w:val="28"/>
          <w:szCs w:val="28"/>
          <w:lang w:val="uk-UA" w:eastAsia="uk"/>
          <w14:ligatures w14:val="none"/>
        </w:rPr>
        <w:t>вертикального управління</w:t>
      </w:r>
      <w:r w:rsidRPr="003B5892">
        <w:rPr>
          <w:rFonts w:ascii="Times New Roman" w:eastAsia="Times New Roman" w:hAnsi="Times New Roman" w:cs="Times New Roman"/>
          <w:kern w:val="0"/>
          <w:sz w:val="28"/>
          <w:szCs w:val="28"/>
          <w:lang w:val="uk-UA" w:eastAsia="uk"/>
          <w14:ligatures w14:val="none"/>
        </w:rPr>
        <w:t xml:space="preserve"> (формування політики, здійснення планування і контролю) та </w:t>
      </w:r>
      <w:r w:rsidRPr="003B5892">
        <w:rPr>
          <w:rFonts w:ascii="Times New Roman" w:eastAsia="Times New Roman" w:hAnsi="Times New Roman" w:cs="Times New Roman"/>
          <w:bCs/>
          <w:kern w:val="0"/>
          <w:sz w:val="28"/>
          <w:szCs w:val="28"/>
          <w:lang w:val="uk-UA" w:eastAsia="uk"/>
          <w14:ligatures w14:val="none"/>
        </w:rPr>
        <w:t>горизонтальною взаємодією</w:t>
      </w:r>
      <w:r w:rsidRPr="003B5892">
        <w:rPr>
          <w:rFonts w:ascii="Times New Roman" w:eastAsia="Times New Roman" w:hAnsi="Times New Roman" w:cs="Times New Roman"/>
          <w:kern w:val="0"/>
          <w:sz w:val="28"/>
          <w:szCs w:val="28"/>
          <w:lang w:val="uk-UA" w:eastAsia="uk"/>
          <w14:ligatures w14:val="none"/>
        </w:rPr>
        <w:t xml:space="preserve"> (проведення спільних досліджень, поширенням обміном інформацією між НУ, ВВНЗ, ВНП ЗВО).</w:t>
      </w:r>
    </w:p>
    <w:p w14:paraId="28901AB1" w14:textId="77777777" w:rsidR="000F5770" w:rsidRPr="003B5892" w:rsidRDefault="000F5770"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kern w:val="0"/>
          <w:sz w:val="28"/>
          <w:szCs w:val="28"/>
          <w:lang w:val="uk-UA" w:eastAsia="uk"/>
          <w14:ligatures w14:val="none"/>
        </w:rPr>
        <w:t xml:space="preserve">Організація поглибленої взаємодії між НУ, ВВНЗ, ВНП ЗВО системи </w:t>
      </w:r>
      <w:r w:rsidRPr="003B5892">
        <w:rPr>
          <w:rFonts w:ascii="Times New Roman" w:eastAsia="Times New Roman" w:hAnsi="Times New Roman" w:cs="Times New Roman"/>
          <w:color w:val="000000"/>
          <w:kern w:val="0"/>
          <w:sz w:val="28"/>
          <w:szCs w:val="28"/>
          <w:lang w:val="uk-UA" w:eastAsia="uk-UA"/>
          <w14:ligatures w14:val="none"/>
        </w:rPr>
        <w:t xml:space="preserve">МО України, </w:t>
      </w:r>
      <w:r w:rsidRPr="003B5892">
        <w:rPr>
          <w:rFonts w:ascii="Times New Roman" w:eastAsia="Times New Roman" w:hAnsi="Times New Roman" w:cs="Times New Roman"/>
          <w:kern w:val="0"/>
          <w:sz w:val="28"/>
          <w:szCs w:val="28"/>
          <w:lang w:val="uk-UA"/>
          <w14:ligatures w14:val="none"/>
        </w:rPr>
        <w:t>а також</w:t>
      </w:r>
      <w:r w:rsidRPr="003B5892">
        <w:rPr>
          <w:rFonts w:ascii="Times New Roman" w:eastAsia="Times New Roman" w:hAnsi="Times New Roman" w:cs="Times New Roman"/>
          <w:color w:val="0A0A0A"/>
          <w:kern w:val="0"/>
          <w:sz w:val="28"/>
          <w:szCs w:val="28"/>
          <w:lang w:val="uk-UA" w:eastAsia="uk-UA"/>
          <w14:ligatures w14:val="none"/>
        </w:rPr>
        <w:t xml:space="preserve"> міжвідомчої взаємодії із </w:t>
      </w:r>
      <w:r w:rsidRPr="003B5892">
        <w:rPr>
          <w:rFonts w:ascii="Times New Roman" w:eastAsia="Times New Roman" w:hAnsi="Times New Roman" w:cs="Times New Roman"/>
          <w:kern w:val="0"/>
          <w:sz w:val="28"/>
          <w:szCs w:val="28"/>
          <w:lang w:val="uk-UA" w:eastAsia="uk"/>
          <w14:ligatures w14:val="none"/>
        </w:rPr>
        <w:t>суб’єктами</w:t>
      </w:r>
      <w:r w:rsidRPr="003B5892">
        <w:rPr>
          <w:rFonts w:ascii="Times New Roman" w:eastAsia="Times New Roman" w:hAnsi="Times New Roman" w:cs="Times New Roman"/>
          <w:color w:val="0A0A0A"/>
          <w:kern w:val="0"/>
          <w:sz w:val="28"/>
          <w:szCs w:val="28"/>
          <w:lang w:val="uk-UA" w:eastAsia="uk-UA"/>
          <w14:ligatures w14:val="none"/>
        </w:rPr>
        <w:t xml:space="preserve"> ННТД інших складових сектору безпеки і оборони України </w:t>
      </w:r>
      <w:r w:rsidRPr="003B5892">
        <w:rPr>
          <w:rFonts w:ascii="Times New Roman" w:eastAsia="Times New Roman" w:hAnsi="Times New Roman" w:cs="Times New Roman"/>
          <w:kern w:val="0"/>
          <w:sz w:val="28"/>
          <w:szCs w:val="28"/>
          <w:lang w:val="uk-UA" w:eastAsia="uk"/>
          <w14:ligatures w14:val="none"/>
        </w:rPr>
        <w:t xml:space="preserve">створює основу для формування та розвитку єдиного наукового простору, стає необхідною умовою для підвищення ефективності ННТД системи </w:t>
      </w:r>
      <w:r w:rsidRPr="003B5892">
        <w:rPr>
          <w:rFonts w:ascii="Times New Roman" w:eastAsia="Times New Roman" w:hAnsi="Times New Roman" w:cs="Times New Roman"/>
          <w:color w:val="000000"/>
          <w:kern w:val="0"/>
          <w:sz w:val="28"/>
          <w:szCs w:val="28"/>
          <w:lang w:val="uk-UA" w:eastAsia="uk-UA"/>
          <w14:ligatures w14:val="none"/>
        </w:rPr>
        <w:t>МО України</w:t>
      </w:r>
      <w:r w:rsidRPr="003B5892">
        <w:rPr>
          <w:rFonts w:ascii="Times New Roman" w:eastAsia="Times New Roman" w:hAnsi="Times New Roman" w:cs="Times New Roman"/>
          <w:kern w:val="0"/>
          <w:sz w:val="28"/>
          <w:szCs w:val="28"/>
          <w:lang w:val="uk-UA" w:eastAsia="uk"/>
          <w14:ligatures w14:val="none"/>
        </w:rPr>
        <w:t xml:space="preserve">, забезпечення її інноваційного розвитку. </w:t>
      </w:r>
    </w:p>
    <w:p w14:paraId="3B5CC866"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
          <w14:ligatures w14:val="none"/>
        </w:rPr>
      </w:pPr>
      <w:r w:rsidRPr="003B5892">
        <w:rPr>
          <w:rFonts w:ascii="Times New Roman" w:eastAsia="Times New Roman" w:hAnsi="Times New Roman" w:cs="Times New Roman"/>
          <w:b/>
          <w:kern w:val="0"/>
          <w:sz w:val="28"/>
          <w:szCs w:val="28"/>
          <w:lang w:val="uk-UA" w:eastAsia="uk-UA"/>
          <w14:ligatures w14:val="none"/>
        </w:rPr>
        <w:t>Перспективи подальших досліджень.</w:t>
      </w:r>
      <w:r w:rsidRPr="003B5892">
        <w:rPr>
          <w:rFonts w:ascii="Times New Roman" w:eastAsia="Times New Roman" w:hAnsi="Times New Roman" w:cs="Times New Roman"/>
          <w:kern w:val="0"/>
          <w:sz w:val="28"/>
          <w:szCs w:val="28"/>
          <w:lang w:val="uk-UA" w:eastAsia="uk-UA"/>
          <w14:ligatures w14:val="none"/>
        </w:rPr>
        <w:t xml:space="preserve"> </w:t>
      </w:r>
      <w:r w:rsidRPr="003B5892">
        <w:rPr>
          <w:rFonts w:ascii="Times New Roman" w:eastAsia="Times New Roman" w:hAnsi="Times New Roman" w:cs="Times New Roman"/>
          <w:kern w:val="0"/>
          <w:sz w:val="28"/>
          <w:szCs w:val="28"/>
          <w:lang w:val="uk-UA" w:eastAsia="uk"/>
          <w14:ligatures w14:val="none"/>
        </w:rPr>
        <w:t xml:space="preserve">Проведене дослідження свідчить, що підвищення ефективності наукової діяльності у </w:t>
      </w:r>
      <w:r w:rsidRPr="003B5892">
        <w:rPr>
          <w:rFonts w:ascii="Times New Roman" w:eastAsia="Times New Roman" w:hAnsi="Times New Roman" w:cs="Times New Roman"/>
          <w:color w:val="000000"/>
          <w:kern w:val="0"/>
          <w:sz w:val="28"/>
          <w:szCs w:val="28"/>
          <w:lang w:val="uk-UA" w:eastAsia="uk-UA"/>
          <w14:ligatures w14:val="none"/>
        </w:rPr>
        <w:t xml:space="preserve">МО України </w:t>
      </w:r>
      <w:r w:rsidRPr="003B5892">
        <w:rPr>
          <w:rFonts w:ascii="Times New Roman" w:eastAsia="Times New Roman" w:hAnsi="Times New Roman" w:cs="Times New Roman"/>
          <w:kern w:val="0"/>
          <w:sz w:val="28"/>
          <w:szCs w:val="28"/>
          <w:lang w:val="uk-UA" w:eastAsia="uk"/>
          <w14:ligatures w14:val="none"/>
        </w:rPr>
        <w:t>шляхом здійснення поглибленої взаємодії має перспективний потенціал зі створення єдиного наукового простору. При цьому залишаються певні проблемні аспекти, зокрема: обмежене фінансування інноваційних розробок; фрагментарність інформаційних систем; недостатня інтеграція між військовими та цивільними науковими установами. Тому подальшими дослідженнями за цим напрямом мають стати питання організації наукової взаємодії на загальнодержавному рівні, цифровізації наукового простору, а також розширення міжнародної кооперації при проведенні досліджень.</w:t>
      </w:r>
    </w:p>
    <w:p w14:paraId="7180D18F" w14:textId="77777777" w:rsidR="000F5770" w:rsidRPr="003B5892" w:rsidRDefault="000F5770" w:rsidP="00023291">
      <w:pPr>
        <w:tabs>
          <w:tab w:val="left" w:pos="9638"/>
        </w:tabs>
        <w:spacing w:after="0" w:line="223" w:lineRule="auto"/>
        <w:ind w:firstLine="709"/>
        <w:jc w:val="center"/>
        <w:rPr>
          <w:rFonts w:ascii="Times New Roman" w:eastAsia="Times New Roman" w:hAnsi="Times New Roman" w:cs="Times New Roman"/>
          <w:b/>
          <w:bCs/>
          <w:iCs/>
          <w:kern w:val="0"/>
          <w:sz w:val="24"/>
          <w:szCs w:val="24"/>
          <w:lang w:val="uk-UA" w:eastAsia="ru-RU"/>
          <w14:ligatures w14:val="none"/>
        </w:rPr>
      </w:pPr>
    </w:p>
    <w:p w14:paraId="75F4595A" w14:textId="77777777" w:rsidR="000F5770" w:rsidRPr="003B5892" w:rsidRDefault="000F5770" w:rsidP="00023291">
      <w:pPr>
        <w:tabs>
          <w:tab w:val="left" w:pos="9638"/>
        </w:tabs>
        <w:spacing w:after="0" w:line="223" w:lineRule="auto"/>
        <w:ind w:firstLine="709"/>
        <w:jc w:val="center"/>
        <w:rPr>
          <w:rFonts w:ascii="Times New Roman" w:eastAsia="Times New Roman" w:hAnsi="Times New Roman" w:cs="Times New Roman"/>
          <w:b/>
          <w:bCs/>
          <w:iCs/>
          <w:kern w:val="0"/>
          <w:sz w:val="24"/>
          <w:szCs w:val="24"/>
          <w:lang w:val="uk-UA" w:eastAsia="ru-RU"/>
          <w14:ligatures w14:val="none"/>
        </w:rPr>
      </w:pPr>
      <w:r w:rsidRPr="003B5892">
        <w:rPr>
          <w:rFonts w:ascii="Times New Roman" w:eastAsia="Times New Roman" w:hAnsi="Times New Roman" w:cs="Times New Roman"/>
          <w:b/>
          <w:bCs/>
          <w:iCs/>
          <w:kern w:val="0"/>
          <w:sz w:val="24"/>
          <w:szCs w:val="24"/>
          <w:lang w:val="uk-UA" w:eastAsia="ru-RU"/>
          <w14:ligatures w14:val="none"/>
        </w:rPr>
        <w:t>ЛІТЕРАТУРА</w:t>
      </w:r>
    </w:p>
    <w:p w14:paraId="3A14BC05"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 xml:space="preserve">1. </w:t>
      </w:r>
      <w:r w:rsidRPr="003B5892">
        <w:rPr>
          <w:rFonts w:ascii="Times New Roman" w:eastAsia="Times New Roman" w:hAnsi="Times New Roman" w:cs="Times New Roman"/>
          <w:kern w:val="0"/>
          <w:sz w:val="24"/>
          <w:szCs w:val="24"/>
          <w:lang w:val="uk-UA" w:eastAsia="uk-UA"/>
          <w14:ligatures w14:val="none"/>
        </w:rPr>
        <w:t xml:space="preserve">Маліцький Б. А. Аналіз розвитку науки України в контексті змін державної наукової політики. </w:t>
      </w:r>
      <w:r w:rsidRPr="003B5892">
        <w:rPr>
          <w:rFonts w:ascii="Times New Roman" w:eastAsia="Times New Roman" w:hAnsi="Times New Roman" w:cs="Times New Roman"/>
          <w:iCs/>
          <w:kern w:val="0"/>
          <w:sz w:val="24"/>
          <w:szCs w:val="24"/>
          <w:lang w:val="uk-UA" w:eastAsia="uk-UA"/>
          <w14:ligatures w14:val="none"/>
        </w:rPr>
        <w:t>Наука та наукознавство</w:t>
      </w:r>
      <w:r w:rsidRPr="003B5892">
        <w:rPr>
          <w:rFonts w:ascii="Times New Roman" w:eastAsia="Times New Roman" w:hAnsi="Times New Roman" w:cs="Times New Roman"/>
          <w:kern w:val="0"/>
          <w:sz w:val="24"/>
          <w:szCs w:val="24"/>
          <w:lang w:val="uk-UA" w:eastAsia="uk-UA"/>
          <w14:ligatures w14:val="none"/>
        </w:rPr>
        <w:t xml:space="preserve">. 2016. № 3. С. 3–17. </w:t>
      </w:r>
    </w:p>
    <w:p w14:paraId="487DDC10"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lastRenderedPageBreak/>
        <w:t>2. Маліцький Б.А. Наука, технології, інновації та національна безпека: теоретичні та прикладні аспекти – Макаров: КЖТ «Софія», 2014. – 58 с</w:t>
      </w:r>
    </w:p>
    <w:p w14:paraId="1F704042"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3. Територіальна організація інноваційного розвитку / О.В. Димченко, П.Т. Бубенко // БІЗНЕСІНФОРМ. – № 6. – 2020. – С.109-115 </w:t>
      </w:r>
      <w:hyperlink r:id="rId40" w:history="1">
        <w:r w:rsidRPr="003B5892">
          <w:rPr>
            <w:rFonts w:ascii="Times New Roman" w:eastAsia="Times New Roman" w:hAnsi="Times New Roman" w:cs="Times New Roman"/>
            <w:color w:val="0563C1"/>
            <w:kern w:val="0"/>
            <w:sz w:val="24"/>
            <w:szCs w:val="24"/>
            <w:u w:val="single"/>
            <w:lang w:val="uk-UA" w:eastAsia="uk-UA"/>
            <w14:ligatures w14:val="none"/>
          </w:rPr>
          <w:t>http://oaji.net/ articles/2020/727-1597904202.pdf</w:t>
        </w:r>
      </w:hyperlink>
      <w:r w:rsidRPr="003B5892">
        <w:rPr>
          <w:rFonts w:ascii="Calibri" w:eastAsia="Calibri" w:hAnsi="Calibri" w:cs="Times New Roman"/>
          <w:kern w:val="0"/>
          <w:lang w:val="uk-UA"/>
          <w14:ligatures w14:val="none"/>
        </w:rPr>
        <w:t>.</w:t>
      </w:r>
    </w:p>
    <w:p w14:paraId="305DF3C7" w14:textId="77777777" w:rsidR="000F5770" w:rsidRPr="003B5892" w:rsidRDefault="000F5770" w:rsidP="00023291">
      <w:pPr>
        <w:shd w:val="clear" w:color="auto" w:fill="F8F9FA"/>
        <w:tabs>
          <w:tab w:val="left" w:pos="9638"/>
        </w:tabs>
        <w:spacing w:after="0" w:line="240" w:lineRule="auto"/>
        <w:ind w:firstLine="708"/>
        <w:jc w:val="both"/>
        <w:rPr>
          <w:rFonts w:ascii="Times New Roman" w:eastAsia="Times New Roman" w:hAnsi="Times New Roman" w:cs="Times New Roman"/>
          <w:color w:val="000000"/>
          <w:kern w:val="0"/>
          <w:sz w:val="24"/>
          <w:szCs w:val="24"/>
          <w:lang w:val="uk-UA" w:eastAsia="ru-RU"/>
          <w14:ligatures w14:val="none"/>
        </w:rPr>
      </w:pPr>
      <w:r w:rsidRPr="003B5892">
        <w:rPr>
          <w:rFonts w:ascii="Times New Roman" w:eastAsia="Times New Roman" w:hAnsi="Times New Roman" w:cs="Times New Roman"/>
          <w:kern w:val="0"/>
          <w:sz w:val="24"/>
          <w:szCs w:val="24"/>
          <w:lang w:val="uk-UA" w:eastAsia="uk-UA"/>
          <w14:ligatures w14:val="none"/>
        </w:rPr>
        <w:t xml:space="preserve">4. </w:t>
      </w:r>
      <w:r w:rsidRPr="003B5892">
        <w:rPr>
          <w:rFonts w:ascii="Times New Roman" w:eastAsia="Times New Roman" w:hAnsi="Times New Roman" w:cs="Times New Roman"/>
          <w:color w:val="000000"/>
          <w:kern w:val="0"/>
          <w:sz w:val="24"/>
          <w:szCs w:val="24"/>
          <w:lang w:val="uk-UA" w:eastAsia="ru-RU"/>
          <w14:ligatures w14:val="none"/>
        </w:rPr>
        <w:t>Про наукову та науково-технічну діяльність : Закон України від 26 листопада 2015 р. № 848-</w:t>
      </w:r>
      <w:r w:rsidRPr="003B5892">
        <w:rPr>
          <w:rFonts w:ascii="Times New Roman" w:eastAsia="Times New Roman" w:hAnsi="Times New Roman" w:cs="Times New Roman"/>
          <w:color w:val="000000"/>
          <w:kern w:val="0"/>
          <w:sz w:val="24"/>
          <w:szCs w:val="24"/>
          <w:lang w:eastAsia="ru-RU"/>
          <w14:ligatures w14:val="none"/>
        </w:rPr>
        <w:t>V</w:t>
      </w:r>
      <w:r w:rsidRPr="003B5892">
        <w:rPr>
          <w:rFonts w:ascii="Times New Roman" w:eastAsia="Times New Roman" w:hAnsi="Times New Roman" w:cs="Times New Roman"/>
          <w:color w:val="000000"/>
          <w:kern w:val="0"/>
          <w:sz w:val="24"/>
          <w:szCs w:val="24"/>
          <w:lang w:val="uk-UA" w:eastAsia="ru-RU"/>
          <w14:ligatures w14:val="none"/>
        </w:rPr>
        <w:t xml:space="preserve">ІІІ (зі змінами) </w:t>
      </w:r>
      <w:r w:rsidRPr="003B5892">
        <w:rPr>
          <w:rFonts w:ascii="Times New Roman" w:eastAsia="Times New Roman" w:hAnsi="Times New Roman" w:cs="Times New Roman"/>
          <w:bCs/>
          <w:color w:val="000000"/>
          <w:kern w:val="0"/>
          <w:sz w:val="24"/>
          <w:szCs w:val="24"/>
          <w:bdr w:val="none" w:sz="0" w:space="0" w:color="auto" w:frame="1"/>
          <w:shd w:val="clear" w:color="auto" w:fill="FFFFFF"/>
          <w:lang w:val="uk-UA" w:eastAsia="ru-RU"/>
          <w14:ligatures w14:val="none"/>
        </w:rPr>
        <w:t>[</w:t>
      </w:r>
      <w:r w:rsidRPr="003B5892">
        <w:rPr>
          <w:rFonts w:ascii="Times New Roman" w:eastAsia="Times New Roman" w:hAnsi="Times New Roman" w:cs="Times New Roman"/>
          <w:color w:val="000000"/>
          <w:kern w:val="0"/>
          <w:sz w:val="24"/>
          <w:szCs w:val="24"/>
          <w:lang w:val="uk-UA" w:eastAsia="ru-RU"/>
          <w14:ligatures w14:val="none"/>
        </w:rPr>
        <w:t>Ел</w:t>
      </w:r>
      <w:r w:rsidRPr="003B5892">
        <w:rPr>
          <w:rFonts w:ascii="Times New Roman" w:eastAsia="Times New Roman" w:hAnsi="Times New Roman" w:cs="Times New Roman"/>
          <w:bCs/>
          <w:color w:val="000000"/>
          <w:kern w:val="0"/>
          <w:sz w:val="24"/>
          <w:szCs w:val="24"/>
          <w:bdr w:val="none" w:sz="0" w:space="0" w:color="auto" w:frame="1"/>
          <w:shd w:val="clear" w:color="auto" w:fill="FFFFFF"/>
          <w:lang w:val="uk-UA" w:eastAsia="ru-RU"/>
          <w14:ligatures w14:val="none"/>
        </w:rPr>
        <w:t xml:space="preserve">ектронний ресурс] / Законодавство України. </w:t>
      </w:r>
      <w:r w:rsidRPr="003B5892">
        <w:rPr>
          <w:rFonts w:ascii="Times New Roman" w:eastAsia="Times New Roman" w:hAnsi="Times New Roman" w:cs="Times New Roman"/>
          <w:iCs/>
          <w:kern w:val="0"/>
          <w:sz w:val="24"/>
          <w:szCs w:val="24"/>
          <w:lang w:val="pl-PL"/>
          <w14:ligatures w14:val="none"/>
        </w:rPr>
        <w:t>URL:</w:t>
      </w:r>
      <w:r w:rsidRPr="003B5892">
        <w:rPr>
          <w:rFonts w:ascii="Times New Roman" w:eastAsia="Times New Roman" w:hAnsi="Times New Roman" w:cs="Times New Roman"/>
          <w:color w:val="000000"/>
          <w:kern w:val="0"/>
          <w:sz w:val="24"/>
          <w:szCs w:val="24"/>
          <w:lang w:val="uk-UA" w:eastAsia="ru-RU"/>
          <w14:ligatures w14:val="none"/>
        </w:rPr>
        <w:t>http:// zakon.rada.gov.ua/laws/show/ 848-19.</w:t>
      </w:r>
    </w:p>
    <w:p w14:paraId="1F5DDDEE" w14:textId="77777777" w:rsidR="000F5770" w:rsidRPr="003B5892" w:rsidRDefault="000F5770" w:rsidP="00023291">
      <w:pPr>
        <w:tabs>
          <w:tab w:val="left" w:pos="9638"/>
        </w:tabs>
        <w:spacing w:after="0" w:line="240" w:lineRule="auto"/>
        <w:ind w:right="-1" w:firstLine="709"/>
        <w:jc w:val="both"/>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4"/>
          <w:szCs w:val="24"/>
          <w:lang w:val="uk-UA"/>
          <w14:ligatures w14:val="none"/>
        </w:rPr>
        <w:t xml:space="preserve"> 5. Про пріоритетні напрями розвитку науки і техніки: Закон України від 11 липня 2001 року № 2623-III (із змінами). – [Електронний ресурс]. </w:t>
      </w:r>
      <w:r w:rsidRPr="003B5892">
        <w:rPr>
          <w:rFonts w:ascii="Times New Roman" w:eastAsia="Times New Roman" w:hAnsi="Times New Roman" w:cs="Times New Roman"/>
          <w:iCs/>
          <w:kern w:val="0"/>
          <w:sz w:val="24"/>
          <w:szCs w:val="24"/>
          <w:lang w:val="pl-PL"/>
          <w14:ligatures w14:val="none"/>
        </w:rPr>
        <w:t>URL:</w:t>
      </w:r>
      <w:r w:rsidRPr="003B5892">
        <w:rPr>
          <w:rFonts w:ascii="Times New Roman" w:eastAsia="Times New Roman" w:hAnsi="Times New Roman" w:cs="Times New Roman"/>
          <w:kern w:val="0"/>
          <w:sz w:val="24"/>
          <w:szCs w:val="24"/>
          <w:lang w:val="uk-UA"/>
          <w14:ligatures w14:val="none"/>
        </w:rPr>
        <w:t xml:space="preserve"> </w:t>
      </w:r>
      <w:hyperlink w:history="1">
        <w:r w:rsidRPr="003B5892">
          <w:rPr>
            <w:rFonts w:ascii="Times New Roman" w:eastAsia="Times New Roman" w:hAnsi="Times New Roman" w:cs="Times New Roman"/>
            <w:kern w:val="0"/>
            <w:sz w:val="24"/>
            <w:szCs w:val="24"/>
            <w:lang w:val="uk-UA"/>
            <w14:ligatures w14:val="none"/>
          </w:rPr>
          <w:t>https://zakon. rada.gov.ua/laws/show/2623-14#Text</w:t>
        </w:r>
      </w:hyperlink>
      <w:r w:rsidRPr="003B5892">
        <w:rPr>
          <w:rFonts w:ascii="Times New Roman" w:eastAsia="Times New Roman" w:hAnsi="Times New Roman" w:cs="Times New Roman"/>
          <w:kern w:val="0"/>
          <w:sz w:val="24"/>
          <w:szCs w:val="24"/>
          <w:lang w:val="uk-UA"/>
          <w14:ligatures w14:val="none"/>
        </w:rPr>
        <w:t>.</w:t>
      </w:r>
    </w:p>
    <w:p w14:paraId="6F17B59F"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 xml:space="preserve">6. </w:t>
      </w:r>
      <w:r w:rsidRPr="003B5892">
        <w:rPr>
          <w:rFonts w:ascii="Times New Roman" w:eastAsia="Times New Roman" w:hAnsi="Times New Roman" w:cs="Times New Roman"/>
          <w:color w:val="0A0A0A"/>
          <w:kern w:val="0"/>
          <w:sz w:val="24"/>
          <w:szCs w:val="24"/>
          <w:lang w:val="uk-UA" w:eastAsia="uk-UA"/>
          <w14:ligatures w14:val="none"/>
        </w:rPr>
        <w:t xml:space="preserve">Про вищу освіту: </w:t>
      </w:r>
      <w:r w:rsidRPr="003B5892">
        <w:rPr>
          <w:rFonts w:ascii="Times New Roman" w:eastAsia="Times New Roman" w:hAnsi="Times New Roman" w:cs="Times New Roman"/>
          <w:kern w:val="0"/>
          <w:sz w:val="24"/>
          <w:szCs w:val="24"/>
          <w:lang w:val="uk-UA" w:eastAsia="uk-UA"/>
          <w14:ligatures w14:val="none"/>
        </w:rPr>
        <w:t xml:space="preserve">Закон України від </w:t>
      </w:r>
      <w:r w:rsidRPr="003B5892">
        <w:rPr>
          <w:rFonts w:ascii="Times New Roman" w:eastAsia="Times New Roman" w:hAnsi="Times New Roman" w:cs="Times New Roman"/>
          <w:bCs/>
          <w:color w:val="333333"/>
          <w:kern w:val="0"/>
          <w:sz w:val="24"/>
          <w:szCs w:val="24"/>
          <w:shd w:val="clear" w:color="auto" w:fill="FFFFFF"/>
          <w:lang w:val="uk-UA" w:eastAsia="uk-UA"/>
          <w14:ligatures w14:val="none"/>
        </w:rPr>
        <w:t xml:space="preserve">1 липня 2014 року № 1556-VII . </w:t>
      </w:r>
      <w:r w:rsidRPr="003B5892">
        <w:rPr>
          <w:rFonts w:ascii="Times New Roman" w:eastAsia="Times New Roman" w:hAnsi="Times New Roman" w:cs="Times New Roman"/>
          <w:iCs/>
          <w:kern w:val="0"/>
          <w:sz w:val="24"/>
          <w:szCs w:val="24"/>
          <w:lang w:val="pl-PL" w:eastAsia="uk-UA"/>
          <w14:ligatures w14:val="none"/>
        </w:rPr>
        <w:t>URL:</w:t>
      </w:r>
      <w:r w:rsidRPr="003B5892">
        <w:rPr>
          <w:rFonts w:ascii="Times New Roman" w:eastAsia="Times New Roman" w:hAnsi="Times New Roman" w:cs="Times New Roman"/>
          <w:kern w:val="0"/>
          <w:sz w:val="24"/>
          <w:szCs w:val="24"/>
          <w:lang w:val="uk-UA" w:eastAsia="uk-UA"/>
          <w14:ligatures w14:val="none"/>
        </w:rPr>
        <w:t xml:space="preserve"> </w:t>
      </w:r>
      <w:r w:rsidRPr="003B5892">
        <w:rPr>
          <w:rFonts w:ascii="Times New Roman" w:eastAsia="Times New Roman" w:hAnsi="Times New Roman" w:cs="Times New Roman"/>
          <w:bCs/>
          <w:color w:val="333333"/>
          <w:kern w:val="0"/>
          <w:sz w:val="24"/>
          <w:szCs w:val="24"/>
          <w:shd w:val="clear" w:color="auto" w:fill="FFFFFF"/>
          <w:lang w:val="uk-UA" w:eastAsia="uk-UA"/>
          <w14:ligatures w14:val="none"/>
        </w:rPr>
        <w:t xml:space="preserve">https://zakon.rada.gov.ua/laws/show/1556-18#Text. </w:t>
      </w:r>
    </w:p>
    <w:p w14:paraId="7B9F7D82"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 xml:space="preserve">7. </w:t>
      </w:r>
      <w:r w:rsidRPr="003B5892">
        <w:rPr>
          <w:rFonts w:ascii="Times New Roman" w:eastAsia="Times New Roman" w:hAnsi="Times New Roman" w:cs="Times New Roman"/>
          <w:color w:val="0A0A0A"/>
          <w:kern w:val="0"/>
          <w:sz w:val="24"/>
          <w:szCs w:val="24"/>
          <w:lang w:val="uk-UA" w:eastAsia="uk-UA"/>
          <w14:ligatures w14:val="none"/>
        </w:rPr>
        <w:t>Положення про організацію наукової і науково-технічної діяльності в системі Міністерства оборони України:</w:t>
      </w:r>
      <w:r w:rsidRPr="003B5892">
        <w:rPr>
          <w:rFonts w:ascii="Times New Roman" w:eastAsia="Times New Roman" w:hAnsi="Times New Roman" w:cs="Times New Roman"/>
          <w:kern w:val="0"/>
          <w:sz w:val="24"/>
          <w:szCs w:val="24"/>
          <w:lang w:val="uk-UA" w:eastAsia="uk-UA"/>
          <w14:ligatures w14:val="none"/>
        </w:rPr>
        <w:t xml:space="preserve"> наказ Міністерства оборони України від 16 липня 2024 року № 480. </w:t>
      </w:r>
      <w:r w:rsidRPr="003B5892">
        <w:rPr>
          <w:rFonts w:ascii="Times New Roman" w:eastAsia="Times New Roman" w:hAnsi="Times New Roman" w:cs="Times New Roman"/>
          <w:iCs/>
          <w:kern w:val="0"/>
          <w:sz w:val="24"/>
          <w:szCs w:val="24"/>
          <w:lang w:val="pl-PL" w:eastAsia="uk-UA"/>
          <w14:ligatures w14:val="none"/>
        </w:rPr>
        <w:t>URL:</w:t>
      </w:r>
      <w:r w:rsidRPr="003B5892">
        <w:rPr>
          <w:rFonts w:ascii="Times New Roman" w:eastAsia="Times New Roman" w:hAnsi="Times New Roman" w:cs="Times New Roman"/>
          <w:iCs/>
          <w:kern w:val="0"/>
          <w:sz w:val="24"/>
          <w:szCs w:val="24"/>
          <w:lang w:val="uk-UA" w:eastAsia="uk-UA"/>
          <w14:ligatures w14:val="none"/>
        </w:rPr>
        <w:t xml:space="preserve"> </w:t>
      </w:r>
      <w:r w:rsidRPr="003B5892">
        <w:rPr>
          <w:rFonts w:ascii="Times New Roman" w:eastAsia="Times New Roman" w:hAnsi="Times New Roman" w:cs="Times New Roman"/>
          <w:spacing w:val="-4"/>
          <w:kern w:val="0"/>
          <w:sz w:val="24"/>
          <w:szCs w:val="24"/>
          <w:lang w:eastAsia="uk-UA"/>
          <w14:ligatures w14:val="none"/>
        </w:rPr>
        <w:t>https://zakon.rada.gov.ua/laws/show/z1172-16#Text.</w:t>
      </w:r>
    </w:p>
    <w:p w14:paraId="309EE208"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color w:val="0A0A0A"/>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 xml:space="preserve">8. Про затвердження Розподілу основних напрямів наукових досліджень між науковими установами, вищими військовими навчальними закладами, військовими навчальними підрозділами закладів вищої освіти, науковими підрозділами у складі військових частин, установ та організацій системи Міністерства оборони України:  </w:t>
      </w:r>
      <w:r w:rsidRPr="003B5892">
        <w:rPr>
          <w:rFonts w:ascii="Times New Roman" w:eastAsia="Times New Roman" w:hAnsi="Times New Roman" w:cs="Times New Roman"/>
          <w:color w:val="0A0A0A"/>
          <w:kern w:val="0"/>
          <w:sz w:val="24"/>
          <w:szCs w:val="24"/>
          <w:lang w:val="uk-UA" w:eastAsia="uk-UA"/>
          <w14:ligatures w14:val="none"/>
        </w:rPr>
        <w:t xml:space="preserve">наказ </w:t>
      </w:r>
      <w:r w:rsidRPr="003B5892">
        <w:rPr>
          <w:rFonts w:ascii="Times New Roman" w:eastAsia="Times New Roman" w:hAnsi="Times New Roman" w:cs="Times New Roman"/>
          <w:kern w:val="0"/>
          <w:sz w:val="24"/>
          <w:szCs w:val="24"/>
          <w:lang w:val="uk-UA" w:eastAsia="uk-UA"/>
          <w14:ligatures w14:val="none"/>
        </w:rPr>
        <w:t xml:space="preserve">Міністерства оборони України </w:t>
      </w:r>
      <w:r w:rsidRPr="003B5892">
        <w:rPr>
          <w:rFonts w:ascii="Times New Roman" w:eastAsia="Times New Roman" w:hAnsi="Times New Roman" w:cs="Times New Roman"/>
          <w:color w:val="0A0A0A"/>
          <w:kern w:val="0"/>
          <w:sz w:val="24"/>
          <w:szCs w:val="24"/>
          <w:lang w:val="uk-UA" w:eastAsia="uk-UA"/>
          <w14:ligatures w14:val="none"/>
        </w:rPr>
        <w:t>Міноборони від 29 листопада 2025 № 837/нм.</w:t>
      </w:r>
    </w:p>
    <w:p w14:paraId="5A5225D8"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 xml:space="preserve">9. Про національну безпеку України: Закон України від </w:t>
      </w:r>
      <w:r w:rsidRPr="003B5892">
        <w:rPr>
          <w:rFonts w:ascii="Times New Roman" w:eastAsia="Times New Roman" w:hAnsi="Times New Roman" w:cs="Times New Roman"/>
          <w:bCs/>
          <w:color w:val="333333"/>
          <w:kern w:val="0"/>
          <w:sz w:val="24"/>
          <w:szCs w:val="24"/>
          <w:shd w:val="clear" w:color="auto" w:fill="FFFFFF"/>
          <w:lang w:val="uk-UA" w:eastAsia="uk-UA"/>
          <w14:ligatures w14:val="none"/>
        </w:rPr>
        <w:t>21 червня 2018 року</w:t>
      </w:r>
      <w:r w:rsidRPr="003B5892">
        <w:rPr>
          <w:rFonts w:ascii="Times New Roman" w:eastAsia="Times New Roman" w:hAnsi="Times New Roman" w:cs="Times New Roman"/>
          <w:color w:val="333333"/>
          <w:kern w:val="0"/>
          <w:sz w:val="24"/>
          <w:szCs w:val="24"/>
          <w:lang w:val="uk-UA" w:eastAsia="uk-UA"/>
          <w14:ligatures w14:val="none"/>
        </w:rPr>
        <w:br/>
      </w:r>
      <w:r w:rsidRPr="003B5892">
        <w:rPr>
          <w:rFonts w:ascii="Times New Roman" w:eastAsia="Times New Roman" w:hAnsi="Times New Roman" w:cs="Times New Roman"/>
          <w:bCs/>
          <w:color w:val="333333"/>
          <w:kern w:val="0"/>
          <w:sz w:val="24"/>
          <w:szCs w:val="24"/>
          <w:shd w:val="clear" w:color="auto" w:fill="FFFFFF"/>
          <w:lang w:val="uk-UA" w:eastAsia="uk-UA"/>
          <w14:ligatures w14:val="none"/>
        </w:rPr>
        <w:t xml:space="preserve">№ 2469-VIII </w:t>
      </w:r>
      <w:r w:rsidRPr="003B5892">
        <w:rPr>
          <w:rFonts w:ascii="Times New Roman" w:eastAsia="Times New Roman" w:hAnsi="Times New Roman" w:cs="Times New Roman"/>
          <w:kern w:val="0"/>
          <w:sz w:val="24"/>
          <w:szCs w:val="24"/>
          <w:shd w:val="clear" w:color="auto" w:fill="FFFFFF"/>
          <w:lang w:val="uk-UA" w:eastAsia="uk-UA"/>
          <w14:ligatures w14:val="none"/>
        </w:rPr>
        <w:t>(редакція станом на 24 січня 2026 року</w:t>
      </w:r>
      <w:r w:rsidRPr="003B5892">
        <w:rPr>
          <w:rFonts w:ascii="Times New Roman" w:eastAsia="Times New Roman" w:hAnsi="Times New Roman" w:cs="Times New Roman"/>
          <w:color w:val="474747"/>
          <w:kern w:val="0"/>
          <w:sz w:val="24"/>
          <w:szCs w:val="24"/>
          <w:shd w:val="clear" w:color="auto" w:fill="FFFFFF"/>
          <w:lang w:val="uk-UA" w:eastAsia="uk-UA"/>
          <w14:ligatures w14:val="none"/>
        </w:rPr>
        <w:t>).</w:t>
      </w:r>
      <w:r w:rsidRPr="003B5892">
        <w:rPr>
          <w:rFonts w:ascii="Times New Roman" w:eastAsia="Times New Roman" w:hAnsi="Times New Roman" w:cs="Times New Roman"/>
          <w:color w:val="0A0A0A"/>
          <w:kern w:val="0"/>
          <w:sz w:val="24"/>
          <w:szCs w:val="24"/>
          <w:lang w:val="uk-UA" w:eastAsia="uk-UA"/>
          <w14:ligatures w14:val="none"/>
        </w:rPr>
        <w:t xml:space="preserve"> </w:t>
      </w:r>
      <w:r w:rsidRPr="003B5892">
        <w:rPr>
          <w:rFonts w:ascii="Times New Roman" w:eastAsia="Times New Roman" w:hAnsi="Times New Roman" w:cs="Times New Roman"/>
          <w:iCs/>
          <w:kern w:val="0"/>
          <w:sz w:val="24"/>
          <w:szCs w:val="24"/>
          <w:lang w:val="pl-PL" w:eastAsia="uk-UA"/>
          <w14:ligatures w14:val="none"/>
        </w:rPr>
        <w:t>URL:</w:t>
      </w:r>
      <w:r w:rsidRPr="003B5892">
        <w:rPr>
          <w:rFonts w:ascii="Times New Roman" w:eastAsia="Times New Roman" w:hAnsi="Times New Roman" w:cs="Times New Roman"/>
          <w:iCs/>
          <w:kern w:val="0"/>
          <w:sz w:val="24"/>
          <w:szCs w:val="24"/>
          <w:lang w:val="uk-UA" w:eastAsia="uk-UA"/>
          <w14:ligatures w14:val="none"/>
        </w:rPr>
        <w:t xml:space="preserve"> </w:t>
      </w:r>
      <w:r w:rsidRPr="003B5892">
        <w:rPr>
          <w:rFonts w:ascii="Times New Roman" w:eastAsia="Times New Roman" w:hAnsi="Times New Roman" w:cs="Times New Roman"/>
          <w:color w:val="0A0A0A"/>
          <w:kern w:val="0"/>
          <w:sz w:val="24"/>
          <w:szCs w:val="24"/>
          <w:lang w:val="uk-UA" w:eastAsia="uk-UA"/>
          <w14:ligatures w14:val="none"/>
        </w:rPr>
        <w:t>https:// ьzakon.rada.gov.ua/laws/show/2469-19#Text.</w:t>
      </w:r>
    </w:p>
    <w:p w14:paraId="1C82C09D" w14:textId="40F57D6B" w:rsidR="000F5770" w:rsidRPr="003B5892" w:rsidRDefault="000F5770" w:rsidP="00023291">
      <w:pPr>
        <w:tabs>
          <w:tab w:val="left" w:pos="9638"/>
        </w:tabs>
        <w:spacing w:after="0" w:line="240" w:lineRule="auto"/>
        <w:jc w:val="both"/>
        <w:rPr>
          <w:rFonts w:ascii="Times New Roman" w:eastAsia="Times New Roman" w:hAnsi="Times New Roman" w:cs="Times New Roman"/>
          <w:spacing w:val="-2"/>
          <w:kern w:val="28"/>
          <w:sz w:val="24"/>
          <w:szCs w:val="24"/>
          <w:lang w:val="uk-UA"/>
          <w14:ligatures w14:val="none"/>
        </w:rPr>
      </w:pPr>
      <w:r w:rsidRPr="003B5892">
        <w:rPr>
          <w:rFonts w:ascii="Times New Roman" w:eastAsia="Times New Roman" w:hAnsi="Times New Roman" w:cs="Times New Roman"/>
          <w:spacing w:val="-2"/>
          <w:kern w:val="28"/>
          <w:sz w:val="24"/>
          <w:szCs w:val="24"/>
          <w:lang w:val="uk-UA"/>
          <w14:ligatures w14:val="none"/>
        </w:rPr>
        <w:t xml:space="preserve">10. Єдиний перелік (Каталог) спроможностей МО України, ЗС України та інших складових сил оборони, </w:t>
      </w:r>
      <w:r w:rsidRPr="003B5892">
        <w:rPr>
          <w:rFonts w:ascii="Times New Roman" w:eastAsia="Times New Roman" w:hAnsi="Times New Roman" w:cs="Times New Roman"/>
          <w:kern w:val="0"/>
          <w:sz w:val="24"/>
          <w:szCs w:val="24"/>
          <w:lang w:val="uk-UA"/>
          <w14:ligatures w14:val="none"/>
        </w:rPr>
        <w:t xml:space="preserve">затверджений Міністром оборони України 31.12.2021.  </w:t>
      </w:r>
      <w:r w:rsidRPr="003B5892">
        <w:rPr>
          <w:rFonts w:ascii="Times New Roman" w:eastAsia="Times New Roman" w:hAnsi="Times New Roman" w:cs="Times New Roman"/>
          <w:iCs/>
          <w:kern w:val="0"/>
          <w:sz w:val="24"/>
          <w:szCs w:val="24"/>
          <w:lang w:val="pl-PL"/>
          <w14:ligatures w14:val="none"/>
        </w:rPr>
        <w:t>URL:</w:t>
      </w:r>
      <w:r w:rsidRPr="003B5892">
        <w:rPr>
          <w:rFonts w:ascii="Times New Roman" w:eastAsia="Times New Roman" w:hAnsi="Times New Roman" w:cs="Times New Roman"/>
          <w:iCs/>
          <w:kern w:val="0"/>
          <w:sz w:val="24"/>
          <w:szCs w:val="24"/>
          <w:lang w:val="uk-UA"/>
          <w14:ligatures w14:val="none"/>
        </w:rPr>
        <w:t xml:space="preserve"> </w:t>
      </w:r>
      <w:r w:rsidRPr="003B5892">
        <w:rPr>
          <w:rFonts w:ascii="Times New Roman" w:eastAsia="Times New Roman" w:hAnsi="Times New Roman" w:cs="Times New Roman"/>
          <w:kern w:val="0"/>
          <w:sz w:val="24"/>
          <w:szCs w:val="24"/>
          <w:lang w:val="uk-UA"/>
          <w14:ligatures w14:val="none"/>
        </w:rPr>
        <w:t xml:space="preserve">   </w:t>
      </w:r>
      <w:hyperlink r:id="rId41" w:history="1">
        <w:r w:rsidRPr="003B5892">
          <w:rPr>
            <w:rFonts w:ascii="Times New Roman" w:eastAsia="Times New Roman" w:hAnsi="Times New Roman" w:cs="Times New Roman"/>
            <w:kern w:val="0"/>
            <w:sz w:val="24"/>
            <w:szCs w:val="24"/>
            <w14:ligatures w14:val="none"/>
          </w:rPr>
          <w:t>https</w:t>
        </w:r>
        <w:r w:rsidRPr="003B5892">
          <w:rPr>
            <w:rFonts w:ascii="Times New Roman" w:eastAsia="Times New Roman" w:hAnsi="Times New Roman" w:cs="Times New Roman"/>
            <w:kern w:val="0"/>
            <w:sz w:val="24"/>
            <w:szCs w:val="24"/>
            <w:lang w:val="uk-UA"/>
            <w14:ligatures w14:val="none"/>
          </w:rPr>
          <w:t>://</w:t>
        </w:r>
        <w:r w:rsidRPr="003B5892">
          <w:rPr>
            <w:rFonts w:ascii="Times New Roman" w:eastAsia="Times New Roman" w:hAnsi="Times New Roman" w:cs="Times New Roman"/>
            <w:kern w:val="0"/>
            <w:sz w:val="24"/>
            <w:szCs w:val="24"/>
            <w14:ligatures w14:val="none"/>
          </w:rPr>
          <w:t>zakon</w:t>
        </w:r>
        <w:r w:rsidRPr="003B5892">
          <w:rPr>
            <w:rFonts w:ascii="Times New Roman" w:eastAsia="Times New Roman" w:hAnsi="Times New Roman" w:cs="Times New Roman"/>
            <w:kern w:val="0"/>
            <w:sz w:val="24"/>
            <w:szCs w:val="24"/>
            <w:lang w:val="uk-UA"/>
            <w14:ligatures w14:val="none"/>
          </w:rPr>
          <w:t>.</w:t>
        </w:r>
        <w:r w:rsidRPr="003B5892">
          <w:rPr>
            <w:rFonts w:ascii="Times New Roman" w:eastAsia="Times New Roman" w:hAnsi="Times New Roman" w:cs="Times New Roman"/>
            <w:kern w:val="0"/>
            <w:sz w:val="24"/>
            <w:szCs w:val="24"/>
            <w14:ligatures w14:val="none"/>
          </w:rPr>
          <w:t>rada</w:t>
        </w:r>
      </w:hyperlink>
      <w:r w:rsidRPr="003B5892">
        <w:rPr>
          <w:rFonts w:ascii="Times New Roman" w:eastAsia="Times New Roman" w:hAnsi="Times New Roman" w:cs="Times New Roman"/>
          <w:kern w:val="0"/>
          <w:sz w:val="24"/>
          <w:szCs w:val="24"/>
          <w:lang w:val="uk-UA"/>
          <w14:ligatures w14:val="none"/>
        </w:rPr>
        <w:t xml:space="preserve">. </w:t>
      </w:r>
      <w:r w:rsidRPr="003B5892">
        <w:rPr>
          <w:rFonts w:ascii="Times New Roman" w:eastAsia="Times New Roman" w:hAnsi="Times New Roman" w:cs="Times New Roman"/>
          <w:kern w:val="0"/>
          <w:sz w:val="24"/>
          <w:szCs w:val="24"/>
          <w14:ligatures w14:val="none"/>
        </w:rPr>
        <w:t>gov</w:t>
      </w:r>
      <w:r w:rsidRPr="003B5892">
        <w:rPr>
          <w:rFonts w:ascii="Times New Roman" w:eastAsia="Times New Roman" w:hAnsi="Times New Roman" w:cs="Times New Roman"/>
          <w:kern w:val="0"/>
          <w:sz w:val="24"/>
          <w:szCs w:val="24"/>
          <w:lang w:val="uk-UA"/>
          <w14:ligatures w14:val="none"/>
        </w:rPr>
        <w:t>.</w:t>
      </w:r>
      <w:r w:rsidRPr="003B5892">
        <w:rPr>
          <w:rFonts w:ascii="Times New Roman" w:eastAsia="Times New Roman" w:hAnsi="Times New Roman" w:cs="Times New Roman"/>
          <w:kern w:val="0"/>
          <w:sz w:val="24"/>
          <w:szCs w:val="24"/>
          <w14:ligatures w14:val="none"/>
        </w:rPr>
        <w:t>ua</w:t>
      </w:r>
      <w:r w:rsidRPr="003B5892">
        <w:rPr>
          <w:rFonts w:ascii="Times New Roman" w:eastAsia="Times New Roman" w:hAnsi="Times New Roman" w:cs="Times New Roman"/>
          <w:kern w:val="0"/>
          <w:sz w:val="24"/>
          <w:szCs w:val="24"/>
          <w:lang w:val="uk-UA"/>
          <w14:ligatures w14:val="none"/>
        </w:rPr>
        <w:t xml:space="preserve">/ </w:t>
      </w:r>
      <w:r w:rsidRPr="003B5892">
        <w:rPr>
          <w:rFonts w:ascii="Times New Roman" w:eastAsia="Times New Roman" w:hAnsi="Times New Roman" w:cs="Times New Roman"/>
          <w:kern w:val="0"/>
          <w:sz w:val="24"/>
          <w:szCs w:val="24"/>
          <w14:ligatures w14:val="none"/>
        </w:rPr>
        <w:t>laws</w:t>
      </w:r>
      <w:r w:rsidRPr="003B5892">
        <w:rPr>
          <w:rFonts w:ascii="Times New Roman" w:eastAsia="Times New Roman" w:hAnsi="Times New Roman" w:cs="Times New Roman"/>
          <w:kern w:val="0"/>
          <w:sz w:val="24"/>
          <w:szCs w:val="24"/>
          <w:lang w:val="uk-UA"/>
          <w14:ligatures w14:val="none"/>
        </w:rPr>
        <w:t>/</w:t>
      </w:r>
      <w:r w:rsidRPr="003B5892">
        <w:rPr>
          <w:rFonts w:ascii="Times New Roman" w:eastAsia="Times New Roman" w:hAnsi="Times New Roman" w:cs="Times New Roman"/>
          <w:kern w:val="0"/>
          <w:sz w:val="24"/>
          <w:szCs w:val="24"/>
          <w14:ligatures w14:val="none"/>
        </w:rPr>
        <w:t>term</w:t>
      </w:r>
      <w:r w:rsidRPr="003B5892">
        <w:rPr>
          <w:rFonts w:ascii="Times New Roman" w:eastAsia="Times New Roman" w:hAnsi="Times New Roman" w:cs="Times New Roman"/>
          <w:kern w:val="0"/>
          <w:sz w:val="24"/>
          <w:szCs w:val="24"/>
          <w:lang w:val="uk-UA"/>
          <w14:ligatures w14:val="none"/>
        </w:rPr>
        <w:t>/</w:t>
      </w:r>
      <w:r w:rsidRPr="003B5892">
        <w:rPr>
          <w:rFonts w:ascii="Times New Roman" w:eastAsia="Times New Roman" w:hAnsi="Times New Roman" w:cs="Times New Roman"/>
          <w:kern w:val="0"/>
          <w:sz w:val="24"/>
          <w:szCs w:val="24"/>
          <w14:ligatures w14:val="none"/>
        </w:rPr>
        <w:t>en</w:t>
      </w:r>
      <w:r w:rsidRPr="003B5892">
        <w:rPr>
          <w:rFonts w:ascii="Times New Roman" w:eastAsia="Times New Roman" w:hAnsi="Times New Roman" w:cs="Times New Roman"/>
          <w:kern w:val="0"/>
          <w:sz w:val="24"/>
          <w:szCs w:val="24"/>
          <w:lang w:val="uk-UA"/>
          <w14:ligatures w14:val="none"/>
        </w:rPr>
        <w:t>-</w:t>
      </w:r>
      <w:r w:rsidRPr="003B5892">
        <w:rPr>
          <w:rFonts w:ascii="Times New Roman" w:eastAsia="Times New Roman" w:hAnsi="Times New Roman" w:cs="Times New Roman"/>
          <w:kern w:val="0"/>
          <w:sz w:val="24"/>
          <w:szCs w:val="24"/>
          <w14:ligatures w14:val="none"/>
        </w:rPr>
        <w:t>sr</w:t>
      </w:r>
      <w:r w:rsidRPr="003B5892">
        <w:rPr>
          <w:rFonts w:ascii="Times New Roman" w:eastAsia="Times New Roman" w:hAnsi="Times New Roman" w:cs="Times New Roman"/>
          <w:kern w:val="0"/>
          <w:sz w:val="24"/>
          <w:szCs w:val="24"/>
          <w:lang w:val="uk-UA"/>
          <w14:ligatures w14:val="none"/>
        </w:rPr>
        <w:t>/51098 .</w:t>
      </w:r>
    </w:p>
    <w:p w14:paraId="5F240526" w14:textId="77777777" w:rsidR="000F5770" w:rsidRPr="003B5892" w:rsidRDefault="000F5770" w:rsidP="00023291">
      <w:pPr>
        <w:tabs>
          <w:tab w:val="left" w:pos="9638"/>
        </w:tabs>
        <w:spacing w:after="0" w:line="240" w:lineRule="auto"/>
        <w:jc w:val="both"/>
        <w:rPr>
          <w:rFonts w:ascii="Times New Roman" w:eastAsia="Times New Roman" w:hAnsi="Times New Roman" w:cs="Times New Roman"/>
          <w:b/>
          <w:bCs/>
          <w:kern w:val="0"/>
          <w:sz w:val="24"/>
          <w:szCs w:val="24"/>
          <w:lang w:eastAsia="ru-RU"/>
          <w14:ligatures w14:val="none"/>
        </w:rPr>
      </w:pPr>
    </w:p>
    <w:p w14:paraId="03E672E7" w14:textId="77777777" w:rsidR="000F5770" w:rsidRPr="003B5892" w:rsidRDefault="000F5770" w:rsidP="00023291">
      <w:pPr>
        <w:tabs>
          <w:tab w:val="left" w:pos="9638"/>
        </w:tabs>
        <w:spacing w:after="0" w:line="240" w:lineRule="auto"/>
        <w:jc w:val="center"/>
        <w:rPr>
          <w:rFonts w:ascii="Times New Roman" w:eastAsia="Times New Roman" w:hAnsi="Times New Roman" w:cs="Times New Roman"/>
          <w:b/>
          <w:bCs/>
          <w:kern w:val="0"/>
          <w:sz w:val="24"/>
          <w:szCs w:val="24"/>
          <w:lang w:val="uk-UA" w:eastAsia="ru-RU"/>
          <w14:ligatures w14:val="none"/>
        </w:rPr>
      </w:pPr>
      <w:r w:rsidRPr="003B5892">
        <w:rPr>
          <w:rFonts w:ascii="Times New Roman" w:eastAsia="Times New Roman" w:hAnsi="Times New Roman" w:cs="Times New Roman"/>
          <w:b/>
          <w:bCs/>
          <w:kern w:val="0"/>
          <w:sz w:val="24"/>
          <w:szCs w:val="24"/>
          <w:lang w:val="uk-UA" w:eastAsia="ru-RU"/>
          <w14:ligatures w14:val="none"/>
        </w:rPr>
        <w:t>REFERENCES</w:t>
      </w:r>
    </w:p>
    <w:p w14:paraId="3AD2B134" w14:textId="77777777" w:rsidR="000F5770" w:rsidRPr="003B5892" w:rsidRDefault="000F5770" w:rsidP="00023291">
      <w:pPr>
        <w:shd w:val="clear" w:color="auto" w:fill="F8F9FA"/>
        <w:tabs>
          <w:tab w:val="left" w:pos="9638"/>
        </w:tabs>
        <w:spacing w:after="0" w:line="240" w:lineRule="auto"/>
        <w:jc w:val="both"/>
        <w:rPr>
          <w:rFonts w:ascii="Times New Roman" w:eastAsia="Times New Roman" w:hAnsi="Times New Roman" w:cs="Times New Roman"/>
          <w:kern w:val="0"/>
          <w:sz w:val="24"/>
          <w:szCs w:val="24"/>
          <w:lang w:val="uk-UA" w:eastAsia="ru-RU"/>
          <w14:ligatures w14:val="none"/>
        </w:rPr>
      </w:pPr>
      <w:r w:rsidRPr="003B5892">
        <w:rPr>
          <w:rFonts w:ascii="Times New Roman" w:eastAsia="Times New Roman" w:hAnsi="Times New Roman" w:cs="Times New Roman"/>
          <w:kern w:val="0"/>
          <w:sz w:val="24"/>
          <w:szCs w:val="24"/>
          <w:lang w:eastAsia="ru-RU"/>
          <w14:ligatures w14:val="none"/>
        </w:rPr>
        <w:t xml:space="preserve">            1.  </w:t>
      </w:r>
      <w:r w:rsidRPr="003B5892">
        <w:rPr>
          <w:rFonts w:ascii="Times New Roman" w:eastAsia="Times New Roman" w:hAnsi="Times New Roman" w:cs="Times New Roman"/>
          <w:kern w:val="0"/>
          <w:sz w:val="24"/>
          <w:szCs w:val="24"/>
          <w:lang w:val="uk-UA" w:eastAsia="ru-RU"/>
          <w14:ligatures w14:val="none"/>
        </w:rPr>
        <w:t>Malitskyi B. A. Analiz rozvytku nauky Ukrainy v konteksti zmin derzhavnoi naukovoi polityky [</w:t>
      </w:r>
      <w:r w:rsidRPr="003B5892">
        <w:rPr>
          <w:rFonts w:ascii="Times New Roman" w:eastAsia="Times New Roman" w:hAnsi="Times New Roman" w:cs="Times New Roman"/>
          <w:color w:val="1F1F1F"/>
          <w:kern w:val="0"/>
          <w:sz w:val="24"/>
          <w:szCs w:val="24"/>
          <w:lang w:val="en" w:eastAsia="uk-UA"/>
          <w14:ligatures w14:val="none"/>
        </w:rPr>
        <w:t>Analysis of the development of science in Ukraine in the context of changes in state science policy</w:t>
      </w:r>
      <w:r w:rsidRPr="003B5892">
        <w:rPr>
          <w:rFonts w:ascii="Times New Roman" w:eastAsia="Times New Roman" w:hAnsi="Times New Roman" w:cs="Times New Roman"/>
          <w:kern w:val="0"/>
          <w:sz w:val="24"/>
          <w:szCs w:val="24"/>
          <w:lang w:val="uk-UA" w:eastAsia="ru-RU"/>
          <w14:ligatures w14:val="none"/>
        </w:rPr>
        <w:t>]. Nauka ta naukoznavstvo. 2016. № 3. S. 3–17.</w:t>
      </w:r>
    </w:p>
    <w:p w14:paraId="3FE4F4F4" w14:textId="77777777" w:rsidR="000F5770" w:rsidRPr="003B5892" w:rsidRDefault="000F5770" w:rsidP="00023291">
      <w:pPr>
        <w:shd w:val="clear" w:color="auto" w:fill="F8F9FA"/>
        <w:tabs>
          <w:tab w:val="left" w:pos="9638"/>
        </w:tabs>
        <w:spacing w:after="0" w:line="240" w:lineRule="auto"/>
        <w:jc w:val="both"/>
        <w:rPr>
          <w:rFonts w:ascii="Times New Roman" w:eastAsia="Times New Roman" w:hAnsi="Times New Roman" w:cs="Times New Roman"/>
          <w:kern w:val="0"/>
          <w:sz w:val="24"/>
          <w:szCs w:val="24"/>
          <w:lang w:val="uk-UA" w:eastAsia="ru-RU"/>
          <w14:ligatures w14:val="none"/>
        </w:rPr>
      </w:pPr>
      <w:r w:rsidRPr="003B5892">
        <w:rPr>
          <w:rFonts w:ascii="Times New Roman" w:eastAsia="Times New Roman" w:hAnsi="Times New Roman" w:cs="Times New Roman"/>
          <w:kern w:val="0"/>
          <w:sz w:val="24"/>
          <w:szCs w:val="24"/>
          <w:lang w:val="uk-UA" w:eastAsia="ru-RU"/>
          <w14:ligatures w14:val="none"/>
        </w:rPr>
        <w:t xml:space="preserve"> </w:t>
      </w:r>
      <w:r w:rsidRPr="003B5892">
        <w:rPr>
          <w:rFonts w:ascii="Times New Roman" w:eastAsia="Times New Roman" w:hAnsi="Times New Roman" w:cs="Times New Roman"/>
          <w:kern w:val="0"/>
          <w:sz w:val="24"/>
          <w:szCs w:val="24"/>
          <w:lang w:eastAsia="ru-RU"/>
          <w14:ligatures w14:val="none"/>
        </w:rPr>
        <w:t xml:space="preserve">           </w:t>
      </w:r>
      <w:r w:rsidRPr="003B5892">
        <w:rPr>
          <w:rFonts w:ascii="Times New Roman" w:eastAsia="Times New Roman" w:hAnsi="Times New Roman" w:cs="Times New Roman"/>
          <w:kern w:val="0"/>
          <w:sz w:val="24"/>
          <w:szCs w:val="24"/>
          <w:lang w:val="uk-UA" w:eastAsia="ru-RU"/>
          <w14:ligatures w14:val="none"/>
        </w:rPr>
        <w:t>2. Malitskyi B.A. Nauka, tekhnolohii, innovatsii ta natsionalna bezpeka: teoretychni ta prykladni aspekty [</w:t>
      </w:r>
      <w:r w:rsidRPr="003B5892">
        <w:rPr>
          <w:rFonts w:ascii="Times New Roman" w:eastAsia="Times New Roman" w:hAnsi="Times New Roman" w:cs="Times New Roman"/>
          <w:color w:val="1F1F1F"/>
          <w:kern w:val="0"/>
          <w:sz w:val="24"/>
          <w:szCs w:val="24"/>
          <w:lang w:val="en" w:eastAsia="uk-UA"/>
          <w14:ligatures w14:val="none"/>
        </w:rPr>
        <w:t>Science, technology, innovation and national security: theoretical and practical aspects</w:t>
      </w:r>
      <w:r w:rsidRPr="003B5892">
        <w:rPr>
          <w:rFonts w:ascii="Times New Roman" w:eastAsia="Times New Roman" w:hAnsi="Times New Roman" w:cs="Times New Roman"/>
          <w:kern w:val="0"/>
          <w:sz w:val="24"/>
          <w:szCs w:val="24"/>
          <w:lang w:val="uk-UA" w:eastAsia="ru-RU"/>
          <w14:ligatures w14:val="none"/>
        </w:rPr>
        <w:t>]. – Makarov: KZhT «Sofiia», 2014. – 58 s.</w:t>
      </w:r>
    </w:p>
    <w:p w14:paraId="4D95FF0B" w14:textId="77777777" w:rsidR="000F5770" w:rsidRPr="003B5892" w:rsidRDefault="000F5770" w:rsidP="00023291">
      <w:pPr>
        <w:shd w:val="clear" w:color="auto" w:fill="F8F9FA"/>
        <w:tabs>
          <w:tab w:val="left" w:pos="9638"/>
        </w:tabs>
        <w:spacing w:after="0" w:line="240" w:lineRule="auto"/>
        <w:jc w:val="both"/>
        <w:rPr>
          <w:rFonts w:ascii="Times New Roman" w:eastAsia="Times New Roman" w:hAnsi="Times New Roman" w:cs="Times New Roman"/>
          <w:kern w:val="0"/>
          <w:sz w:val="24"/>
          <w:szCs w:val="24"/>
          <w:lang w:val="uk-UA" w:eastAsia="ru-RU"/>
          <w14:ligatures w14:val="none"/>
        </w:rPr>
      </w:pPr>
      <w:r w:rsidRPr="003B5892">
        <w:rPr>
          <w:rFonts w:ascii="Times New Roman" w:eastAsia="Times New Roman" w:hAnsi="Times New Roman" w:cs="Times New Roman"/>
          <w:kern w:val="0"/>
          <w:sz w:val="24"/>
          <w:szCs w:val="24"/>
          <w:lang w:eastAsia="ru-RU"/>
          <w14:ligatures w14:val="none"/>
        </w:rPr>
        <w:t xml:space="preserve">            </w:t>
      </w:r>
      <w:r w:rsidRPr="003B5892">
        <w:rPr>
          <w:rFonts w:ascii="Times New Roman" w:eastAsia="Times New Roman" w:hAnsi="Times New Roman" w:cs="Times New Roman"/>
          <w:kern w:val="0"/>
          <w:sz w:val="24"/>
          <w:szCs w:val="24"/>
          <w:lang w:val="uk-UA" w:eastAsia="ru-RU"/>
          <w14:ligatures w14:val="none"/>
        </w:rPr>
        <w:t>3.Terytorialna orhanizatsiia innovatsiinoho rozvytku [</w:t>
      </w:r>
      <w:r w:rsidRPr="003B5892">
        <w:rPr>
          <w:rFonts w:ascii="Times New Roman" w:eastAsia="Times New Roman" w:hAnsi="Times New Roman" w:cs="Times New Roman"/>
          <w:color w:val="1F1F1F"/>
          <w:kern w:val="0"/>
          <w:sz w:val="24"/>
          <w:szCs w:val="24"/>
          <w:lang w:val="en" w:eastAsia="uk-UA"/>
          <w14:ligatures w14:val="none"/>
        </w:rPr>
        <w:t>Territorial organization of innovative development</w:t>
      </w:r>
      <w:r w:rsidRPr="003B5892">
        <w:rPr>
          <w:rFonts w:ascii="Times New Roman" w:eastAsia="Times New Roman" w:hAnsi="Times New Roman" w:cs="Times New Roman"/>
          <w:kern w:val="0"/>
          <w:sz w:val="24"/>
          <w:szCs w:val="24"/>
          <w:lang w:val="uk-UA" w:eastAsia="ru-RU"/>
          <w14:ligatures w14:val="none"/>
        </w:rPr>
        <w:t>. / O.V. Dymchenko, P.T. Bubenko // BIZNESINFORM. – № 6. – 2020. – S.109-115 http://oaji.net/ articles/2020/727-1597904202.pdf.</w:t>
      </w:r>
    </w:p>
    <w:p w14:paraId="0E663100" w14:textId="77777777" w:rsidR="000F5770" w:rsidRPr="003B5892" w:rsidRDefault="000F5770" w:rsidP="00023291">
      <w:pPr>
        <w:shd w:val="clear" w:color="auto" w:fill="F8F9FA"/>
        <w:tabs>
          <w:tab w:val="left" w:pos="9638"/>
        </w:tabs>
        <w:spacing w:after="0" w:line="240" w:lineRule="auto"/>
        <w:ind w:firstLine="708"/>
        <w:jc w:val="both"/>
        <w:rPr>
          <w:rFonts w:ascii="Times New Roman" w:eastAsia="Times New Roman" w:hAnsi="Times New Roman" w:cs="Times New Roman"/>
          <w:kern w:val="0"/>
          <w:sz w:val="24"/>
          <w:szCs w:val="24"/>
          <w:lang w:val="uk-UA" w:eastAsia="ru-RU"/>
          <w14:ligatures w14:val="none"/>
        </w:rPr>
      </w:pPr>
      <w:r w:rsidRPr="003B5892">
        <w:rPr>
          <w:rFonts w:ascii="Times New Roman" w:eastAsia="Times New Roman" w:hAnsi="Times New Roman" w:cs="Times New Roman"/>
          <w:kern w:val="0"/>
          <w:sz w:val="24"/>
          <w:szCs w:val="24"/>
          <w:lang w:val="uk-UA" w:eastAsia="ru-RU"/>
          <w14:ligatures w14:val="none"/>
        </w:rPr>
        <w:t xml:space="preserve">4. </w:t>
      </w:r>
      <w:r w:rsidRPr="003B5892">
        <w:rPr>
          <w:rFonts w:ascii="Times New Roman" w:eastAsia="Times New Roman" w:hAnsi="Times New Roman" w:cs="Times New Roman"/>
          <w:kern w:val="0"/>
          <w:sz w:val="24"/>
          <w:szCs w:val="24"/>
          <w:lang w:eastAsia="ru-RU"/>
          <w14:ligatures w14:val="none"/>
        </w:rPr>
        <w:t>Pro</w:t>
      </w:r>
      <w:r w:rsidRPr="003B5892">
        <w:rPr>
          <w:rFonts w:ascii="Times New Roman" w:eastAsia="Times New Roman" w:hAnsi="Times New Roman" w:cs="Times New Roman"/>
          <w:kern w:val="0"/>
          <w:sz w:val="24"/>
          <w:szCs w:val="24"/>
          <w:lang w:val="uk-UA" w:eastAsia="ru-RU"/>
          <w14:ligatures w14:val="none"/>
        </w:rPr>
        <w:t xml:space="preserve"> </w:t>
      </w:r>
      <w:r w:rsidRPr="003B5892">
        <w:rPr>
          <w:rFonts w:ascii="Times New Roman" w:eastAsia="Times New Roman" w:hAnsi="Times New Roman" w:cs="Times New Roman"/>
          <w:kern w:val="0"/>
          <w:sz w:val="24"/>
          <w:szCs w:val="24"/>
          <w:lang w:eastAsia="ru-RU"/>
          <w14:ligatures w14:val="none"/>
        </w:rPr>
        <w:t>naukovu</w:t>
      </w:r>
      <w:r w:rsidRPr="003B5892">
        <w:rPr>
          <w:rFonts w:ascii="Times New Roman" w:eastAsia="Times New Roman" w:hAnsi="Times New Roman" w:cs="Times New Roman"/>
          <w:kern w:val="0"/>
          <w:sz w:val="24"/>
          <w:szCs w:val="24"/>
          <w:lang w:val="uk-UA" w:eastAsia="ru-RU"/>
          <w14:ligatures w14:val="none"/>
        </w:rPr>
        <w:t xml:space="preserve"> </w:t>
      </w:r>
      <w:r w:rsidRPr="003B5892">
        <w:rPr>
          <w:rFonts w:ascii="Times New Roman" w:eastAsia="Times New Roman" w:hAnsi="Times New Roman" w:cs="Times New Roman"/>
          <w:kern w:val="0"/>
          <w:sz w:val="24"/>
          <w:szCs w:val="24"/>
          <w:lang w:eastAsia="ru-RU"/>
          <w14:ligatures w14:val="none"/>
        </w:rPr>
        <w:t>ta</w:t>
      </w:r>
      <w:r w:rsidRPr="003B5892">
        <w:rPr>
          <w:rFonts w:ascii="Times New Roman" w:eastAsia="Times New Roman" w:hAnsi="Times New Roman" w:cs="Times New Roman"/>
          <w:kern w:val="0"/>
          <w:sz w:val="24"/>
          <w:szCs w:val="24"/>
          <w:lang w:val="uk-UA" w:eastAsia="ru-RU"/>
          <w14:ligatures w14:val="none"/>
        </w:rPr>
        <w:t xml:space="preserve"> </w:t>
      </w:r>
      <w:r w:rsidRPr="003B5892">
        <w:rPr>
          <w:rFonts w:ascii="Times New Roman" w:eastAsia="Times New Roman" w:hAnsi="Times New Roman" w:cs="Times New Roman"/>
          <w:kern w:val="0"/>
          <w:sz w:val="24"/>
          <w:szCs w:val="24"/>
          <w:lang w:eastAsia="ru-RU"/>
          <w14:ligatures w14:val="none"/>
        </w:rPr>
        <w:t>naukovo</w:t>
      </w:r>
      <w:r w:rsidRPr="003B5892">
        <w:rPr>
          <w:rFonts w:ascii="Times New Roman" w:eastAsia="Times New Roman" w:hAnsi="Times New Roman" w:cs="Times New Roman"/>
          <w:kern w:val="0"/>
          <w:sz w:val="24"/>
          <w:szCs w:val="24"/>
          <w:lang w:val="uk-UA" w:eastAsia="ru-RU"/>
          <w14:ligatures w14:val="none"/>
        </w:rPr>
        <w:t>-</w:t>
      </w:r>
      <w:r w:rsidRPr="003B5892">
        <w:rPr>
          <w:rFonts w:ascii="Times New Roman" w:eastAsia="Times New Roman" w:hAnsi="Times New Roman" w:cs="Times New Roman"/>
          <w:kern w:val="0"/>
          <w:sz w:val="24"/>
          <w:szCs w:val="24"/>
          <w:lang w:eastAsia="ru-RU"/>
          <w14:ligatures w14:val="none"/>
        </w:rPr>
        <w:t>tekhnichnu</w:t>
      </w:r>
      <w:r w:rsidRPr="003B5892">
        <w:rPr>
          <w:rFonts w:ascii="Times New Roman" w:eastAsia="Times New Roman" w:hAnsi="Times New Roman" w:cs="Times New Roman"/>
          <w:kern w:val="0"/>
          <w:sz w:val="24"/>
          <w:szCs w:val="24"/>
          <w:lang w:val="uk-UA" w:eastAsia="ru-RU"/>
          <w14:ligatures w14:val="none"/>
        </w:rPr>
        <w:t xml:space="preserve"> </w:t>
      </w:r>
      <w:r w:rsidRPr="003B5892">
        <w:rPr>
          <w:rFonts w:ascii="Times New Roman" w:eastAsia="Times New Roman" w:hAnsi="Times New Roman" w:cs="Times New Roman"/>
          <w:kern w:val="0"/>
          <w:sz w:val="24"/>
          <w:szCs w:val="24"/>
          <w:lang w:eastAsia="ru-RU"/>
          <w14:ligatures w14:val="none"/>
        </w:rPr>
        <w:t>diialnist</w:t>
      </w:r>
      <w:r w:rsidRPr="003B5892">
        <w:rPr>
          <w:rFonts w:ascii="Times New Roman" w:eastAsia="Times New Roman" w:hAnsi="Times New Roman" w:cs="Times New Roman"/>
          <w:kern w:val="0"/>
          <w:sz w:val="24"/>
          <w:szCs w:val="24"/>
          <w:lang w:val="uk-UA" w:eastAsia="ru-RU"/>
          <w14:ligatures w14:val="none"/>
        </w:rPr>
        <w:t xml:space="preserve"> </w:t>
      </w:r>
      <w:r w:rsidRPr="003B5892">
        <w:rPr>
          <w:rFonts w:ascii="Times New Roman" w:eastAsia="Times New Roman" w:hAnsi="Times New Roman" w:cs="Times New Roman"/>
          <w:kern w:val="0"/>
          <w:sz w:val="24"/>
          <w:szCs w:val="24"/>
          <w:lang w:eastAsia="ru-RU"/>
          <w14:ligatures w14:val="none"/>
        </w:rPr>
        <w:t>[</w:t>
      </w:r>
      <w:r w:rsidRPr="003B5892">
        <w:rPr>
          <w:rFonts w:ascii="Times New Roman" w:eastAsia="Times New Roman" w:hAnsi="Times New Roman" w:cs="Times New Roman"/>
          <w:kern w:val="0"/>
          <w:sz w:val="24"/>
          <w:szCs w:val="24"/>
          <w:lang w:val="en" w:eastAsia="uk-UA"/>
          <w14:ligatures w14:val="none"/>
        </w:rPr>
        <w:t>About scientific and scientific and technical activities</w:t>
      </w:r>
      <w:r w:rsidRPr="003B5892">
        <w:rPr>
          <w:rFonts w:ascii="Times New Roman" w:eastAsia="Times New Roman" w:hAnsi="Times New Roman" w:cs="Times New Roman"/>
          <w:kern w:val="0"/>
          <w:sz w:val="24"/>
          <w:szCs w:val="24"/>
          <w:lang w:val="uk-UA" w:eastAsia="ru-RU"/>
          <w14:ligatures w14:val="none"/>
        </w:rPr>
        <w:t xml:space="preserve">]: </w:t>
      </w:r>
      <w:r w:rsidRPr="003B5892">
        <w:rPr>
          <w:rFonts w:ascii="Times New Roman" w:eastAsia="Times New Roman" w:hAnsi="Times New Roman" w:cs="Times New Roman"/>
          <w:kern w:val="0"/>
          <w:sz w:val="24"/>
          <w:szCs w:val="24"/>
          <w:lang w:eastAsia="ru-RU"/>
          <w14:ligatures w14:val="none"/>
        </w:rPr>
        <w:t>Zakon</w:t>
      </w:r>
      <w:r w:rsidRPr="003B5892">
        <w:rPr>
          <w:rFonts w:ascii="Times New Roman" w:eastAsia="Times New Roman" w:hAnsi="Times New Roman" w:cs="Times New Roman"/>
          <w:kern w:val="0"/>
          <w:sz w:val="24"/>
          <w:szCs w:val="24"/>
          <w:lang w:val="uk-UA" w:eastAsia="ru-RU"/>
          <w14:ligatures w14:val="none"/>
        </w:rPr>
        <w:t xml:space="preserve"> </w:t>
      </w:r>
      <w:r w:rsidRPr="003B5892">
        <w:rPr>
          <w:rFonts w:ascii="Times New Roman" w:eastAsia="Times New Roman" w:hAnsi="Times New Roman" w:cs="Times New Roman"/>
          <w:kern w:val="0"/>
          <w:sz w:val="24"/>
          <w:szCs w:val="24"/>
          <w:lang w:eastAsia="ru-RU"/>
          <w14:ligatures w14:val="none"/>
        </w:rPr>
        <w:t>Ukrainy</w:t>
      </w:r>
      <w:r w:rsidRPr="003B5892">
        <w:rPr>
          <w:rFonts w:ascii="Times New Roman" w:eastAsia="Times New Roman" w:hAnsi="Times New Roman" w:cs="Times New Roman"/>
          <w:kern w:val="0"/>
          <w:sz w:val="24"/>
          <w:szCs w:val="24"/>
          <w:lang w:val="uk-UA" w:eastAsia="ru-RU"/>
          <w14:ligatures w14:val="none"/>
        </w:rPr>
        <w:t xml:space="preserve"> </w:t>
      </w:r>
      <w:r w:rsidRPr="003B5892">
        <w:rPr>
          <w:rFonts w:ascii="Times New Roman" w:eastAsia="Times New Roman" w:hAnsi="Times New Roman" w:cs="Times New Roman"/>
          <w:kern w:val="0"/>
          <w:sz w:val="24"/>
          <w:szCs w:val="24"/>
          <w:lang w:eastAsia="ru-RU"/>
          <w14:ligatures w14:val="none"/>
        </w:rPr>
        <w:t>vid</w:t>
      </w:r>
      <w:r w:rsidRPr="003B5892">
        <w:rPr>
          <w:rFonts w:ascii="Times New Roman" w:eastAsia="Times New Roman" w:hAnsi="Times New Roman" w:cs="Times New Roman"/>
          <w:kern w:val="0"/>
          <w:sz w:val="24"/>
          <w:szCs w:val="24"/>
          <w:lang w:val="uk-UA" w:eastAsia="ru-RU"/>
          <w14:ligatures w14:val="none"/>
        </w:rPr>
        <w:t xml:space="preserve"> 26 </w:t>
      </w:r>
      <w:r w:rsidRPr="003B5892">
        <w:rPr>
          <w:rFonts w:ascii="Times New Roman" w:eastAsia="Times New Roman" w:hAnsi="Times New Roman" w:cs="Times New Roman"/>
          <w:kern w:val="0"/>
          <w:sz w:val="24"/>
          <w:szCs w:val="24"/>
          <w:lang w:eastAsia="ru-RU"/>
          <w14:ligatures w14:val="none"/>
        </w:rPr>
        <w:t>lystopada</w:t>
      </w:r>
      <w:r w:rsidRPr="003B5892">
        <w:rPr>
          <w:rFonts w:ascii="Times New Roman" w:eastAsia="Times New Roman" w:hAnsi="Times New Roman" w:cs="Times New Roman"/>
          <w:kern w:val="0"/>
          <w:sz w:val="24"/>
          <w:szCs w:val="24"/>
          <w:lang w:val="uk-UA" w:eastAsia="ru-RU"/>
          <w14:ligatures w14:val="none"/>
        </w:rPr>
        <w:t xml:space="preserve"> 2015 </w:t>
      </w:r>
      <w:r w:rsidRPr="003B5892">
        <w:rPr>
          <w:rFonts w:ascii="Times New Roman" w:eastAsia="Times New Roman" w:hAnsi="Times New Roman" w:cs="Times New Roman"/>
          <w:kern w:val="0"/>
          <w:sz w:val="24"/>
          <w:szCs w:val="24"/>
          <w:lang w:eastAsia="ru-RU"/>
          <w14:ligatures w14:val="none"/>
        </w:rPr>
        <w:t>r</w:t>
      </w:r>
      <w:r w:rsidRPr="003B5892">
        <w:rPr>
          <w:rFonts w:ascii="Times New Roman" w:eastAsia="Times New Roman" w:hAnsi="Times New Roman" w:cs="Times New Roman"/>
          <w:kern w:val="0"/>
          <w:sz w:val="24"/>
          <w:szCs w:val="24"/>
          <w:lang w:val="uk-UA" w:eastAsia="ru-RU"/>
          <w14:ligatures w14:val="none"/>
        </w:rPr>
        <w:t>. № 848-</w:t>
      </w:r>
      <w:r w:rsidRPr="003B5892">
        <w:rPr>
          <w:rFonts w:ascii="Times New Roman" w:eastAsia="Times New Roman" w:hAnsi="Times New Roman" w:cs="Times New Roman"/>
          <w:kern w:val="0"/>
          <w:sz w:val="24"/>
          <w:szCs w:val="24"/>
          <w:lang w:eastAsia="ru-RU"/>
          <w14:ligatures w14:val="none"/>
        </w:rPr>
        <w:t>VIII</w:t>
      </w:r>
      <w:r w:rsidRPr="003B5892">
        <w:rPr>
          <w:rFonts w:ascii="Times New Roman" w:eastAsia="Times New Roman" w:hAnsi="Times New Roman" w:cs="Times New Roman"/>
          <w:kern w:val="0"/>
          <w:sz w:val="24"/>
          <w:szCs w:val="24"/>
          <w:lang w:val="uk-UA" w:eastAsia="ru-RU"/>
          <w14:ligatures w14:val="none"/>
        </w:rPr>
        <w:t xml:space="preserve"> [</w:t>
      </w:r>
      <w:r w:rsidRPr="003B5892">
        <w:rPr>
          <w:rFonts w:ascii="Times New Roman" w:eastAsia="Times New Roman" w:hAnsi="Times New Roman" w:cs="Times New Roman"/>
          <w:kern w:val="0"/>
          <w:sz w:val="24"/>
          <w:szCs w:val="24"/>
          <w:lang w:eastAsia="ru-RU"/>
          <w14:ligatures w14:val="none"/>
        </w:rPr>
        <w:t>Elektronnyi</w:t>
      </w:r>
      <w:r w:rsidRPr="003B5892">
        <w:rPr>
          <w:rFonts w:ascii="Times New Roman" w:eastAsia="Times New Roman" w:hAnsi="Times New Roman" w:cs="Times New Roman"/>
          <w:kern w:val="0"/>
          <w:sz w:val="24"/>
          <w:szCs w:val="24"/>
          <w:lang w:val="uk-UA" w:eastAsia="ru-RU"/>
          <w14:ligatures w14:val="none"/>
        </w:rPr>
        <w:t xml:space="preserve"> </w:t>
      </w:r>
      <w:r w:rsidRPr="003B5892">
        <w:rPr>
          <w:rFonts w:ascii="Times New Roman" w:eastAsia="Times New Roman" w:hAnsi="Times New Roman" w:cs="Times New Roman"/>
          <w:kern w:val="0"/>
          <w:sz w:val="24"/>
          <w:szCs w:val="24"/>
          <w:lang w:eastAsia="ru-RU"/>
          <w14:ligatures w14:val="none"/>
        </w:rPr>
        <w:t>resurs</w:t>
      </w:r>
      <w:r w:rsidRPr="003B5892">
        <w:rPr>
          <w:rFonts w:ascii="Times New Roman" w:eastAsia="Times New Roman" w:hAnsi="Times New Roman" w:cs="Times New Roman"/>
          <w:kern w:val="0"/>
          <w:sz w:val="24"/>
          <w:szCs w:val="24"/>
          <w:lang w:val="uk-UA" w:eastAsia="ru-RU"/>
          <w14:ligatures w14:val="none"/>
        </w:rPr>
        <w:t xml:space="preserve">] / </w:t>
      </w:r>
      <w:r w:rsidRPr="003B5892">
        <w:rPr>
          <w:rFonts w:ascii="Times New Roman" w:eastAsia="Times New Roman" w:hAnsi="Times New Roman" w:cs="Times New Roman"/>
          <w:kern w:val="0"/>
          <w:sz w:val="24"/>
          <w:szCs w:val="24"/>
          <w:lang w:eastAsia="ru-RU"/>
          <w14:ligatures w14:val="none"/>
        </w:rPr>
        <w:t>Zakonodavstvo</w:t>
      </w:r>
      <w:r w:rsidRPr="003B5892">
        <w:rPr>
          <w:rFonts w:ascii="Times New Roman" w:eastAsia="Times New Roman" w:hAnsi="Times New Roman" w:cs="Times New Roman"/>
          <w:kern w:val="0"/>
          <w:sz w:val="24"/>
          <w:szCs w:val="24"/>
          <w:lang w:val="uk-UA" w:eastAsia="ru-RU"/>
          <w14:ligatures w14:val="none"/>
        </w:rPr>
        <w:t xml:space="preserve"> </w:t>
      </w:r>
      <w:r w:rsidRPr="003B5892">
        <w:rPr>
          <w:rFonts w:ascii="Times New Roman" w:eastAsia="Times New Roman" w:hAnsi="Times New Roman" w:cs="Times New Roman"/>
          <w:kern w:val="0"/>
          <w:sz w:val="24"/>
          <w:szCs w:val="24"/>
          <w:lang w:eastAsia="ru-RU"/>
          <w14:ligatures w14:val="none"/>
        </w:rPr>
        <w:t>Ukrainy</w:t>
      </w:r>
      <w:r w:rsidRPr="003B5892">
        <w:rPr>
          <w:rFonts w:ascii="Times New Roman" w:eastAsia="Times New Roman" w:hAnsi="Times New Roman" w:cs="Times New Roman"/>
          <w:kern w:val="0"/>
          <w:sz w:val="24"/>
          <w:szCs w:val="24"/>
          <w:lang w:val="uk-UA" w:eastAsia="ru-RU"/>
          <w14:ligatures w14:val="none"/>
        </w:rPr>
        <w:t xml:space="preserve">. – </w:t>
      </w:r>
      <w:r w:rsidRPr="003B5892">
        <w:rPr>
          <w:rFonts w:ascii="Times New Roman" w:eastAsia="Times New Roman" w:hAnsi="Times New Roman" w:cs="Times New Roman"/>
          <w:kern w:val="0"/>
          <w:sz w:val="24"/>
          <w:szCs w:val="24"/>
          <w:lang w:eastAsia="ru-RU"/>
          <w14:ligatures w14:val="none"/>
        </w:rPr>
        <w:t>Rezhym</w:t>
      </w:r>
      <w:r w:rsidRPr="003B5892">
        <w:rPr>
          <w:rFonts w:ascii="Times New Roman" w:eastAsia="Times New Roman" w:hAnsi="Times New Roman" w:cs="Times New Roman"/>
          <w:kern w:val="0"/>
          <w:sz w:val="24"/>
          <w:szCs w:val="24"/>
          <w:lang w:val="uk-UA" w:eastAsia="ru-RU"/>
          <w14:ligatures w14:val="none"/>
        </w:rPr>
        <w:t xml:space="preserve"> </w:t>
      </w:r>
      <w:r w:rsidRPr="003B5892">
        <w:rPr>
          <w:rFonts w:ascii="Times New Roman" w:eastAsia="Times New Roman" w:hAnsi="Times New Roman" w:cs="Times New Roman"/>
          <w:kern w:val="0"/>
          <w:sz w:val="24"/>
          <w:szCs w:val="24"/>
          <w:lang w:eastAsia="ru-RU"/>
          <w14:ligatures w14:val="none"/>
        </w:rPr>
        <w:t>dostup</w:t>
      </w:r>
      <w:r w:rsidRPr="003B5892">
        <w:rPr>
          <w:rFonts w:ascii="Times New Roman" w:eastAsia="Times New Roman" w:hAnsi="Times New Roman" w:cs="Times New Roman"/>
          <w:kern w:val="0"/>
          <w:sz w:val="24"/>
          <w:szCs w:val="24"/>
          <w:lang w:val="uk-UA" w:eastAsia="ru-RU"/>
          <w14:ligatures w14:val="none"/>
        </w:rPr>
        <w:t xml:space="preserve">:// </w:t>
      </w:r>
      <w:r w:rsidRPr="003B5892">
        <w:rPr>
          <w:rFonts w:ascii="Times New Roman" w:eastAsia="Times New Roman" w:hAnsi="Times New Roman" w:cs="Times New Roman"/>
          <w:kern w:val="0"/>
          <w:sz w:val="24"/>
          <w:szCs w:val="24"/>
          <w:lang w:eastAsia="ru-RU"/>
          <w14:ligatures w14:val="none"/>
        </w:rPr>
        <w:t>zakon</w:t>
      </w:r>
      <w:r w:rsidRPr="003B5892">
        <w:rPr>
          <w:rFonts w:ascii="Times New Roman" w:eastAsia="Times New Roman" w:hAnsi="Times New Roman" w:cs="Times New Roman"/>
          <w:kern w:val="0"/>
          <w:sz w:val="24"/>
          <w:szCs w:val="24"/>
          <w:lang w:val="uk-UA" w:eastAsia="ru-RU"/>
          <w14:ligatures w14:val="none"/>
        </w:rPr>
        <w:t>.</w:t>
      </w:r>
      <w:r w:rsidRPr="003B5892">
        <w:rPr>
          <w:rFonts w:ascii="Times New Roman" w:eastAsia="Times New Roman" w:hAnsi="Times New Roman" w:cs="Times New Roman"/>
          <w:kern w:val="0"/>
          <w:sz w:val="24"/>
          <w:szCs w:val="24"/>
          <w:lang w:eastAsia="ru-RU"/>
          <w14:ligatures w14:val="none"/>
        </w:rPr>
        <w:t>rada</w:t>
      </w:r>
      <w:r w:rsidRPr="003B5892">
        <w:rPr>
          <w:rFonts w:ascii="Times New Roman" w:eastAsia="Times New Roman" w:hAnsi="Times New Roman" w:cs="Times New Roman"/>
          <w:kern w:val="0"/>
          <w:sz w:val="24"/>
          <w:szCs w:val="24"/>
          <w:lang w:val="uk-UA" w:eastAsia="ru-RU"/>
          <w14:ligatures w14:val="none"/>
        </w:rPr>
        <w:t>.</w:t>
      </w:r>
      <w:r w:rsidRPr="003B5892">
        <w:rPr>
          <w:rFonts w:ascii="Times New Roman" w:eastAsia="Times New Roman" w:hAnsi="Times New Roman" w:cs="Times New Roman"/>
          <w:kern w:val="0"/>
          <w:sz w:val="24"/>
          <w:szCs w:val="24"/>
          <w:lang w:eastAsia="ru-RU"/>
          <w14:ligatures w14:val="none"/>
        </w:rPr>
        <w:t>gov</w:t>
      </w:r>
      <w:r w:rsidRPr="003B5892">
        <w:rPr>
          <w:rFonts w:ascii="Times New Roman" w:eastAsia="Times New Roman" w:hAnsi="Times New Roman" w:cs="Times New Roman"/>
          <w:kern w:val="0"/>
          <w:sz w:val="24"/>
          <w:szCs w:val="24"/>
          <w:lang w:val="uk-UA" w:eastAsia="ru-RU"/>
          <w14:ligatures w14:val="none"/>
        </w:rPr>
        <w:t>.</w:t>
      </w:r>
      <w:r w:rsidRPr="003B5892">
        <w:rPr>
          <w:rFonts w:ascii="Times New Roman" w:eastAsia="Times New Roman" w:hAnsi="Times New Roman" w:cs="Times New Roman"/>
          <w:kern w:val="0"/>
          <w:sz w:val="24"/>
          <w:szCs w:val="24"/>
          <w:lang w:eastAsia="ru-RU"/>
          <w14:ligatures w14:val="none"/>
        </w:rPr>
        <w:t>ua</w:t>
      </w:r>
      <w:r w:rsidRPr="003B5892">
        <w:rPr>
          <w:rFonts w:ascii="Times New Roman" w:eastAsia="Times New Roman" w:hAnsi="Times New Roman" w:cs="Times New Roman"/>
          <w:kern w:val="0"/>
          <w:sz w:val="24"/>
          <w:szCs w:val="24"/>
          <w:lang w:val="uk-UA" w:eastAsia="ru-RU"/>
          <w14:ligatures w14:val="none"/>
        </w:rPr>
        <w:t xml:space="preserve">/ </w:t>
      </w:r>
      <w:r w:rsidRPr="003B5892">
        <w:rPr>
          <w:rFonts w:ascii="Times New Roman" w:eastAsia="Times New Roman" w:hAnsi="Times New Roman" w:cs="Times New Roman"/>
          <w:kern w:val="0"/>
          <w:sz w:val="24"/>
          <w:szCs w:val="24"/>
          <w:lang w:eastAsia="ru-RU"/>
          <w14:ligatures w14:val="none"/>
        </w:rPr>
        <w:t>laws</w:t>
      </w:r>
      <w:r w:rsidRPr="003B5892">
        <w:rPr>
          <w:rFonts w:ascii="Times New Roman" w:eastAsia="Times New Roman" w:hAnsi="Times New Roman" w:cs="Times New Roman"/>
          <w:kern w:val="0"/>
          <w:sz w:val="24"/>
          <w:szCs w:val="24"/>
          <w:lang w:val="uk-UA" w:eastAsia="ru-RU"/>
          <w14:ligatures w14:val="none"/>
        </w:rPr>
        <w:t>/</w:t>
      </w:r>
      <w:r w:rsidRPr="003B5892">
        <w:rPr>
          <w:rFonts w:ascii="Times New Roman" w:eastAsia="Times New Roman" w:hAnsi="Times New Roman" w:cs="Times New Roman"/>
          <w:kern w:val="0"/>
          <w:sz w:val="24"/>
          <w:szCs w:val="24"/>
          <w:lang w:eastAsia="ru-RU"/>
          <w14:ligatures w14:val="none"/>
        </w:rPr>
        <w:t>show</w:t>
      </w:r>
      <w:r w:rsidRPr="003B5892">
        <w:rPr>
          <w:rFonts w:ascii="Times New Roman" w:eastAsia="Times New Roman" w:hAnsi="Times New Roman" w:cs="Times New Roman"/>
          <w:kern w:val="0"/>
          <w:sz w:val="24"/>
          <w:szCs w:val="24"/>
          <w:lang w:val="uk-UA" w:eastAsia="ru-RU"/>
          <w14:ligatures w14:val="none"/>
        </w:rPr>
        <w:t>/848-19.</w:t>
      </w:r>
      <w:r w:rsidRPr="003B5892">
        <w:rPr>
          <w:rFonts w:ascii="Times New Roman" w:eastAsia="Times New Roman" w:hAnsi="Times New Roman" w:cs="Times New Roman"/>
          <w:bCs/>
          <w:kern w:val="0"/>
          <w:sz w:val="24"/>
          <w:szCs w:val="24"/>
          <w:lang w:val="uk-UA" w:eastAsia="ru-RU"/>
          <w14:ligatures w14:val="none"/>
        </w:rPr>
        <w:t xml:space="preserve"> [</w:t>
      </w:r>
      <w:r w:rsidRPr="003B5892">
        <w:rPr>
          <w:rFonts w:ascii="Times New Roman" w:eastAsia="Times New Roman" w:hAnsi="Times New Roman" w:cs="Times New Roman"/>
          <w:bCs/>
          <w:kern w:val="0"/>
          <w:sz w:val="24"/>
          <w:szCs w:val="24"/>
          <w:lang w:eastAsia="ru-RU"/>
          <w14:ligatures w14:val="none"/>
        </w:rPr>
        <w:t>in</w:t>
      </w:r>
      <w:r w:rsidRPr="003B5892">
        <w:rPr>
          <w:rFonts w:ascii="Times New Roman" w:eastAsia="Times New Roman" w:hAnsi="Times New Roman" w:cs="Times New Roman"/>
          <w:bCs/>
          <w:kern w:val="0"/>
          <w:sz w:val="24"/>
          <w:szCs w:val="24"/>
          <w:lang w:val="uk-UA" w:eastAsia="ru-RU"/>
          <w14:ligatures w14:val="none"/>
        </w:rPr>
        <w:t xml:space="preserve"> </w:t>
      </w:r>
      <w:r w:rsidRPr="003B5892">
        <w:rPr>
          <w:rFonts w:ascii="Times New Roman" w:eastAsia="Times New Roman" w:hAnsi="Times New Roman" w:cs="Times New Roman"/>
          <w:bCs/>
          <w:kern w:val="0"/>
          <w:sz w:val="24"/>
          <w:szCs w:val="24"/>
          <w:lang w:eastAsia="ru-RU"/>
          <w14:ligatures w14:val="none"/>
        </w:rPr>
        <w:t>Ukrainian</w:t>
      </w:r>
      <w:r w:rsidRPr="003B5892">
        <w:rPr>
          <w:rFonts w:ascii="Times New Roman" w:eastAsia="Times New Roman" w:hAnsi="Times New Roman" w:cs="Times New Roman"/>
          <w:bCs/>
          <w:kern w:val="0"/>
          <w:sz w:val="24"/>
          <w:szCs w:val="24"/>
          <w:lang w:val="uk-UA" w:eastAsia="ru-RU"/>
          <w14:ligatures w14:val="none"/>
        </w:rPr>
        <w:t>].</w:t>
      </w:r>
    </w:p>
    <w:p w14:paraId="017284FA"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bCs/>
          <w:kern w:val="0"/>
          <w:sz w:val="24"/>
          <w:szCs w:val="24"/>
          <w:lang w:val="uk-UA" w:eastAsia="ru-RU"/>
          <w14:ligatures w14:val="none"/>
        </w:rPr>
      </w:pPr>
      <w:r w:rsidRPr="003B5892">
        <w:rPr>
          <w:rFonts w:ascii="Times New Roman" w:eastAsia="Times New Roman" w:hAnsi="Times New Roman" w:cs="Times New Roman"/>
          <w:bCs/>
          <w:kern w:val="0"/>
          <w:sz w:val="24"/>
          <w:szCs w:val="24"/>
          <w:lang w:val="uk-UA" w:eastAsia="ru-RU"/>
          <w14:ligatures w14:val="none"/>
        </w:rPr>
        <w:t xml:space="preserve">5.  </w:t>
      </w:r>
      <w:r w:rsidRPr="003B5892">
        <w:rPr>
          <w:rFonts w:ascii="Times New Roman" w:eastAsia="Times New Roman" w:hAnsi="Times New Roman" w:cs="Times New Roman"/>
          <w:bCs/>
          <w:kern w:val="0"/>
          <w:sz w:val="24"/>
          <w:szCs w:val="24"/>
          <w:lang w:eastAsia="ru-RU"/>
          <w14:ligatures w14:val="none"/>
        </w:rPr>
        <w:t xml:space="preserve">Pro priorytetni napriamy rozvytku nauky i tekhniky [ </w:t>
      </w:r>
      <w:r w:rsidRPr="003B5892">
        <w:rPr>
          <w:rFonts w:ascii="Times New Roman" w:eastAsia="Times New Roman" w:hAnsi="Times New Roman" w:cs="Times New Roman"/>
          <w:bCs/>
          <w:kern w:val="0"/>
          <w:sz w:val="24"/>
          <w:szCs w:val="24"/>
          <w:lang w:val="uk-UA" w:eastAsia="ru-RU"/>
          <w14:ligatures w14:val="none"/>
        </w:rPr>
        <w:t>On priority areas of development of science and technology</w:t>
      </w:r>
      <w:r w:rsidRPr="003B5892">
        <w:rPr>
          <w:rFonts w:ascii="Times New Roman" w:eastAsia="Times New Roman" w:hAnsi="Times New Roman" w:cs="Times New Roman"/>
          <w:bCs/>
          <w:kern w:val="0"/>
          <w:sz w:val="24"/>
          <w:szCs w:val="24"/>
          <w:lang w:eastAsia="ru-RU"/>
          <w14:ligatures w14:val="none"/>
        </w:rPr>
        <w:t xml:space="preserve">]: Zakon Ukrainy vid 11 lypnia 2001 roku № 2623-III (iz zminamy). – [Elektronnyi resurs]. – Rezhym dostupu : </w:t>
      </w:r>
      <w:hyperlink r:id="rId42" w:anchor="Text" w:history="1">
        <w:r w:rsidRPr="003B5892">
          <w:rPr>
            <w:rFonts w:ascii="Times New Roman" w:eastAsia="Times New Roman" w:hAnsi="Times New Roman" w:cs="Times New Roman"/>
            <w:bCs/>
            <w:kern w:val="0"/>
            <w:sz w:val="24"/>
            <w:szCs w:val="24"/>
            <w:u w:val="single"/>
            <w:lang w:eastAsia="ru-RU"/>
            <w14:ligatures w14:val="none"/>
          </w:rPr>
          <w:t>https://zakon.rada.gov.ua/laws/show/2623-14#Text</w:t>
        </w:r>
      </w:hyperlink>
      <w:r w:rsidRPr="003B5892">
        <w:rPr>
          <w:rFonts w:ascii="Times New Roman" w:eastAsia="Times New Roman" w:hAnsi="Times New Roman" w:cs="Times New Roman"/>
          <w:bCs/>
          <w:kern w:val="0"/>
          <w:sz w:val="24"/>
          <w:szCs w:val="24"/>
          <w:lang w:eastAsia="ru-RU"/>
          <w14:ligatures w14:val="none"/>
        </w:rPr>
        <w:t>.</w:t>
      </w:r>
    </w:p>
    <w:p w14:paraId="2164123C" w14:textId="77777777" w:rsidR="000F5770" w:rsidRPr="003B5892" w:rsidRDefault="000F5770" w:rsidP="00023291">
      <w:pPr>
        <w:shd w:val="clear" w:color="auto" w:fill="F8F9FA"/>
        <w:tabs>
          <w:tab w:val="left" w:pos="9638"/>
        </w:tabs>
        <w:spacing w:after="0" w:line="240" w:lineRule="auto"/>
        <w:jc w:val="both"/>
        <w:rPr>
          <w:rFonts w:ascii="Times New Roman" w:eastAsia="Times New Roman" w:hAnsi="Times New Roman" w:cs="Times New Roman"/>
          <w:bCs/>
          <w:kern w:val="0"/>
          <w:sz w:val="24"/>
          <w:szCs w:val="24"/>
          <w:lang w:val="uk-UA" w:eastAsia="ru-RU"/>
          <w14:ligatures w14:val="none"/>
        </w:rPr>
      </w:pPr>
      <w:r w:rsidRPr="003B5892">
        <w:rPr>
          <w:rFonts w:ascii="Times New Roman" w:eastAsia="Times New Roman" w:hAnsi="Times New Roman" w:cs="Times New Roman"/>
          <w:bCs/>
          <w:kern w:val="0"/>
          <w:sz w:val="24"/>
          <w:szCs w:val="24"/>
          <w:lang w:eastAsia="ru-RU"/>
          <w14:ligatures w14:val="none"/>
        </w:rPr>
        <w:t xml:space="preserve">            </w:t>
      </w:r>
      <w:r w:rsidRPr="003B5892">
        <w:rPr>
          <w:rFonts w:ascii="Times New Roman" w:eastAsia="Times New Roman" w:hAnsi="Times New Roman" w:cs="Times New Roman"/>
          <w:bCs/>
          <w:kern w:val="0"/>
          <w:sz w:val="24"/>
          <w:szCs w:val="24"/>
          <w:lang w:val="uk-UA" w:eastAsia="ru-RU"/>
          <w14:ligatures w14:val="none"/>
        </w:rPr>
        <w:t>6. Pro vyshchu osvitu</w:t>
      </w:r>
      <w:r w:rsidRPr="003B5892">
        <w:rPr>
          <w:rFonts w:ascii="Times New Roman" w:eastAsia="Times New Roman" w:hAnsi="Times New Roman" w:cs="Times New Roman"/>
          <w:bCs/>
          <w:kern w:val="0"/>
          <w:sz w:val="24"/>
          <w:szCs w:val="24"/>
          <w:lang w:eastAsia="ru-RU"/>
          <w14:ligatures w14:val="none"/>
        </w:rPr>
        <w:t xml:space="preserve"> </w:t>
      </w:r>
      <w:r w:rsidRPr="003B5892">
        <w:rPr>
          <w:rFonts w:ascii="Times New Roman" w:eastAsia="Times New Roman" w:hAnsi="Times New Roman" w:cs="Times New Roman"/>
          <w:kern w:val="0"/>
          <w:sz w:val="24"/>
          <w:szCs w:val="24"/>
          <w:lang w:val="uk-UA" w:eastAsia="ru-RU"/>
          <w14:ligatures w14:val="none"/>
        </w:rPr>
        <w:t>[</w:t>
      </w:r>
      <w:r w:rsidRPr="003B5892">
        <w:rPr>
          <w:rFonts w:ascii="Times New Roman" w:eastAsia="Times New Roman" w:hAnsi="Times New Roman" w:cs="Times New Roman"/>
          <w:color w:val="1F1F1F"/>
          <w:kern w:val="0"/>
          <w:sz w:val="24"/>
          <w:szCs w:val="24"/>
          <w:lang w:val="en" w:eastAsia="uk-UA"/>
          <w14:ligatures w14:val="none"/>
        </w:rPr>
        <w:t>About higher education</w:t>
      </w:r>
      <w:r w:rsidRPr="003B5892">
        <w:rPr>
          <w:rFonts w:ascii="Times New Roman" w:eastAsia="Times New Roman" w:hAnsi="Times New Roman" w:cs="Times New Roman"/>
          <w:kern w:val="0"/>
          <w:sz w:val="24"/>
          <w:szCs w:val="24"/>
          <w:lang w:val="uk-UA" w:eastAsia="ru-RU"/>
          <w14:ligatures w14:val="none"/>
        </w:rPr>
        <w:t>]</w:t>
      </w:r>
      <w:r w:rsidRPr="003B5892">
        <w:rPr>
          <w:rFonts w:ascii="Times New Roman" w:eastAsia="Times New Roman" w:hAnsi="Times New Roman" w:cs="Times New Roman"/>
          <w:bCs/>
          <w:kern w:val="0"/>
          <w:sz w:val="24"/>
          <w:szCs w:val="24"/>
          <w:lang w:eastAsia="ru-RU"/>
          <w14:ligatures w14:val="none"/>
        </w:rPr>
        <w:t xml:space="preserve"> </w:t>
      </w:r>
      <w:r w:rsidRPr="003B5892">
        <w:rPr>
          <w:rFonts w:ascii="Times New Roman" w:eastAsia="Times New Roman" w:hAnsi="Times New Roman" w:cs="Times New Roman"/>
          <w:bCs/>
          <w:kern w:val="0"/>
          <w:sz w:val="24"/>
          <w:szCs w:val="24"/>
          <w:lang w:val="uk-UA" w:eastAsia="ru-RU"/>
          <w14:ligatures w14:val="none"/>
        </w:rPr>
        <w:t>: Zakon Ukrainy vid 1 lypnia 2014 roku № 1556-VII . URL: https://zakon.rada.gov.ua/laws/show/1556-18#Text.</w:t>
      </w:r>
    </w:p>
    <w:p w14:paraId="171C501B" w14:textId="77777777" w:rsidR="000F5770" w:rsidRPr="003B5892" w:rsidRDefault="000F5770" w:rsidP="00023291">
      <w:pPr>
        <w:tabs>
          <w:tab w:val="left" w:pos="9638"/>
        </w:tabs>
        <w:spacing w:after="0" w:line="240" w:lineRule="auto"/>
        <w:ind w:firstLine="709"/>
        <w:jc w:val="both"/>
        <w:rPr>
          <w:rFonts w:ascii="Times New Roman" w:eastAsia="Times New Roman" w:hAnsi="Times New Roman" w:cs="Times New Roman"/>
          <w:bCs/>
          <w:kern w:val="0"/>
          <w:sz w:val="24"/>
          <w:szCs w:val="24"/>
          <w:lang w:val="uk-UA" w:eastAsia="ru-RU"/>
          <w14:ligatures w14:val="none"/>
        </w:rPr>
      </w:pPr>
      <w:r w:rsidRPr="003B5892">
        <w:rPr>
          <w:rFonts w:ascii="Times New Roman" w:eastAsia="Times New Roman" w:hAnsi="Times New Roman" w:cs="Times New Roman"/>
          <w:bCs/>
          <w:kern w:val="0"/>
          <w:sz w:val="24"/>
          <w:szCs w:val="24"/>
          <w:lang w:val="uk-UA" w:eastAsia="ru-RU"/>
          <w14:ligatures w14:val="none"/>
        </w:rPr>
        <w:t>7</w:t>
      </w:r>
      <w:r w:rsidRPr="003B5892">
        <w:rPr>
          <w:rFonts w:ascii="Times New Roman" w:eastAsia="Times New Roman" w:hAnsi="Times New Roman" w:cs="Times New Roman"/>
          <w:bCs/>
          <w:kern w:val="0"/>
          <w:sz w:val="24"/>
          <w:szCs w:val="24"/>
          <w:lang w:eastAsia="ru-RU"/>
          <w14:ligatures w14:val="none"/>
        </w:rPr>
        <w:t>. Polozhennia pro orhanizatsiiu naukovoi i naukovo-tekhnichnoi diialnosti v systemi Ministerstva oborony Ukrainy [</w:t>
      </w:r>
      <w:r w:rsidRPr="003B5892">
        <w:rPr>
          <w:rFonts w:ascii="Times New Roman" w:eastAsia="Times New Roman" w:hAnsi="Times New Roman" w:cs="Times New Roman"/>
          <w:bCs/>
          <w:kern w:val="0"/>
          <w:sz w:val="24"/>
          <w:szCs w:val="24"/>
          <w:lang w:val="uk-UA" w:eastAsia="ru-RU"/>
          <w14:ligatures w14:val="none"/>
        </w:rPr>
        <w:t>Regulations on the organization of scientific and scientific and technical activities in the system of the Ministry of Defense of Ukraine</w:t>
      </w:r>
      <w:r w:rsidRPr="003B5892">
        <w:rPr>
          <w:rFonts w:ascii="Times New Roman" w:eastAsia="Times New Roman" w:hAnsi="Times New Roman" w:cs="Times New Roman"/>
          <w:bCs/>
          <w:kern w:val="0"/>
          <w:sz w:val="24"/>
          <w:szCs w:val="24"/>
          <w:lang w:eastAsia="ru-RU"/>
          <w14:ligatures w14:val="none"/>
        </w:rPr>
        <w:t>] : Nakaz  Ministerstva oborony Ukrainy vid 16 lypnia 2024 r. № 480.</w:t>
      </w:r>
    </w:p>
    <w:p w14:paraId="3439E5A7" w14:textId="77777777" w:rsidR="000F5770" w:rsidRPr="003B5892" w:rsidRDefault="000F5770" w:rsidP="00023291">
      <w:pPr>
        <w:shd w:val="clear" w:color="auto" w:fill="F8F9FA"/>
        <w:tabs>
          <w:tab w:val="left" w:pos="9638"/>
        </w:tabs>
        <w:spacing w:after="0" w:line="240" w:lineRule="auto"/>
        <w:jc w:val="both"/>
        <w:rPr>
          <w:rFonts w:ascii="Times New Roman" w:eastAsia="Times New Roman" w:hAnsi="Times New Roman" w:cs="Times New Roman"/>
          <w:bCs/>
          <w:kern w:val="0"/>
          <w:sz w:val="24"/>
          <w:szCs w:val="24"/>
          <w:lang w:val="uk-UA" w:eastAsia="ru-RU"/>
          <w14:ligatures w14:val="none"/>
        </w:rPr>
      </w:pPr>
      <w:r w:rsidRPr="003B5892">
        <w:rPr>
          <w:rFonts w:ascii="Times New Roman" w:eastAsia="Times New Roman" w:hAnsi="Times New Roman" w:cs="Times New Roman"/>
          <w:bCs/>
          <w:kern w:val="0"/>
          <w:sz w:val="24"/>
          <w:szCs w:val="24"/>
          <w:lang w:eastAsia="ru-RU"/>
          <w14:ligatures w14:val="none"/>
        </w:rPr>
        <w:t xml:space="preserve">            </w:t>
      </w:r>
      <w:r w:rsidRPr="003B5892">
        <w:rPr>
          <w:rFonts w:ascii="Times New Roman" w:eastAsia="Times New Roman" w:hAnsi="Times New Roman" w:cs="Times New Roman"/>
          <w:bCs/>
          <w:kern w:val="0"/>
          <w:sz w:val="24"/>
          <w:szCs w:val="24"/>
          <w:lang w:val="uk-UA" w:eastAsia="ru-RU"/>
          <w14:ligatures w14:val="none"/>
        </w:rPr>
        <w:t xml:space="preserve">8. Pro zatverdzhennia Rozpodilu osnovnykh napriamiv naukovykh doslidzhen mizh naukovymy ustanovamy, vyshchymy viiskovymy navchalnymy zakladamy, viiskovymy navchalnymy pidrozdilamy zakladiv vyshchoi osvity, naukovymy pidrozdilamy u skladi viiskovykh </w:t>
      </w:r>
      <w:r w:rsidRPr="003B5892">
        <w:rPr>
          <w:rFonts w:ascii="Times New Roman" w:eastAsia="Times New Roman" w:hAnsi="Times New Roman" w:cs="Times New Roman"/>
          <w:bCs/>
          <w:kern w:val="0"/>
          <w:sz w:val="24"/>
          <w:szCs w:val="24"/>
          <w:lang w:val="uk-UA" w:eastAsia="ru-RU"/>
          <w14:ligatures w14:val="none"/>
        </w:rPr>
        <w:lastRenderedPageBreak/>
        <w:t xml:space="preserve">chastyn, ustanov ta orhanizatsii systemy Ministerstva oborony Ukrainy </w:t>
      </w:r>
      <w:r w:rsidRPr="003B5892">
        <w:rPr>
          <w:rFonts w:ascii="Times New Roman" w:eastAsia="Times New Roman" w:hAnsi="Times New Roman" w:cs="Times New Roman"/>
          <w:kern w:val="0"/>
          <w:sz w:val="24"/>
          <w:szCs w:val="24"/>
          <w:lang w:val="uk-UA" w:eastAsia="ru-RU"/>
          <w14:ligatures w14:val="none"/>
        </w:rPr>
        <w:t>[</w:t>
      </w:r>
      <w:r w:rsidRPr="003B5892">
        <w:rPr>
          <w:rFonts w:ascii="Times New Roman" w:eastAsia="Times New Roman" w:hAnsi="Times New Roman" w:cs="Times New Roman"/>
          <w:color w:val="1F1F1F"/>
          <w:kern w:val="0"/>
          <w:sz w:val="24"/>
          <w:szCs w:val="24"/>
          <w:lang w:val="en" w:eastAsia="uk-UA"/>
          <w14:ligatures w14:val="none"/>
        </w:rPr>
        <w:t>On approval of the Distribution of the main areas of scientific research between scientific institutions, higher military educational institutions, military educational units of higher education institutions, scientific units within military units, institutions and organizations of the Ministry of Defense of Ukraine</w:t>
      </w:r>
      <w:r w:rsidRPr="003B5892">
        <w:rPr>
          <w:rFonts w:ascii="Times New Roman" w:eastAsia="Times New Roman" w:hAnsi="Times New Roman" w:cs="Times New Roman"/>
          <w:kern w:val="0"/>
          <w:sz w:val="24"/>
          <w:szCs w:val="24"/>
          <w:lang w:val="uk-UA" w:eastAsia="ru-RU"/>
          <w14:ligatures w14:val="none"/>
        </w:rPr>
        <w:t>]</w:t>
      </w:r>
      <w:r w:rsidRPr="003B5892">
        <w:rPr>
          <w:rFonts w:ascii="Times New Roman" w:eastAsia="Times New Roman" w:hAnsi="Times New Roman" w:cs="Times New Roman"/>
          <w:bCs/>
          <w:kern w:val="0"/>
          <w:sz w:val="24"/>
          <w:szCs w:val="24"/>
          <w:lang w:val="uk-UA" w:eastAsia="ru-RU"/>
          <w14:ligatures w14:val="none"/>
        </w:rPr>
        <w:t>:  nakaz Ministerstva oborony Ukrainy Minoborony vid 29 lystopada 2025 № 837/nm.</w:t>
      </w:r>
    </w:p>
    <w:p w14:paraId="2C2BFE97" w14:textId="77777777" w:rsidR="000F5770" w:rsidRPr="003B5892" w:rsidRDefault="000F5770" w:rsidP="00023291">
      <w:pPr>
        <w:shd w:val="clear" w:color="auto" w:fill="F8F9FA"/>
        <w:tabs>
          <w:tab w:val="left" w:pos="9638"/>
        </w:tabs>
        <w:spacing w:after="0" w:line="240" w:lineRule="auto"/>
        <w:jc w:val="both"/>
        <w:rPr>
          <w:rFonts w:ascii="Times New Roman" w:eastAsia="Times New Roman" w:hAnsi="Times New Roman" w:cs="Times New Roman"/>
          <w:bCs/>
          <w:kern w:val="0"/>
          <w:sz w:val="24"/>
          <w:szCs w:val="24"/>
          <w:lang w:val="uk-UA" w:eastAsia="ru-RU"/>
          <w14:ligatures w14:val="none"/>
        </w:rPr>
      </w:pPr>
      <w:r w:rsidRPr="003B5892">
        <w:rPr>
          <w:rFonts w:ascii="Times New Roman" w:eastAsia="Times New Roman" w:hAnsi="Times New Roman" w:cs="Times New Roman"/>
          <w:bCs/>
          <w:kern w:val="0"/>
          <w:sz w:val="24"/>
          <w:szCs w:val="24"/>
          <w:lang w:eastAsia="ru-RU"/>
          <w14:ligatures w14:val="none"/>
        </w:rPr>
        <w:t xml:space="preserve">          </w:t>
      </w:r>
      <w:r w:rsidRPr="003B5892">
        <w:rPr>
          <w:rFonts w:ascii="Times New Roman" w:eastAsia="Times New Roman" w:hAnsi="Times New Roman" w:cs="Times New Roman"/>
          <w:bCs/>
          <w:kern w:val="0"/>
          <w:sz w:val="24"/>
          <w:szCs w:val="24"/>
          <w:lang w:val="uk-UA" w:eastAsia="ru-RU"/>
          <w14:ligatures w14:val="none"/>
        </w:rPr>
        <w:t>9. Pro natsionalnu bezpeku Ukrainy</w:t>
      </w:r>
      <w:r w:rsidRPr="003B5892">
        <w:rPr>
          <w:rFonts w:ascii="Times New Roman" w:eastAsia="Times New Roman" w:hAnsi="Times New Roman" w:cs="Times New Roman"/>
          <w:bCs/>
          <w:kern w:val="0"/>
          <w:sz w:val="24"/>
          <w:szCs w:val="24"/>
          <w:lang w:eastAsia="ru-RU"/>
          <w14:ligatures w14:val="none"/>
        </w:rPr>
        <w:t xml:space="preserve"> </w:t>
      </w:r>
      <w:r w:rsidRPr="003B5892">
        <w:rPr>
          <w:rFonts w:ascii="Times New Roman" w:eastAsia="Times New Roman" w:hAnsi="Times New Roman" w:cs="Times New Roman"/>
          <w:kern w:val="0"/>
          <w:sz w:val="24"/>
          <w:szCs w:val="24"/>
          <w:lang w:val="uk-UA" w:eastAsia="ru-RU"/>
          <w14:ligatures w14:val="none"/>
        </w:rPr>
        <w:t>[</w:t>
      </w:r>
      <w:r w:rsidRPr="003B5892">
        <w:rPr>
          <w:rFonts w:ascii="Times New Roman" w:eastAsia="Times New Roman" w:hAnsi="Times New Roman" w:cs="Times New Roman"/>
          <w:color w:val="1F1F1F"/>
          <w:kern w:val="0"/>
          <w:sz w:val="24"/>
          <w:szCs w:val="24"/>
          <w:lang w:val="en" w:eastAsia="uk-UA"/>
          <w14:ligatures w14:val="none"/>
        </w:rPr>
        <w:t>On the national security of Ukraine</w:t>
      </w:r>
      <w:r w:rsidRPr="003B5892">
        <w:rPr>
          <w:rFonts w:ascii="Times New Roman" w:eastAsia="Times New Roman" w:hAnsi="Times New Roman" w:cs="Times New Roman"/>
          <w:kern w:val="0"/>
          <w:sz w:val="24"/>
          <w:szCs w:val="24"/>
          <w:lang w:val="uk-UA" w:eastAsia="ru-RU"/>
          <w14:ligatures w14:val="none"/>
        </w:rPr>
        <w:t>]</w:t>
      </w:r>
      <w:r w:rsidRPr="003B5892">
        <w:rPr>
          <w:rFonts w:ascii="Times New Roman" w:eastAsia="Times New Roman" w:hAnsi="Times New Roman" w:cs="Times New Roman"/>
          <w:bCs/>
          <w:kern w:val="0"/>
          <w:sz w:val="24"/>
          <w:szCs w:val="24"/>
          <w:lang w:val="uk-UA" w:eastAsia="ru-RU"/>
          <w14:ligatures w14:val="none"/>
        </w:rPr>
        <w:t>: Zakon Ukrainy vid 21 chervnia 2018 roku № 2469-VIII (redaktsiia stanom na 24 sichnia 2026 roku). URL: https:// zakon.rada.gov.ua/laws/show/2469-19#Text.</w:t>
      </w:r>
    </w:p>
    <w:p w14:paraId="2ED2AA8E" w14:textId="77777777" w:rsidR="000F5770" w:rsidRDefault="000F5770" w:rsidP="00023291">
      <w:pPr>
        <w:shd w:val="clear" w:color="auto" w:fill="F8F9FA"/>
        <w:tabs>
          <w:tab w:val="left" w:pos="9638"/>
        </w:tabs>
        <w:spacing w:after="0" w:line="240" w:lineRule="auto"/>
        <w:jc w:val="both"/>
        <w:rPr>
          <w:rFonts w:ascii="Times New Roman" w:eastAsia="Times New Roman" w:hAnsi="Times New Roman" w:cs="Times New Roman"/>
          <w:bCs/>
          <w:kern w:val="0"/>
          <w:sz w:val="24"/>
          <w:szCs w:val="24"/>
          <w:lang w:val="uk-UA" w:eastAsia="ru-RU"/>
          <w14:ligatures w14:val="none"/>
        </w:rPr>
      </w:pPr>
      <w:r w:rsidRPr="003B5892">
        <w:rPr>
          <w:rFonts w:ascii="Times New Roman" w:eastAsia="Times New Roman" w:hAnsi="Times New Roman" w:cs="Times New Roman"/>
          <w:bCs/>
          <w:kern w:val="0"/>
          <w:sz w:val="24"/>
          <w:szCs w:val="24"/>
          <w:lang w:eastAsia="ru-RU"/>
          <w14:ligatures w14:val="none"/>
        </w:rPr>
        <w:t xml:space="preserve">        </w:t>
      </w:r>
      <w:r w:rsidRPr="003B5892">
        <w:rPr>
          <w:rFonts w:ascii="Times New Roman" w:eastAsia="Times New Roman" w:hAnsi="Times New Roman" w:cs="Times New Roman"/>
          <w:bCs/>
          <w:kern w:val="0"/>
          <w:sz w:val="24"/>
          <w:szCs w:val="24"/>
          <w:lang w:val="uk-UA" w:eastAsia="ru-RU"/>
          <w14:ligatures w14:val="none"/>
        </w:rPr>
        <w:t xml:space="preserve">10. Yedynyi perelik (Kataloh) spromozhnostei MO Ukrainy, ZS Ukrainy ta inshykh skladovykh syl oborony, zatverdzhenoho Ministrom oborony Ukrainy </w:t>
      </w:r>
      <w:r w:rsidRPr="003B5892">
        <w:rPr>
          <w:rFonts w:ascii="Times New Roman" w:eastAsia="Times New Roman" w:hAnsi="Times New Roman" w:cs="Times New Roman"/>
          <w:kern w:val="0"/>
          <w:sz w:val="24"/>
          <w:szCs w:val="24"/>
          <w:lang w:val="uk-UA" w:eastAsia="ru-RU"/>
          <w14:ligatures w14:val="none"/>
        </w:rPr>
        <w:t>[</w:t>
      </w:r>
      <w:r w:rsidRPr="003B5892">
        <w:rPr>
          <w:rFonts w:ascii="Times New Roman" w:eastAsia="Times New Roman" w:hAnsi="Times New Roman" w:cs="Times New Roman"/>
          <w:color w:val="1F1F1F"/>
          <w:kern w:val="0"/>
          <w:sz w:val="24"/>
          <w:szCs w:val="24"/>
          <w:lang w:val="en" w:eastAsia="uk-UA"/>
          <w14:ligatures w14:val="none"/>
        </w:rPr>
        <w:t>Unified list (Catalog) of the capabilities of the Ministry of Defense of Ukraine, the Armed Forces of Ukraine and other components of the defense forces, approved by the Minister of Defense of Ukraine</w:t>
      </w:r>
      <w:r w:rsidRPr="003B5892">
        <w:rPr>
          <w:rFonts w:ascii="Times New Roman" w:eastAsia="Times New Roman" w:hAnsi="Times New Roman" w:cs="Times New Roman"/>
          <w:kern w:val="0"/>
          <w:sz w:val="24"/>
          <w:szCs w:val="24"/>
          <w:lang w:val="uk-UA" w:eastAsia="ru-RU"/>
          <w14:ligatures w14:val="none"/>
        </w:rPr>
        <w:t>]</w:t>
      </w:r>
      <w:r w:rsidRPr="003B5892">
        <w:rPr>
          <w:rFonts w:ascii="Times New Roman" w:eastAsia="Times New Roman" w:hAnsi="Times New Roman" w:cs="Times New Roman"/>
          <w:bCs/>
          <w:kern w:val="0"/>
          <w:sz w:val="24"/>
          <w:szCs w:val="24"/>
          <w:lang w:val="uk-UA" w:eastAsia="ru-RU"/>
          <w14:ligatures w14:val="none"/>
        </w:rPr>
        <w:t>: zatverdzhenyi Ministrom oborony Ukrainy 31.12.2021.  URL:    https://zakon.rada. gov.ua/ laws/term/en-sr/51098.</w:t>
      </w:r>
    </w:p>
    <w:p w14:paraId="387BFE6B" w14:textId="77777777" w:rsidR="00D179CD" w:rsidRPr="003B5892" w:rsidRDefault="00D179CD" w:rsidP="00023291">
      <w:pPr>
        <w:shd w:val="clear" w:color="auto" w:fill="F8F9FA"/>
        <w:tabs>
          <w:tab w:val="left" w:pos="9638"/>
        </w:tabs>
        <w:spacing w:after="0" w:line="240" w:lineRule="auto"/>
        <w:jc w:val="both"/>
        <w:rPr>
          <w:rFonts w:ascii="Times New Roman" w:eastAsia="Times New Roman" w:hAnsi="Times New Roman" w:cs="Times New Roman"/>
          <w:bCs/>
          <w:kern w:val="0"/>
          <w:sz w:val="24"/>
          <w:szCs w:val="24"/>
          <w:lang w:val="uk-UA" w:eastAsia="ru-RU"/>
          <w14:ligatures w14:val="none"/>
        </w:rPr>
      </w:pPr>
    </w:p>
    <w:p w14:paraId="78A94F33" w14:textId="77777777" w:rsidR="000F5770" w:rsidRPr="003B5892" w:rsidRDefault="000F5770" w:rsidP="00023291">
      <w:pPr>
        <w:tabs>
          <w:tab w:val="left" w:pos="9638"/>
        </w:tabs>
        <w:spacing w:after="0" w:line="240" w:lineRule="auto"/>
        <w:jc w:val="center"/>
        <w:rPr>
          <w:rFonts w:ascii="Times New Roman" w:eastAsia="Calibri" w:hAnsi="Times New Roman" w:cs="Times New Roman"/>
          <w:b/>
          <w:bCs/>
          <w:kern w:val="0"/>
          <w:sz w:val="24"/>
          <w:szCs w:val="24"/>
          <w:lang w:val="uk-UA"/>
          <w14:ligatures w14:val="none"/>
        </w:rPr>
      </w:pPr>
      <w:r w:rsidRPr="003B5892">
        <w:rPr>
          <w:rFonts w:ascii="Times New Roman" w:eastAsia="Calibri" w:hAnsi="Times New Roman" w:cs="Times New Roman"/>
          <w:b/>
          <w:bCs/>
          <w:kern w:val="0"/>
          <w:sz w:val="24"/>
          <w:szCs w:val="24"/>
          <w:lang w:val="uk-UA"/>
          <w14:ligatures w14:val="none"/>
        </w:rPr>
        <w:t>SUMMARY</w:t>
      </w:r>
    </w:p>
    <w:p w14:paraId="125054D0" w14:textId="77777777" w:rsidR="000F5770" w:rsidRPr="003B5892" w:rsidRDefault="000F5770" w:rsidP="00023291">
      <w:pPr>
        <w:tabs>
          <w:tab w:val="left" w:pos="9638"/>
        </w:tabs>
        <w:spacing w:after="0" w:line="240" w:lineRule="auto"/>
        <w:jc w:val="both"/>
        <w:rPr>
          <w:rFonts w:ascii="Times New Roman" w:eastAsia="Calibri" w:hAnsi="Times New Roman" w:cs="Times New Roman"/>
          <w:b/>
          <w:bCs/>
          <w:kern w:val="0"/>
          <w:sz w:val="24"/>
          <w:szCs w:val="24"/>
          <w:lang w:val="uk-UA"/>
          <w14:ligatures w14:val="none"/>
        </w:rPr>
      </w:pPr>
    </w:p>
    <w:p w14:paraId="2ED257A7" w14:textId="504DF87B" w:rsidR="000F5770" w:rsidRPr="00422A49" w:rsidRDefault="000F5770" w:rsidP="00023291">
      <w:pPr>
        <w:tabs>
          <w:tab w:val="left" w:pos="9638"/>
        </w:tabs>
        <w:spacing w:after="0" w:line="240" w:lineRule="auto"/>
        <w:jc w:val="right"/>
        <w:rPr>
          <w:rFonts w:ascii="Times New Roman" w:eastAsia="Times New Roman" w:hAnsi="Times New Roman" w:cs="Times New Roman"/>
          <w:b/>
          <w:bCs/>
          <w:kern w:val="0"/>
          <w:sz w:val="24"/>
          <w:szCs w:val="24"/>
          <w:lang w:val="uk-UA" w:eastAsia="uk-UA"/>
          <w14:ligatures w14:val="none"/>
        </w:rPr>
      </w:pPr>
      <w:r w:rsidRPr="003B5892">
        <w:rPr>
          <w:rFonts w:ascii="Times New Roman" w:eastAsia="Times New Roman" w:hAnsi="Times New Roman" w:cs="Times New Roman"/>
          <w:b/>
          <w:bCs/>
          <w:kern w:val="0"/>
          <w:sz w:val="24"/>
          <w:szCs w:val="24"/>
          <w:lang w:eastAsia="uk-UA"/>
          <w14:ligatures w14:val="none"/>
        </w:rPr>
        <w:t>A</w:t>
      </w:r>
      <w:r w:rsidR="00030145">
        <w:rPr>
          <w:rFonts w:ascii="Times New Roman" w:eastAsia="Times New Roman" w:hAnsi="Times New Roman" w:cs="Times New Roman"/>
          <w:b/>
          <w:bCs/>
          <w:kern w:val="0"/>
          <w:sz w:val="24"/>
          <w:szCs w:val="24"/>
          <w:lang w:eastAsia="uk-UA"/>
          <w14:ligatures w14:val="none"/>
        </w:rPr>
        <w:t>rkadii</w:t>
      </w:r>
      <w:r w:rsidRPr="003B5892">
        <w:rPr>
          <w:rFonts w:ascii="Times New Roman" w:eastAsia="Times New Roman" w:hAnsi="Times New Roman" w:cs="Times New Roman"/>
          <w:b/>
          <w:bCs/>
          <w:kern w:val="0"/>
          <w:sz w:val="24"/>
          <w:szCs w:val="24"/>
          <w:lang w:eastAsia="uk-UA"/>
          <w14:ligatures w14:val="none"/>
        </w:rPr>
        <w:t xml:space="preserve"> Atrokhov</w:t>
      </w:r>
      <w:r w:rsidR="00422A49">
        <w:rPr>
          <w:rFonts w:ascii="Times New Roman" w:eastAsia="Times New Roman" w:hAnsi="Times New Roman" w:cs="Times New Roman"/>
          <w:b/>
          <w:bCs/>
          <w:kern w:val="0"/>
          <w:sz w:val="24"/>
          <w:szCs w:val="24"/>
          <w:lang w:val="uk-UA" w:eastAsia="uk-UA"/>
          <w14:ligatures w14:val="none"/>
        </w:rPr>
        <w:t>,</w:t>
      </w:r>
    </w:p>
    <w:p w14:paraId="56795BF6" w14:textId="77777777" w:rsidR="000F5770" w:rsidRPr="003B5892" w:rsidRDefault="000F5770" w:rsidP="00023291">
      <w:pPr>
        <w:tabs>
          <w:tab w:val="left" w:pos="9638"/>
        </w:tabs>
        <w:spacing w:after="0" w:line="240" w:lineRule="auto"/>
        <w:jc w:val="right"/>
        <w:rPr>
          <w:rFonts w:ascii="Times New Roman" w:eastAsia="Times New Roman" w:hAnsi="Times New Roman" w:cs="Times New Roman"/>
          <w:kern w:val="0"/>
          <w:sz w:val="24"/>
          <w:szCs w:val="24"/>
          <w:lang w:eastAsia="uk-UA"/>
          <w14:ligatures w14:val="none"/>
        </w:rPr>
      </w:pPr>
      <w:r w:rsidRPr="003B5892">
        <w:rPr>
          <w:rFonts w:ascii="Times New Roman" w:eastAsia="Times New Roman" w:hAnsi="Times New Roman" w:cs="Times New Roman"/>
          <w:kern w:val="0"/>
          <w:sz w:val="24"/>
          <w:szCs w:val="24"/>
          <w:lang w:eastAsia="uk-UA"/>
          <w14:ligatures w14:val="none"/>
        </w:rPr>
        <w:t>Candidate of Technical Sciences, Senior Researcher</w:t>
      </w:r>
    </w:p>
    <w:p w14:paraId="08C9D259" w14:textId="77777777" w:rsidR="000F5770" w:rsidRPr="003B5892" w:rsidRDefault="000F5770" w:rsidP="00023291">
      <w:pPr>
        <w:tabs>
          <w:tab w:val="left" w:pos="9638"/>
        </w:tabs>
        <w:spacing w:after="0" w:line="240" w:lineRule="auto"/>
        <w:jc w:val="right"/>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eastAsia="uk-UA"/>
          <w14:ligatures w14:val="none"/>
        </w:rPr>
        <w:t>National Defense University of Ukraine, Kyiv</w:t>
      </w:r>
    </w:p>
    <w:p w14:paraId="41975BFA" w14:textId="5FAA55EA" w:rsidR="000F5770" w:rsidRPr="003B5892" w:rsidRDefault="004F3263" w:rsidP="0002329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b/>
          <w:color w:val="1F1F1F"/>
          <w:kern w:val="0"/>
          <w:sz w:val="24"/>
          <w:szCs w:val="24"/>
          <w:lang w:val="en" w:eastAsia="uk-UA"/>
          <w14:ligatures w14:val="none"/>
        </w:rPr>
      </w:pPr>
      <w:r>
        <w:rPr>
          <w:rFonts w:ascii="Times New Roman" w:eastAsia="Times New Roman" w:hAnsi="Times New Roman" w:cs="Times New Roman"/>
          <w:b/>
          <w:color w:val="1F1F1F"/>
          <w:kern w:val="0"/>
          <w:sz w:val="24"/>
          <w:szCs w:val="24"/>
          <w:lang w:val="en" w:eastAsia="uk-UA"/>
          <w14:ligatures w14:val="none"/>
        </w:rPr>
        <w:t>Yurii</w:t>
      </w:r>
      <w:r w:rsidR="000F5770" w:rsidRPr="003B5892">
        <w:rPr>
          <w:rFonts w:ascii="Times New Roman" w:eastAsia="Times New Roman" w:hAnsi="Times New Roman" w:cs="Times New Roman"/>
          <w:b/>
          <w:color w:val="1F1F1F"/>
          <w:kern w:val="0"/>
          <w:sz w:val="24"/>
          <w:szCs w:val="24"/>
          <w:lang w:val="en" w:eastAsia="uk-UA"/>
          <w14:ligatures w14:val="none"/>
        </w:rPr>
        <w:t xml:space="preserve"> Sokorynskyi,</w:t>
      </w:r>
    </w:p>
    <w:p w14:paraId="66B04FC6" w14:textId="77777777" w:rsidR="000F5770" w:rsidRPr="003B5892" w:rsidRDefault="000F5770" w:rsidP="0002329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color w:val="1F1F1F"/>
          <w:kern w:val="0"/>
          <w:sz w:val="24"/>
          <w:szCs w:val="24"/>
          <w:lang w:val="en" w:eastAsia="uk-UA"/>
          <w14:ligatures w14:val="none"/>
        </w:rPr>
      </w:pPr>
      <w:r w:rsidRPr="003B5892">
        <w:rPr>
          <w:rFonts w:ascii="Times New Roman" w:eastAsia="Times New Roman" w:hAnsi="Times New Roman" w:cs="Times New Roman"/>
          <w:color w:val="1F1F1F"/>
          <w:kern w:val="0"/>
          <w:sz w:val="24"/>
          <w:szCs w:val="24"/>
          <w:lang w:val="en" w:eastAsia="uk-UA"/>
          <w14:ligatures w14:val="none"/>
        </w:rPr>
        <w:t>Doctor of Law, Associate Professor</w:t>
      </w:r>
    </w:p>
    <w:p w14:paraId="14F1437D" w14:textId="77777777" w:rsidR="000F5770" w:rsidRPr="003B5892" w:rsidRDefault="000F5770" w:rsidP="0002329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color w:val="1F1F1F"/>
          <w:kern w:val="0"/>
          <w:sz w:val="24"/>
          <w:szCs w:val="24"/>
          <w:lang w:val="en" w:eastAsia="uk-UA"/>
          <w14:ligatures w14:val="none"/>
        </w:rPr>
        <w:t>Security Service of Ukraine, Kyiv</w:t>
      </w:r>
    </w:p>
    <w:p w14:paraId="06B6BCC0" w14:textId="77777777" w:rsidR="000F5770" w:rsidRPr="003B5892" w:rsidRDefault="000F5770" w:rsidP="00023291">
      <w:pPr>
        <w:tabs>
          <w:tab w:val="left" w:pos="9638"/>
        </w:tabs>
        <w:spacing w:after="0" w:line="240" w:lineRule="auto"/>
        <w:ind w:firstLine="709"/>
        <w:jc w:val="right"/>
        <w:rPr>
          <w:rFonts w:ascii="Times New Roman" w:eastAsia="Times New Roman" w:hAnsi="Times New Roman" w:cs="Times New Roman"/>
          <w:b/>
          <w:bCs/>
          <w:color w:val="000000"/>
          <w:kern w:val="0"/>
          <w:sz w:val="24"/>
          <w:szCs w:val="24"/>
          <w:lang w:val="uk-UA" w:eastAsia="ru-RU"/>
          <w14:ligatures w14:val="none"/>
        </w:rPr>
      </w:pPr>
      <w:r w:rsidRPr="003B5892">
        <w:rPr>
          <w:rFonts w:ascii="Times New Roman" w:eastAsia="Times New Roman" w:hAnsi="Times New Roman" w:cs="Times New Roman"/>
          <w:b/>
          <w:bCs/>
          <w:color w:val="000000"/>
          <w:kern w:val="0"/>
          <w:sz w:val="24"/>
          <w:szCs w:val="24"/>
          <w:lang w:val="uk-UA" w:eastAsia="ru-RU"/>
          <w14:ligatures w14:val="none"/>
        </w:rPr>
        <w:t>Andrii Nalyvaiko,</w:t>
      </w:r>
    </w:p>
    <w:p w14:paraId="2B73B6EB" w14:textId="77777777" w:rsidR="000F5770" w:rsidRPr="003B5892" w:rsidRDefault="000F5770" w:rsidP="00023291">
      <w:pPr>
        <w:tabs>
          <w:tab w:val="left" w:pos="9638"/>
        </w:tabs>
        <w:spacing w:after="0" w:line="240" w:lineRule="auto"/>
        <w:ind w:firstLine="709"/>
        <w:jc w:val="right"/>
        <w:rPr>
          <w:rFonts w:ascii="Times New Roman" w:eastAsia="Times New Roman" w:hAnsi="Times New Roman" w:cs="Times New Roman"/>
          <w:color w:val="000000"/>
          <w:kern w:val="0"/>
          <w:sz w:val="24"/>
          <w:szCs w:val="24"/>
          <w:lang w:val="uk-UA" w:eastAsia="ru-RU"/>
          <w14:ligatures w14:val="none"/>
        </w:rPr>
      </w:pPr>
      <w:r w:rsidRPr="003B5892">
        <w:rPr>
          <w:rFonts w:ascii="Times New Roman" w:eastAsia="Times New Roman" w:hAnsi="Times New Roman" w:cs="Times New Roman"/>
          <w:color w:val="000000"/>
          <w:kern w:val="0"/>
          <w:sz w:val="24"/>
          <w:szCs w:val="24"/>
          <w:lang w:val="uk-UA" w:eastAsia="ru-RU"/>
          <w14:ligatures w14:val="none"/>
        </w:rPr>
        <w:t>Candidate of Technical Sciences, Assistant Professor,</w:t>
      </w:r>
    </w:p>
    <w:p w14:paraId="113D0C72" w14:textId="77777777" w:rsidR="000F5770" w:rsidRPr="003B5892" w:rsidRDefault="000F5770" w:rsidP="00023291">
      <w:pPr>
        <w:tabs>
          <w:tab w:val="left" w:pos="9638"/>
        </w:tabs>
        <w:spacing w:after="0" w:line="240" w:lineRule="auto"/>
        <w:ind w:firstLine="709"/>
        <w:jc w:val="right"/>
        <w:rPr>
          <w:rFonts w:ascii="Times New Roman" w:eastAsia="Times New Roman" w:hAnsi="Times New Roman" w:cs="Times New Roman"/>
          <w:color w:val="000000"/>
          <w:kern w:val="0"/>
          <w:sz w:val="24"/>
          <w:szCs w:val="24"/>
          <w:lang w:val="uk-UA" w:eastAsia="ru-RU"/>
          <w14:ligatures w14:val="none"/>
        </w:rPr>
      </w:pPr>
      <w:r w:rsidRPr="00030145">
        <w:rPr>
          <w:rFonts w:ascii="Times New Roman" w:eastAsia="Times New Roman" w:hAnsi="Times New Roman" w:cs="Times New Roman"/>
          <w:color w:val="000000"/>
          <w:kern w:val="0"/>
          <w:sz w:val="24"/>
          <w:szCs w:val="24"/>
          <w:lang w:val="uk-UA" w:eastAsia="ru-RU"/>
          <w14:ligatures w14:val="none"/>
        </w:rPr>
        <w:t>National Defence University of Ukraine, Kyiv</w:t>
      </w:r>
    </w:p>
    <w:p w14:paraId="6E13384B" w14:textId="77777777" w:rsidR="000F5770" w:rsidRPr="003B5892" w:rsidRDefault="000F5770" w:rsidP="00023291">
      <w:pPr>
        <w:tabs>
          <w:tab w:val="left" w:pos="9638"/>
        </w:tabs>
        <w:spacing w:after="0" w:line="240" w:lineRule="auto"/>
        <w:jc w:val="right"/>
        <w:rPr>
          <w:rFonts w:ascii="inherit" w:eastAsia="Times New Roman" w:hAnsi="inherit" w:cs="Courier New"/>
          <w:color w:val="1F1F1F"/>
          <w:kern w:val="0"/>
          <w:sz w:val="24"/>
          <w:szCs w:val="24"/>
          <w:lang w:val="uk-UA" w:eastAsia="ru-RU"/>
          <w14:ligatures w14:val="none"/>
        </w:rPr>
      </w:pPr>
    </w:p>
    <w:p w14:paraId="72638F00" w14:textId="77777777" w:rsidR="000F5770" w:rsidRPr="003B5892" w:rsidRDefault="000F5770" w:rsidP="0002329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1F1F1F"/>
          <w:kern w:val="0"/>
          <w:sz w:val="24"/>
          <w:szCs w:val="24"/>
          <w:lang w:val="uk-UA" w:eastAsia="uk-UA"/>
          <w14:ligatures w14:val="none"/>
        </w:rPr>
      </w:pPr>
      <w:r w:rsidRPr="003B5892">
        <w:rPr>
          <w:rFonts w:ascii="Times New Roman" w:eastAsia="Times New Roman" w:hAnsi="Times New Roman" w:cs="Times New Roman"/>
          <w:b/>
          <w:color w:val="1F1F1F"/>
          <w:kern w:val="0"/>
          <w:sz w:val="24"/>
          <w:szCs w:val="24"/>
          <w:lang w:val="en" w:eastAsia="uk-UA"/>
          <w14:ligatures w14:val="none"/>
        </w:rPr>
        <w:t>Ways to improve departmental and interdepartmental interaction during scientific and scientific and technical activities in the system of the Ministry of Defense of Ukraine</w:t>
      </w:r>
    </w:p>
    <w:p w14:paraId="7071F9A5" w14:textId="77777777" w:rsidR="000F5770" w:rsidRPr="003B5892" w:rsidRDefault="000F5770" w:rsidP="00023291">
      <w:pPr>
        <w:tabs>
          <w:tab w:val="left" w:pos="9638"/>
        </w:tabs>
        <w:spacing w:after="0" w:line="240" w:lineRule="auto"/>
        <w:jc w:val="both"/>
        <w:rPr>
          <w:rFonts w:ascii="Times New Roman" w:eastAsia="Calibri" w:hAnsi="Times New Roman" w:cs="Times New Roman"/>
          <w:b/>
          <w:bCs/>
          <w:kern w:val="0"/>
          <w:sz w:val="24"/>
          <w:szCs w:val="24"/>
          <w:lang w:val="uk-UA"/>
          <w14:ligatures w14:val="none"/>
        </w:rPr>
      </w:pPr>
    </w:p>
    <w:p w14:paraId="5AEF8DD8" w14:textId="1F6BFBA6" w:rsidR="00030145" w:rsidRPr="00F25FCF" w:rsidRDefault="000F5770" w:rsidP="00030145">
      <w:pPr>
        <w:spacing w:after="0" w:line="240" w:lineRule="auto"/>
        <w:ind w:firstLine="142"/>
        <w:jc w:val="both"/>
        <w:rPr>
          <w:rFonts w:ascii="Times New Roman" w:eastAsia="Times New Roman" w:hAnsi="Times New Roman" w:cs="Times New Roman"/>
          <w:i/>
          <w:color w:val="1F1F1F"/>
          <w:kern w:val="0"/>
          <w:sz w:val="24"/>
          <w:szCs w:val="24"/>
          <w:lang w:eastAsia="uk-UA"/>
          <w14:ligatures w14:val="none"/>
        </w:rPr>
      </w:pPr>
      <w:r w:rsidRPr="003B5892">
        <w:rPr>
          <w:rFonts w:ascii="Times New Roman" w:eastAsia="Times New Roman" w:hAnsi="Times New Roman" w:cs="Times New Roman"/>
          <w:b/>
          <w:i/>
          <w:kern w:val="0"/>
          <w:sz w:val="23"/>
          <w:szCs w:val="23"/>
          <w:lang w:val="en-GB" w:eastAsia="ru-RU"/>
          <w14:ligatures w14:val="none"/>
        </w:rPr>
        <w:t xml:space="preserve">          </w:t>
      </w:r>
      <w:r w:rsidR="00030145" w:rsidRPr="00030145">
        <w:rPr>
          <w:rFonts w:ascii="Times New Roman" w:eastAsia="Times New Roman" w:hAnsi="Times New Roman" w:cs="Times New Roman"/>
          <w:b/>
          <w:i/>
          <w:kern w:val="0"/>
          <w:sz w:val="24"/>
          <w:szCs w:val="24"/>
          <w:lang w:val="en-GB" w:eastAsia="ru-RU"/>
          <w14:ligatures w14:val="none"/>
        </w:rPr>
        <w:t>Introduction</w:t>
      </w:r>
      <w:r w:rsidR="00030145" w:rsidRPr="00030145">
        <w:rPr>
          <w:rFonts w:ascii="Times New Roman" w:eastAsia="Times New Roman" w:hAnsi="Times New Roman" w:cs="Times New Roman"/>
          <w:b/>
          <w:i/>
          <w:kern w:val="0"/>
          <w:sz w:val="24"/>
          <w:szCs w:val="24"/>
          <w:lang w:val="uk-UA" w:eastAsia="ru-RU"/>
          <w14:ligatures w14:val="none"/>
        </w:rPr>
        <w:t>.</w:t>
      </w:r>
      <w:r w:rsidR="00030145" w:rsidRPr="00030145">
        <w:rPr>
          <w:rFonts w:ascii="Times New Roman" w:eastAsia="Times New Roman" w:hAnsi="Times New Roman" w:cs="Times New Roman"/>
          <w:b/>
          <w:i/>
          <w:kern w:val="0"/>
          <w:sz w:val="24"/>
          <w:szCs w:val="24"/>
          <w:lang w:eastAsia="ru-RU"/>
          <w14:ligatures w14:val="none"/>
        </w:rPr>
        <w:t xml:space="preserve"> </w:t>
      </w:r>
      <w:r w:rsidR="00030145" w:rsidRPr="00F25FCF">
        <w:rPr>
          <w:rFonts w:ascii="Times New Roman" w:eastAsia="Times New Roman" w:hAnsi="Times New Roman" w:cs="Times New Roman"/>
          <w:i/>
          <w:color w:val="1F1F1F"/>
          <w:kern w:val="0"/>
          <w:sz w:val="24"/>
          <w:szCs w:val="24"/>
          <w:lang w:eastAsia="uk-UA"/>
          <w14:ligatures w14:val="none"/>
        </w:rPr>
        <w:t xml:space="preserve">Determining measures for implementing the transformation of scientific and scientific-technical activities (NNTD) within the system of the Ministry of Defenсe of Ukraine primarily requires studying ways to improve interaction between the Ministry’s scientific units and the General Staff (GS) of the Armed Forces of Ukraine, as well as organizing interagency cooperation with other components of Ukraine’s security and defense sector in the scientific domain. </w:t>
      </w:r>
    </w:p>
    <w:p w14:paraId="33216C24" w14:textId="77777777" w:rsidR="00030145" w:rsidRPr="00F25FCF" w:rsidRDefault="00030145" w:rsidP="00030145">
      <w:pPr>
        <w:suppressAutoHyphens/>
        <w:spacing w:after="0" w:line="240" w:lineRule="auto"/>
        <w:ind w:firstLine="709"/>
        <w:jc w:val="both"/>
        <w:rPr>
          <w:rFonts w:ascii="Times New Roman" w:eastAsia="Times New Roman" w:hAnsi="Times New Roman" w:cs="Times New Roman"/>
          <w:i/>
          <w:color w:val="1F1F1F"/>
          <w:kern w:val="0"/>
          <w:sz w:val="24"/>
          <w:szCs w:val="24"/>
          <w:lang w:eastAsia="uk-UA"/>
          <w14:ligatures w14:val="none"/>
        </w:rPr>
      </w:pPr>
      <w:r w:rsidRPr="00F25FCF">
        <w:rPr>
          <w:rFonts w:ascii="Times New Roman" w:eastAsia="Times New Roman" w:hAnsi="Times New Roman" w:cs="Times New Roman"/>
          <w:i/>
          <w:color w:val="1F1F1F"/>
          <w:kern w:val="0"/>
          <w:sz w:val="24"/>
          <w:szCs w:val="24"/>
          <w:lang w:eastAsia="uk-UA"/>
          <w14:ligatures w14:val="none"/>
        </w:rPr>
        <w:t xml:space="preserve">Purpose. Based on an analysis of the current regulatory framework governing cooperation between the scientific units of the Ministry of Defense of Ukraine and interagency cooperation within the defense forces, as well as a comparative analysis of their main areas of scientific research, possible ways should be identified to improve the effectiveness of their functioning, taking into account the implementation of the principles of an integrated scientific environment within the system of scientific, methodological, and technical documentation (SMTD). </w:t>
      </w:r>
    </w:p>
    <w:p w14:paraId="243E5E4C" w14:textId="77777777" w:rsidR="00030145" w:rsidRPr="00030145" w:rsidRDefault="00030145" w:rsidP="00030145">
      <w:pPr>
        <w:suppressAutoHyphens/>
        <w:spacing w:after="0" w:line="240" w:lineRule="auto"/>
        <w:jc w:val="both"/>
        <w:rPr>
          <w:rFonts w:ascii="Times New Roman" w:eastAsia="Times New Roman" w:hAnsi="Times New Roman" w:cs="Times New Roman"/>
          <w:i/>
          <w:color w:val="1F1F1F"/>
          <w:kern w:val="0"/>
          <w:sz w:val="24"/>
          <w:szCs w:val="24"/>
          <w:lang w:val="uk-UA" w:eastAsia="uk-UA"/>
          <w14:ligatures w14:val="none"/>
        </w:rPr>
      </w:pPr>
      <w:r w:rsidRPr="00030145">
        <w:rPr>
          <w:rFonts w:ascii="Times New Roman" w:eastAsia="Times New Roman" w:hAnsi="Times New Roman" w:cs="Times New Roman"/>
          <w:b/>
          <w:i/>
          <w:kern w:val="0"/>
          <w:sz w:val="24"/>
          <w:szCs w:val="24"/>
          <w:lang w:val="uk-UA" w:eastAsia="ru-RU"/>
          <w14:ligatures w14:val="none"/>
        </w:rPr>
        <w:tab/>
      </w:r>
      <w:r w:rsidRPr="00030145">
        <w:rPr>
          <w:rFonts w:ascii="Times New Roman" w:eastAsia="Times New Roman" w:hAnsi="Times New Roman" w:cs="Times New Roman"/>
          <w:b/>
          <w:i/>
          <w:kern w:val="0"/>
          <w:sz w:val="24"/>
          <w:szCs w:val="24"/>
          <w:lang w:val="en-GB" w:eastAsia="ru-RU"/>
          <w14:ligatures w14:val="none"/>
        </w:rPr>
        <w:t>Methods</w:t>
      </w:r>
      <w:r w:rsidRPr="00030145">
        <w:rPr>
          <w:rFonts w:ascii="Times New Roman" w:eastAsia="Times New Roman" w:hAnsi="Times New Roman" w:cs="Times New Roman"/>
          <w:b/>
          <w:kern w:val="0"/>
          <w:sz w:val="24"/>
          <w:szCs w:val="24"/>
          <w:lang w:val="uk-UA" w:eastAsia="ru-RU"/>
          <w14:ligatures w14:val="none"/>
        </w:rPr>
        <w:t>.</w:t>
      </w:r>
      <w:r w:rsidRPr="00030145">
        <w:rPr>
          <w:rFonts w:ascii="Times New Roman" w:eastAsia="Times New Roman" w:hAnsi="Times New Roman" w:cs="Times New Roman"/>
          <w:b/>
          <w:bCs/>
          <w:kern w:val="0"/>
          <w:sz w:val="24"/>
          <w:szCs w:val="24"/>
          <w:lang w:val="uk-UA"/>
          <w14:ligatures w14:val="none"/>
        </w:rPr>
        <w:t xml:space="preserve"> </w:t>
      </w:r>
      <w:r w:rsidRPr="00030145">
        <w:rPr>
          <w:rFonts w:ascii="Times New Roman" w:eastAsia="Times New Roman" w:hAnsi="Times New Roman" w:cs="Times New Roman"/>
          <w:i/>
          <w:color w:val="1F1F1F"/>
          <w:kern w:val="0"/>
          <w:sz w:val="24"/>
          <w:szCs w:val="24"/>
          <w:lang w:eastAsia="uk-UA"/>
          <w14:ligatures w14:val="none"/>
        </w:rPr>
        <w:t>The following scientific research methods are used in the article: systematic approach, systematic analysis, comparison, classification, generalization, and systematization.</w:t>
      </w:r>
    </w:p>
    <w:p w14:paraId="07B44C73" w14:textId="77777777" w:rsidR="00030145" w:rsidRPr="00030145" w:rsidRDefault="00030145" w:rsidP="00030145">
      <w:pPr>
        <w:suppressAutoHyphens/>
        <w:spacing w:after="0" w:line="240" w:lineRule="auto"/>
        <w:jc w:val="both"/>
        <w:rPr>
          <w:rFonts w:ascii="Times New Roman" w:eastAsia="Times New Roman" w:hAnsi="Times New Roman" w:cs="Times New Roman"/>
          <w:i/>
          <w:color w:val="1F1F1F"/>
          <w:kern w:val="0"/>
          <w:sz w:val="24"/>
          <w:szCs w:val="24"/>
          <w:lang w:eastAsia="uk-UA"/>
          <w14:ligatures w14:val="none"/>
        </w:rPr>
      </w:pPr>
      <w:r w:rsidRPr="00030145">
        <w:rPr>
          <w:rFonts w:ascii="Times New Roman" w:eastAsia="Times New Roman" w:hAnsi="Times New Roman" w:cs="Times New Roman"/>
          <w:b/>
          <w:i/>
          <w:kern w:val="0"/>
          <w:sz w:val="24"/>
          <w:szCs w:val="24"/>
          <w:lang w:val="uk-UA" w:eastAsia="ru-RU"/>
          <w14:ligatures w14:val="none"/>
        </w:rPr>
        <w:tab/>
      </w:r>
      <w:r w:rsidRPr="00030145">
        <w:rPr>
          <w:rFonts w:ascii="Times New Roman" w:eastAsia="Times New Roman" w:hAnsi="Times New Roman" w:cs="Times New Roman"/>
          <w:b/>
          <w:i/>
          <w:kern w:val="0"/>
          <w:sz w:val="24"/>
          <w:szCs w:val="24"/>
          <w:lang w:val="en-GB" w:eastAsia="ru-RU"/>
          <w14:ligatures w14:val="none"/>
        </w:rPr>
        <w:t>Results</w:t>
      </w:r>
      <w:r w:rsidRPr="00030145">
        <w:rPr>
          <w:rFonts w:ascii="Times New Roman" w:eastAsia="Times New Roman" w:hAnsi="Times New Roman" w:cs="Times New Roman"/>
          <w:b/>
          <w:i/>
          <w:kern w:val="0"/>
          <w:sz w:val="24"/>
          <w:szCs w:val="24"/>
          <w:lang w:val="uk-UA" w:eastAsia="ru-RU"/>
          <w14:ligatures w14:val="none"/>
        </w:rPr>
        <w:t xml:space="preserve">. </w:t>
      </w:r>
      <w:r w:rsidRPr="00030145">
        <w:rPr>
          <w:rFonts w:ascii="Times New Roman" w:eastAsia="Times New Roman" w:hAnsi="Times New Roman" w:cs="Times New Roman"/>
          <w:i/>
          <w:color w:val="1F1F1F"/>
          <w:kern w:val="0"/>
          <w:sz w:val="24"/>
          <w:szCs w:val="24"/>
          <w:lang w:eastAsia="uk-UA"/>
          <w14:ligatures w14:val="none"/>
        </w:rPr>
        <w:t xml:space="preserve">The directions of transformation of the system of scientific and scientific-technical activity of the Ministry of </w:t>
      </w:r>
      <w:r w:rsidRPr="00F25FCF">
        <w:rPr>
          <w:rFonts w:ascii="Times New Roman" w:eastAsia="Times New Roman" w:hAnsi="Times New Roman" w:cs="Times New Roman"/>
          <w:i/>
          <w:color w:val="1F1F1F"/>
          <w:kern w:val="0"/>
          <w:sz w:val="24"/>
          <w:szCs w:val="24"/>
          <w:lang w:eastAsia="uk-UA"/>
          <w14:ligatures w14:val="none"/>
        </w:rPr>
        <w:t>Defenсe</w:t>
      </w:r>
      <w:r w:rsidRPr="00030145">
        <w:rPr>
          <w:rFonts w:ascii="Times New Roman" w:eastAsia="Times New Roman" w:hAnsi="Times New Roman" w:cs="Times New Roman"/>
          <w:i/>
          <w:color w:val="1F1F1F"/>
          <w:kern w:val="0"/>
          <w:sz w:val="24"/>
          <w:szCs w:val="24"/>
          <w:lang w:eastAsia="uk-UA"/>
          <w14:ligatures w14:val="none"/>
        </w:rPr>
        <w:t xml:space="preserve"> of Ukraine by forming a single scientific space are proposed through the implementation of in-depth interaction of the scientific structural units of the Ministry, and cooperation with other components of the </w:t>
      </w:r>
      <w:r w:rsidRPr="00F25FCF">
        <w:rPr>
          <w:rFonts w:ascii="Times New Roman" w:eastAsia="Times New Roman" w:hAnsi="Times New Roman" w:cs="Times New Roman"/>
          <w:i/>
          <w:color w:val="1F1F1F"/>
          <w:kern w:val="0"/>
          <w:sz w:val="24"/>
          <w:szCs w:val="24"/>
          <w:lang w:eastAsia="uk-UA"/>
          <w14:ligatures w14:val="none"/>
        </w:rPr>
        <w:t>defenсe</w:t>
      </w:r>
      <w:r w:rsidRPr="00030145">
        <w:rPr>
          <w:rFonts w:ascii="Times New Roman" w:eastAsia="Times New Roman" w:hAnsi="Times New Roman" w:cs="Times New Roman"/>
          <w:i/>
          <w:color w:val="1F1F1F"/>
          <w:kern w:val="0"/>
          <w:sz w:val="24"/>
          <w:szCs w:val="24"/>
          <w:lang w:eastAsia="uk-UA"/>
          <w14:ligatures w14:val="none"/>
        </w:rPr>
        <w:t xml:space="preserve"> forces during their implementation of scientific and scientific-technical activity. </w:t>
      </w:r>
    </w:p>
    <w:p w14:paraId="2AE58C27" w14:textId="77777777" w:rsidR="00030145" w:rsidRPr="00030145" w:rsidRDefault="00030145" w:rsidP="000301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eastAsia="Times New Roman" w:hAnsi="Times New Roman" w:cs="Times New Roman"/>
          <w:i/>
          <w:color w:val="1F1F1F"/>
          <w:kern w:val="0"/>
          <w:sz w:val="24"/>
          <w:szCs w:val="24"/>
          <w:lang w:val="uk-UA" w:eastAsia="uk-UA"/>
          <w14:ligatures w14:val="none"/>
        </w:rPr>
      </w:pPr>
      <w:r w:rsidRPr="00030145">
        <w:rPr>
          <w:rFonts w:ascii="Times New Roman" w:eastAsia="Times New Roman" w:hAnsi="Times New Roman" w:cs="Times New Roman"/>
          <w:b/>
          <w:i/>
          <w:color w:val="1F1F1F"/>
          <w:kern w:val="0"/>
          <w:sz w:val="24"/>
          <w:szCs w:val="24"/>
          <w:lang w:val="uk-UA" w:eastAsia="uk-UA"/>
          <w14:ligatures w14:val="none"/>
        </w:rPr>
        <w:t xml:space="preserve">           </w:t>
      </w:r>
      <w:r w:rsidRPr="00030145">
        <w:rPr>
          <w:rFonts w:ascii="Times New Roman" w:eastAsia="Times New Roman" w:hAnsi="Times New Roman" w:cs="Times New Roman"/>
          <w:b/>
          <w:i/>
          <w:color w:val="1F1F1F"/>
          <w:kern w:val="0"/>
          <w:sz w:val="24"/>
          <w:szCs w:val="24"/>
          <w:lang w:eastAsia="uk-UA"/>
          <w14:ligatures w14:val="none"/>
        </w:rPr>
        <w:t>Originality</w:t>
      </w:r>
      <w:r w:rsidRPr="00030145">
        <w:rPr>
          <w:rFonts w:ascii="Times New Roman" w:eastAsia="Times New Roman" w:hAnsi="Times New Roman" w:cs="Times New Roman"/>
          <w:color w:val="1F1F1F"/>
          <w:kern w:val="0"/>
          <w:sz w:val="24"/>
          <w:szCs w:val="24"/>
          <w:lang w:eastAsia="uk-UA"/>
          <w14:ligatures w14:val="none"/>
        </w:rPr>
        <w:t xml:space="preserve">. </w:t>
      </w:r>
      <w:r w:rsidRPr="00030145">
        <w:rPr>
          <w:rFonts w:ascii="Times New Roman" w:eastAsia="Times New Roman" w:hAnsi="Times New Roman" w:cs="Times New Roman"/>
          <w:i/>
          <w:color w:val="1F1F1F"/>
          <w:kern w:val="0"/>
          <w:sz w:val="24"/>
          <w:szCs w:val="24"/>
          <w:lang w:eastAsia="uk-UA"/>
          <w14:ligatures w14:val="none"/>
        </w:rPr>
        <w:t xml:space="preserve">The organization of in-depth interaction between universities, higher educational institutions, higher educational institutions of higher education of the Ministry of Defense of Ukraine creates the basis for the formation and development of a single scientific space, </w:t>
      </w:r>
      <w:r w:rsidRPr="00030145">
        <w:rPr>
          <w:rFonts w:ascii="Times New Roman" w:eastAsia="Times New Roman" w:hAnsi="Times New Roman" w:cs="Times New Roman"/>
          <w:i/>
          <w:color w:val="1F1F1F"/>
          <w:kern w:val="0"/>
          <w:sz w:val="24"/>
          <w:szCs w:val="24"/>
          <w:lang w:eastAsia="uk-UA"/>
          <w14:ligatures w14:val="none"/>
        </w:rPr>
        <w:lastRenderedPageBreak/>
        <w:t xml:space="preserve">becomes a necessary condition for increasing the efficiency of the NNTD system of the Ministry of </w:t>
      </w:r>
      <w:r w:rsidRPr="00F25FCF">
        <w:rPr>
          <w:rFonts w:ascii="Times New Roman" w:eastAsia="Times New Roman" w:hAnsi="Times New Roman" w:cs="Times New Roman"/>
          <w:i/>
          <w:color w:val="1F1F1F"/>
          <w:kern w:val="0"/>
          <w:sz w:val="24"/>
          <w:szCs w:val="24"/>
          <w:lang w:eastAsia="uk-UA"/>
          <w14:ligatures w14:val="none"/>
        </w:rPr>
        <w:t>Defenсe</w:t>
      </w:r>
      <w:r w:rsidRPr="00030145">
        <w:rPr>
          <w:rFonts w:ascii="Times New Roman" w:eastAsia="Times New Roman" w:hAnsi="Times New Roman" w:cs="Times New Roman"/>
          <w:i/>
          <w:color w:val="1F1F1F"/>
          <w:kern w:val="0"/>
          <w:sz w:val="24"/>
          <w:szCs w:val="24"/>
          <w:lang w:eastAsia="uk-UA"/>
          <w14:ligatures w14:val="none"/>
        </w:rPr>
        <w:t xml:space="preserve"> of Ukraine, ensuring its innovative</w:t>
      </w:r>
      <w:r w:rsidRPr="00030145">
        <w:rPr>
          <w:rFonts w:ascii="Times New Roman" w:eastAsia="Times New Roman" w:hAnsi="Times New Roman" w:cs="Times New Roman"/>
          <w:i/>
          <w:color w:val="1F1F1F"/>
          <w:kern w:val="0"/>
          <w:sz w:val="24"/>
          <w:szCs w:val="24"/>
          <w:lang w:val="uk-UA" w:eastAsia="uk-UA"/>
          <w14:ligatures w14:val="none"/>
        </w:rPr>
        <w:t>.</w:t>
      </w:r>
    </w:p>
    <w:p w14:paraId="433E8CBC" w14:textId="77777777" w:rsidR="00030145" w:rsidRPr="00030145" w:rsidRDefault="00030145" w:rsidP="00030145">
      <w:pPr>
        <w:suppressAutoHyphens/>
        <w:spacing w:after="0" w:line="240" w:lineRule="auto"/>
        <w:jc w:val="both"/>
        <w:rPr>
          <w:rFonts w:ascii="Times New Roman" w:eastAsia="Times New Roman" w:hAnsi="Times New Roman" w:cs="Times New Roman"/>
          <w:i/>
          <w:color w:val="1F1F1F"/>
          <w:kern w:val="0"/>
          <w:sz w:val="24"/>
          <w:szCs w:val="24"/>
          <w:lang w:eastAsia="uk-UA"/>
          <w14:ligatures w14:val="none"/>
        </w:rPr>
      </w:pPr>
      <w:r w:rsidRPr="00030145">
        <w:rPr>
          <w:rFonts w:ascii="Times New Roman" w:eastAsia="Times New Roman" w:hAnsi="Times New Roman" w:cs="Times New Roman"/>
          <w:b/>
          <w:i/>
          <w:kern w:val="0"/>
          <w:sz w:val="24"/>
          <w:szCs w:val="24"/>
          <w:lang w:val="uk-UA" w:eastAsia="ru-RU"/>
          <w14:ligatures w14:val="none"/>
        </w:rPr>
        <w:tab/>
      </w:r>
      <w:r w:rsidRPr="00030145">
        <w:rPr>
          <w:rFonts w:ascii="Times New Roman" w:eastAsia="Times New Roman" w:hAnsi="Times New Roman" w:cs="Times New Roman"/>
          <w:b/>
          <w:i/>
          <w:kern w:val="0"/>
          <w:sz w:val="24"/>
          <w:szCs w:val="24"/>
          <w:lang w:val="en-GB" w:eastAsia="ru-RU"/>
          <w14:ligatures w14:val="none"/>
        </w:rPr>
        <w:t>Conclusion</w:t>
      </w:r>
      <w:r w:rsidRPr="00030145">
        <w:rPr>
          <w:rFonts w:ascii="Consolas" w:eastAsia="Times New Roman" w:hAnsi="Consolas" w:cs="Times New Roman"/>
          <w:b/>
          <w:i/>
          <w:kern w:val="0"/>
          <w:sz w:val="24"/>
          <w:szCs w:val="24"/>
          <w:lang w:val="uk-UA" w:eastAsia="ru-RU"/>
          <w14:ligatures w14:val="none"/>
        </w:rPr>
        <w:t>.</w:t>
      </w:r>
      <w:r w:rsidRPr="00030145">
        <w:rPr>
          <w:rFonts w:ascii="Times New Roman" w:eastAsia="Times New Roman" w:hAnsi="Times New Roman" w:cs="Times New Roman"/>
          <w:b/>
          <w:i/>
          <w:kern w:val="0"/>
          <w:sz w:val="24"/>
          <w:szCs w:val="24"/>
          <w:lang w:val="uk-UA" w:eastAsia="ru-RU"/>
          <w14:ligatures w14:val="none"/>
        </w:rPr>
        <w:t xml:space="preserve"> </w:t>
      </w:r>
      <w:r w:rsidRPr="00030145">
        <w:rPr>
          <w:rFonts w:ascii="Times New Roman" w:eastAsia="Times New Roman" w:hAnsi="Times New Roman" w:cs="Times New Roman"/>
          <w:i/>
          <w:color w:val="1F1F1F"/>
          <w:kern w:val="0"/>
          <w:sz w:val="24"/>
          <w:szCs w:val="24"/>
          <w:lang w:eastAsia="uk-UA"/>
          <w14:ligatures w14:val="none"/>
        </w:rPr>
        <w:t xml:space="preserve">The conducted research shows that increasing the efficiency of scientific activity in the Ministry of </w:t>
      </w:r>
      <w:r w:rsidRPr="00F25FCF">
        <w:rPr>
          <w:rFonts w:ascii="Times New Roman" w:eastAsia="Times New Roman" w:hAnsi="Times New Roman" w:cs="Times New Roman"/>
          <w:i/>
          <w:color w:val="1F1F1F"/>
          <w:kern w:val="0"/>
          <w:sz w:val="24"/>
          <w:szCs w:val="24"/>
          <w:lang w:eastAsia="uk-UA"/>
          <w14:ligatures w14:val="none"/>
        </w:rPr>
        <w:t>Defenсe</w:t>
      </w:r>
      <w:r w:rsidRPr="00030145">
        <w:rPr>
          <w:rFonts w:ascii="Times New Roman" w:eastAsia="Times New Roman" w:hAnsi="Times New Roman" w:cs="Times New Roman"/>
          <w:i/>
          <w:color w:val="1F1F1F"/>
          <w:kern w:val="0"/>
          <w:sz w:val="24"/>
          <w:szCs w:val="24"/>
          <w:lang w:eastAsia="uk-UA"/>
          <w14:ligatures w14:val="none"/>
        </w:rPr>
        <w:t xml:space="preserve"> of Ukraine through in-depth interaction has promising potential for creating a single scientific space.</w:t>
      </w:r>
    </w:p>
    <w:p w14:paraId="51A9D699" w14:textId="77777777" w:rsidR="00030145" w:rsidRPr="00F25FCF" w:rsidRDefault="00030145" w:rsidP="000301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both"/>
        <w:rPr>
          <w:rFonts w:ascii="Times New Roman" w:eastAsia="Times New Roman" w:hAnsi="Times New Roman" w:cs="Times New Roman"/>
          <w:i/>
          <w:color w:val="1F1F1F"/>
          <w:kern w:val="0"/>
          <w:sz w:val="24"/>
          <w:szCs w:val="24"/>
          <w:lang w:eastAsia="uk-UA"/>
          <w14:ligatures w14:val="none"/>
        </w:rPr>
      </w:pPr>
      <w:r w:rsidRPr="00F25FCF">
        <w:rPr>
          <w:rFonts w:ascii="Times New Roman" w:eastAsia="Times New Roman" w:hAnsi="Times New Roman" w:cs="Times New Roman"/>
          <w:i/>
          <w:color w:val="1F1F1F"/>
          <w:kern w:val="0"/>
          <w:sz w:val="24"/>
          <w:szCs w:val="24"/>
          <w:lang w:eastAsia="uk-UA"/>
          <w14:ligatures w14:val="none"/>
        </w:rPr>
        <w:t xml:space="preserve">Further research in this area should address issues related to the organization of scientific cooperation at the national level, the expansion of international research collaboration, and the digitalization of the scientific environment. </w:t>
      </w:r>
    </w:p>
    <w:p w14:paraId="1CA29F07" w14:textId="77777777" w:rsidR="000F5770" w:rsidRPr="003B5892" w:rsidRDefault="000F5770" w:rsidP="00023291">
      <w:pPr>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1F1F1F"/>
          <w:kern w:val="0"/>
          <w:sz w:val="24"/>
          <w:szCs w:val="24"/>
          <w:lang w:val="uk-UA" w:eastAsia="uk-UA"/>
          <w14:ligatures w14:val="none"/>
        </w:rPr>
      </w:pPr>
      <w:r w:rsidRPr="00030145">
        <w:rPr>
          <w:rFonts w:ascii="Times New Roman" w:eastAsia="Times New Roman" w:hAnsi="Times New Roman" w:cs="Times New Roman"/>
          <w:i/>
          <w:color w:val="1F1F1F"/>
          <w:kern w:val="0"/>
          <w:sz w:val="24"/>
          <w:szCs w:val="24"/>
          <w:lang w:val="uk-UA" w:eastAsia="uk-UA"/>
          <w14:ligatures w14:val="none"/>
        </w:rPr>
        <w:t xml:space="preserve">            </w:t>
      </w:r>
      <w:r w:rsidRPr="00030145">
        <w:rPr>
          <w:rFonts w:ascii="Times New Roman" w:eastAsia="Times New Roman" w:hAnsi="Times New Roman" w:cs="Times New Roman"/>
          <w:b/>
          <w:i/>
          <w:color w:val="1F1F1F"/>
          <w:kern w:val="0"/>
          <w:sz w:val="24"/>
          <w:szCs w:val="24"/>
          <w:lang w:val="en" w:eastAsia="uk-UA"/>
          <w14:ligatures w14:val="none"/>
        </w:rPr>
        <w:t>Keywords:</w:t>
      </w:r>
      <w:r w:rsidRPr="00030145">
        <w:rPr>
          <w:rFonts w:ascii="Times New Roman" w:eastAsia="Times New Roman" w:hAnsi="Times New Roman" w:cs="Times New Roman"/>
          <w:i/>
          <w:color w:val="1F1F1F"/>
          <w:kern w:val="0"/>
          <w:sz w:val="24"/>
          <w:szCs w:val="24"/>
          <w:lang w:val="en" w:eastAsia="uk-UA"/>
          <w14:ligatures w14:val="none"/>
        </w:rPr>
        <w:t xml:space="preserve"> system of scientific and scientific and technical activity, interagency interaction; scientific support; subject; single scientific space; scientific institution.</w:t>
      </w:r>
    </w:p>
    <w:p w14:paraId="25BB8857" w14:textId="77777777" w:rsidR="000F5770" w:rsidRPr="003B5892" w:rsidRDefault="000F5770" w:rsidP="00023291">
      <w:pPr>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i/>
          <w:color w:val="1F1F1F"/>
          <w:kern w:val="0"/>
          <w:sz w:val="24"/>
          <w:szCs w:val="24"/>
          <w:lang w:val="uk-UA" w:eastAsia="uk-UA"/>
          <w14:ligatures w14:val="none"/>
        </w:rPr>
      </w:pPr>
    </w:p>
    <w:p w14:paraId="266A3F4F" w14:textId="77777777" w:rsidR="000F5770" w:rsidRPr="003B5892" w:rsidRDefault="000F5770"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3B5892">
        <w:rPr>
          <w:rFonts w:ascii="Times New Roman" w:eastAsia="Times New Roman" w:hAnsi="Times New Roman" w:cs="Times New Roman"/>
          <w:kern w:val="0"/>
          <w:sz w:val="24"/>
          <w:szCs w:val="24"/>
          <w:shd w:val="clear" w:color="auto" w:fill="FFFFFF"/>
          <w:lang w:val="uk-UA"/>
          <w14:ligatures w14:val="none"/>
        </w:rPr>
        <w:t>Рукопис надійшов до редакції 27.03.2026</w:t>
      </w:r>
    </w:p>
    <w:p w14:paraId="550B7B09" w14:textId="77777777" w:rsidR="000F5770" w:rsidRPr="003B5892" w:rsidRDefault="000F5770"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3B5892">
        <w:rPr>
          <w:rFonts w:ascii="Times New Roman" w:eastAsia="Times New Roman" w:hAnsi="Times New Roman" w:cs="Times New Roman"/>
          <w:kern w:val="0"/>
          <w:sz w:val="24"/>
          <w:szCs w:val="24"/>
          <w:shd w:val="clear" w:color="auto" w:fill="FFFFFF"/>
          <w:lang w:val="uk-UA"/>
          <w14:ligatures w14:val="none"/>
        </w:rPr>
        <w:t>Рукопис прийнято до друку після рецензування 25.04.2026</w:t>
      </w:r>
    </w:p>
    <w:p w14:paraId="347BF118" w14:textId="77777777" w:rsidR="000F5770" w:rsidRPr="003B5892" w:rsidRDefault="000F5770" w:rsidP="00023291">
      <w:pPr>
        <w:shd w:val="clear" w:color="auto" w:fill="FFFFFF"/>
        <w:tabs>
          <w:tab w:val="left" w:pos="9638"/>
        </w:tabs>
        <w:spacing w:after="0" w:line="240" w:lineRule="auto"/>
        <w:ind w:firstLine="709"/>
        <w:jc w:val="right"/>
        <w:rPr>
          <w:rFonts w:ascii="Times New Roman" w:eastAsia="Times New Roman" w:hAnsi="Times New Roman" w:cs="Times New Roman"/>
          <w:i/>
          <w:spacing w:val="-2"/>
          <w:kern w:val="28"/>
          <w:sz w:val="24"/>
          <w:szCs w:val="24"/>
          <w:u w:val="single"/>
          <w:lang w:val="uk-UA"/>
          <w14:ligatures w14:val="none"/>
        </w:rPr>
      </w:pPr>
      <w:r w:rsidRPr="003B5892">
        <w:rPr>
          <w:rFonts w:ascii="Times New Roman" w:eastAsia="Times New Roman" w:hAnsi="Times New Roman" w:cs="Times New Roman"/>
          <w:kern w:val="0"/>
          <w:sz w:val="24"/>
          <w:szCs w:val="24"/>
          <w:shd w:val="clear" w:color="auto" w:fill="FFFFFF"/>
          <w:lang w:val="uk-UA"/>
          <w14:ligatures w14:val="none"/>
        </w:rPr>
        <w:t>Дата публікації 25.05.2026</w:t>
      </w:r>
    </w:p>
    <w:p w14:paraId="11DD03FB" w14:textId="77777777" w:rsidR="000F5770" w:rsidRPr="003B5892" w:rsidRDefault="000F5770" w:rsidP="00023291">
      <w:pPr>
        <w:tabs>
          <w:tab w:val="left" w:pos="9638"/>
        </w:tabs>
        <w:spacing w:after="0" w:line="240" w:lineRule="auto"/>
        <w:jc w:val="both"/>
        <w:rPr>
          <w:rFonts w:ascii="Times New Roman" w:eastAsia="Times New Roman" w:hAnsi="Times New Roman" w:cs="Times New Roman"/>
          <w:kern w:val="0"/>
          <w:sz w:val="24"/>
          <w:szCs w:val="24"/>
          <w:lang w:val="uk-UA" w:eastAsia="uk-UA"/>
          <w14:ligatures w14:val="none"/>
        </w:rPr>
      </w:pPr>
    </w:p>
    <w:p w14:paraId="420CBC77" w14:textId="77777777" w:rsidR="00446297" w:rsidRDefault="00446297" w:rsidP="00023291">
      <w:pPr>
        <w:tabs>
          <w:tab w:val="left" w:pos="9638"/>
        </w:tabs>
        <w:spacing w:after="0" w:line="240" w:lineRule="auto"/>
        <w:ind w:firstLine="709"/>
        <w:rPr>
          <w:rFonts w:ascii="Times New Roman" w:eastAsia="Times New Roman" w:hAnsi="Times New Roman" w:cs="Times New Roman"/>
          <w:b/>
          <w:color w:val="000000"/>
          <w:kern w:val="0"/>
          <w:sz w:val="24"/>
          <w:szCs w:val="24"/>
          <w:lang w:val="uk-UA"/>
          <w14:ligatures w14:val="none"/>
        </w:rPr>
      </w:pPr>
    </w:p>
    <w:p w14:paraId="0C7316C3" w14:textId="77777777" w:rsidR="00446297" w:rsidRDefault="00446297" w:rsidP="00023291">
      <w:pPr>
        <w:tabs>
          <w:tab w:val="left" w:pos="9638"/>
        </w:tabs>
        <w:spacing w:after="0" w:line="240" w:lineRule="auto"/>
        <w:ind w:firstLine="709"/>
        <w:rPr>
          <w:rFonts w:ascii="Times New Roman" w:eastAsia="Times New Roman" w:hAnsi="Times New Roman" w:cs="Times New Roman"/>
          <w:b/>
          <w:color w:val="000000"/>
          <w:kern w:val="0"/>
          <w:sz w:val="24"/>
          <w:szCs w:val="24"/>
          <w:lang w:val="uk-UA"/>
          <w14:ligatures w14:val="none"/>
        </w:rPr>
      </w:pPr>
    </w:p>
    <w:p w14:paraId="2482BABF" w14:textId="77777777" w:rsidR="00D179CD" w:rsidRDefault="00D179CD" w:rsidP="00023291">
      <w:pPr>
        <w:tabs>
          <w:tab w:val="left" w:pos="9638"/>
        </w:tabs>
        <w:spacing w:after="0" w:line="240" w:lineRule="auto"/>
        <w:ind w:firstLine="709"/>
        <w:rPr>
          <w:rFonts w:ascii="Times New Roman" w:eastAsia="Times New Roman" w:hAnsi="Times New Roman" w:cs="Times New Roman"/>
          <w:b/>
          <w:color w:val="000000"/>
          <w:kern w:val="0"/>
          <w:sz w:val="24"/>
          <w:szCs w:val="24"/>
          <w:lang w:val="uk-UA"/>
          <w14:ligatures w14:val="none"/>
        </w:rPr>
      </w:pPr>
    </w:p>
    <w:p w14:paraId="13EA6F11" w14:textId="77777777" w:rsidR="00D179CD" w:rsidRDefault="00D179CD" w:rsidP="00023291">
      <w:pPr>
        <w:tabs>
          <w:tab w:val="left" w:pos="9638"/>
        </w:tabs>
        <w:spacing w:after="0" w:line="240" w:lineRule="auto"/>
        <w:ind w:firstLine="709"/>
        <w:rPr>
          <w:rFonts w:ascii="Times New Roman" w:eastAsia="Times New Roman" w:hAnsi="Times New Roman" w:cs="Times New Roman"/>
          <w:b/>
          <w:color w:val="000000"/>
          <w:kern w:val="0"/>
          <w:sz w:val="24"/>
          <w:szCs w:val="24"/>
          <w:lang w:val="uk-UA"/>
          <w14:ligatures w14:val="none"/>
        </w:rPr>
      </w:pPr>
    </w:p>
    <w:p w14:paraId="3B5B7ED9" w14:textId="77777777" w:rsidR="00D179CD" w:rsidRDefault="00D179CD" w:rsidP="00023291">
      <w:pPr>
        <w:tabs>
          <w:tab w:val="left" w:pos="9638"/>
        </w:tabs>
        <w:spacing w:after="0" w:line="240" w:lineRule="auto"/>
        <w:ind w:firstLine="709"/>
        <w:rPr>
          <w:rFonts w:ascii="Times New Roman" w:eastAsia="Times New Roman" w:hAnsi="Times New Roman" w:cs="Times New Roman"/>
          <w:b/>
          <w:color w:val="000000"/>
          <w:kern w:val="0"/>
          <w:sz w:val="24"/>
          <w:szCs w:val="24"/>
          <w:lang w:val="uk-UA"/>
          <w14:ligatures w14:val="none"/>
        </w:rPr>
      </w:pPr>
    </w:p>
    <w:p w14:paraId="5FF30656" w14:textId="77777777" w:rsidR="00D179CD" w:rsidRDefault="00D179CD" w:rsidP="00023291">
      <w:pPr>
        <w:tabs>
          <w:tab w:val="left" w:pos="9638"/>
        </w:tabs>
        <w:spacing w:after="0" w:line="240" w:lineRule="auto"/>
        <w:ind w:firstLine="709"/>
        <w:rPr>
          <w:rFonts w:ascii="Times New Roman" w:eastAsia="Times New Roman" w:hAnsi="Times New Roman" w:cs="Times New Roman"/>
          <w:b/>
          <w:color w:val="000000"/>
          <w:kern w:val="0"/>
          <w:sz w:val="24"/>
          <w:szCs w:val="24"/>
          <w:lang w:val="uk-UA"/>
          <w14:ligatures w14:val="none"/>
        </w:rPr>
      </w:pPr>
    </w:p>
    <w:p w14:paraId="01986C17" w14:textId="77777777" w:rsidR="00D179CD" w:rsidRDefault="00D179CD" w:rsidP="00023291">
      <w:pPr>
        <w:tabs>
          <w:tab w:val="left" w:pos="9638"/>
        </w:tabs>
        <w:spacing w:after="0" w:line="240" w:lineRule="auto"/>
        <w:ind w:firstLine="709"/>
        <w:rPr>
          <w:rFonts w:ascii="Times New Roman" w:eastAsia="Times New Roman" w:hAnsi="Times New Roman" w:cs="Times New Roman"/>
          <w:b/>
          <w:color w:val="000000"/>
          <w:kern w:val="0"/>
          <w:sz w:val="24"/>
          <w:szCs w:val="24"/>
          <w:lang w:val="uk-UA"/>
          <w14:ligatures w14:val="none"/>
        </w:rPr>
      </w:pPr>
    </w:p>
    <w:p w14:paraId="2F13FB08" w14:textId="77777777" w:rsidR="00D179CD" w:rsidRDefault="00D179CD" w:rsidP="00023291">
      <w:pPr>
        <w:tabs>
          <w:tab w:val="left" w:pos="9638"/>
        </w:tabs>
        <w:spacing w:after="0" w:line="240" w:lineRule="auto"/>
        <w:ind w:firstLine="709"/>
        <w:rPr>
          <w:rFonts w:ascii="Times New Roman" w:eastAsia="Times New Roman" w:hAnsi="Times New Roman" w:cs="Times New Roman"/>
          <w:b/>
          <w:color w:val="000000"/>
          <w:kern w:val="0"/>
          <w:sz w:val="24"/>
          <w:szCs w:val="24"/>
          <w:lang w:val="uk-UA"/>
          <w14:ligatures w14:val="none"/>
        </w:rPr>
      </w:pPr>
    </w:p>
    <w:p w14:paraId="7F337544" w14:textId="77777777" w:rsidR="00D179CD" w:rsidRPr="00DD4367" w:rsidRDefault="00D179CD" w:rsidP="00023291">
      <w:pPr>
        <w:tabs>
          <w:tab w:val="left" w:pos="9638"/>
        </w:tabs>
        <w:spacing w:after="0" w:line="240" w:lineRule="auto"/>
        <w:ind w:firstLine="709"/>
        <w:rPr>
          <w:rFonts w:ascii="Times New Roman" w:eastAsia="Times New Roman" w:hAnsi="Times New Roman" w:cs="Times New Roman"/>
          <w:bCs/>
          <w:color w:val="000000"/>
          <w:kern w:val="0"/>
          <w:sz w:val="24"/>
          <w:szCs w:val="24"/>
          <w:lang w:val="uk-UA"/>
          <w14:ligatures w14:val="none"/>
        </w:rPr>
      </w:pPr>
    </w:p>
    <w:p w14:paraId="093F3D28" w14:textId="77777777" w:rsidR="00D179CD" w:rsidRDefault="00D179CD" w:rsidP="00023291">
      <w:pPr>
        <w:tabs>
          <w:tab w:val="left" w:pos="9638"/>
        </w:tabs>
        <w:spacing w:after="0" w:line="240" w:lineRule="auto"/>
        <w:ind w:firstLine="709"/>
        <w:rPr>
          <w:rFonts w:ascii="Times New Roman" w:eastAsia="Times New Roman" w:hAnsi="Times New Roman" w:cs="Times New Roman"/>
          <w:b/>
          <w:color w:val="000000"/>
          <w:kern w:val="0"/>
          <w:sz w:val="24"/>
          <w:szCs w:val="24"/>
          <w:lang w:val="uk-UA"/>
          <w14:ligatures w14:val="none"/>
        </w:rPr>
      </w:pPr>
    </w:p>
    <w:p w14:paraId="2C35F5EF" w14:textId="77777777" w:rsidR="00D179CD" w:rsidRDefault="00D179CD" w:rsidP="00023291">
      <w:pPr>
        <w:tabs>
          <w:tab w:val="left" w:pos="9638"/>
        </w:tabs>
        <w:spacing w:after="0" w:line="240" w:lineRule="auto"/>
        <w:ind w:firstLine="709"/>
        <w:rPr>
          <w:rFonts w:ascii="Times New Roman" w:eastAsia="Times New Roman" w:hAnsi="Times New Roman" w:cs="Times New Roman"/>
          <w:b/>
          <w:color w:val="000000"/>
          <w:kern w:val="0"/>
          <w:sz w:val="24"/>
          <w:szCs w:val="24"/>
          <w:lang w:val="uk-UA"/>
          <w14:ligatures w14:val="none"/>
        </w:rPr>
      </w:pPr>
    </w:p>
    <w:p w14:paraId="5E8F71A5"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4007A2BB"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7FFAA6F6"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4DE43310"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4687C4DA"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6197C971"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1717E39F"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0A841000"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07667D2F"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01DD3BDC"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1F4E1AD9"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1268CBF5"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5965274E"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18A1C91C"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11ACEE9F"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324B0D20"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0443436B"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237E1B97"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37F540C7"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56C2F2BA"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0FE69AA5"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1CC773F3"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2AB7FA1C"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6F02CCED"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597C883F"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1983C529"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6F2F7B6D" w14:textId="77777777" w:rsidR="00F06025"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p>
    <w:p w14:paraId="4928650B" w14:textId="41938AD2" w:rsidR="00F06025" w:rsidRPr="006F5634" w:rsidRDefault="00F06025" w:rsidP="00023291">
      <w:pPr>
        <w:tabs>
          <w:tab w:val="left" w:pos="9638"/>
        </w:tabs>
        <w:spacing w:after="0" w:line="240" w:lineRule="auto"/>
        <w:rPr>
          <w:rFonts w:ascii="Times New Roman" w:eastAsia="Times New Roman" w:hAnsi="Times New Roman" w:cs="Times New Roman"/>
          <w:b/>
          <w:color w:val="000000"/>
          <w:kern w:val="0"/>
          <w:sz w:val="24"/>
          <w:szCs w:val="24"/>
          <w:lang w:val="uk-UA"/>
          <w14:ligatures w14:val="none"/>
        </w:rPr>
      </w:pPr>
      <w:r w:rsidRPr="00B44B71">
        <w:rPr>
          <w:rFonts w:ascii="Times New Roman" w:eastAsia="Times New Roman" w:hAnsi="Times New Roman" w:cs="Times New Roman"/>
          <w:kern w:val="0"/>
          <w:sz w:val="23"/>
          <w:szCs w:val="23"/>
          <w:lang w:val="uk-UA" w:eastAsia="ru-RU"/>
          <w14:ligatures w14:val="none"/>
        </w:rPr>
        <w:t>ISSN: 2617-1775</w:t>
      </w:r>
      <w:r w:rsidRPr="00E4040F">
        <w:rPr>
          <w:rFonts w:ascii="Times New Roman" w:eastAsia="Calibri" w:hAnsi="Times New Roman" w:cs="Times New Roman"/>
          <w:b/>
          <w:kern w:val="0"/>
          <w:sz w:val="24"/>
          <w:szCs w:val="24"/>
          <w:lang w:val="uk-UA"/>
          <w14:ligatures w14:val="none"/>
        </w:rPr>
        <w:t xml:space="preserve"> </w:t>
      </w:r>
      <w:r w:rsidRPr="006F5634">
        <w:rPr>
          <w:rFonts w:ascii="Times New Roman" w:eastAsia="Calibri" w:hAnsi="Times New Roman" w:cs="Times New Roman"/>
          <w:b/>
          <w:kern w:val="0"/>
          <w:sz w:val="24"/>
          <w:szCs w:val="24"/>
          <w:lang w:val="uk-UA"/>
          <w14:ligatures w14:val="none"/>
        </w:rPr>
        <w:t xml:space="preserve">                                                                               </w:t>
      </w:r>
      <w:r w:rsidRPr="00F06025">
        <w:rPr>
          <w:rFonts w:ascii="Times New Roman" w:eastAsia="Times New Roman" w:hAnsi="Times New Roman" w:cs="Times New Roman"/>
          <w:b/>
          <w:color w:val="000000"/>
          <w:kern w:val="0"/>
          <w:sz w:val="24"/>
          <w:szCs w:val="24"/>
          <w:lang w:val="uk-UA"/>
          <w14:ligatures w14:val="none"/>
        </w:rPr>
        <w:t xml:space="preserve"> </w:t>
      </w:r>
      <w:r w:rsidRPr="00B44B71">
        <w:rPr>
          <w:rFonts w:ascii="Times New Roman" w:eastAsia="Times New Roman" w:hAnsi="Times New Roman" w:cs="Times New Roman"/>
          <w:b/>
          <w:color w:val="000000"/>
          <w:kern w:val="0"/>
          <w:sz w:val="24"/>
          <w:szCs w:val="24"/>
          <w:lang w:val="uk-UA"/>
          <w14:ligatures w14:val="none"/>
        </w:rPr>
        <w:t>УДК 378</w:t>
      </w:r>
      <w:r w:rsidRPr="006F5634">
        <w:rPr>
          <w:rFonts w:ascii="Times New Roman" w:eastAsia="Times New Roman" w:hAnsi="Times New Roman" w:cs="Times New Roman"/>
          <w:b/>
          <w:color w:val="000000"/>
          <w:kern w:val="0"/>
          <w:sz w:val="24"/>
          <w:szCs w:val="24"/>
          <w:lang w:val="uk-UA"/>
          <w14:ligatures w14:val="none"/>
        </w:rPr>
        <w:t>:355.23:17.022.1(477)</w:t>
      </w:r>
    </w:p>
    <w:p w14:paraId="6CA096CD" w14:textId="29F620AC" w:rsidR="00F06025" w:rsidRPr="006F5634" w:rsidRDefault="00F06025" w:rsidP="00023291">
      <w:pPr>
        <w:tabs>
          <w:tab w:val="left" w:pos="9638"/>
        </w:tabs>
        <w:spacing w:after="0" w:line="240" w:lineRule="auto"/>
        <w:rPr>
          <w:rFonts w:ascii="Times New Roman" w:eastAsia="Calibri" w:hAnsi="Times New Roman" w:cs="Times New Roman"/>
          <w:b/>
          <w:kern w:val="0"/>
          <w:sz w:val="24"/>
          <w:szCs w:val="24"/>
          <w:lang w:val="uk-UA"/>
          <w14:ligatures w14:val="none"/>
        </w:rPr>
      </w:pPr>
      <w:r w:rsidRPr="00B44B71">
        <w:rPr>
          <w:rFonts w:ascii="Times New Roman" w:eastAsia="Times New Roman" w:hAnsi="Times New Roman" w:cs="Times New Roman"/>
          <w:kern w:val="0"/>
          <w:sz w:val="23"/>
          <w:szCs w:val="23"/>
          <w:lang w:val="uk-UA" w:eastAsia="ru-RU"/>
          <w14:ligatures w14:val="none"/>
        </w:rPr>
        <w:t>SN: 2617-1783 (online)</w:t>
      </w:r>
      <w:r w:rsidRPr="006F5634">
        <w:rPr>
          <w:rFonts w:ascii="Times New Roman" w:eastAsia="Times New Roman" w:hAnsi="Times New Roman" w:cs="Times New Roman"/>
          <w:kern w:val="0"/>
          <w:sz w:val="23"/>
          <w:szCs w:val="23"/>
          <w:lang w:val="uk-UA" w:eastAsia="ru-RU"/>
          <w14:ligatures w14:val="none"/>
        </w:rPr>
        <w:t xml:space="preserve">                                                         </w:t>
      </w:r>
      <w:r w:rsidR="00815545">
        <w:rPr>
          <w:rFonts w:ascii="Times New Roman" w:eastAsia="Times New Roman" w:hAnsi="Times New Roman" w:cs="Times New Roman"/>
          <w:kern w:val="0"/>
          <w:sz w:val="23"/>
          <w:szCs w:val="23"/>
          <w:lang w:val="uk-UA" w:eastAsia="ru-RU"/>
          <w14:ligatures w14:val="none"/>
        </w:rPr>
        <w:t xml:space="preserve">  </w:t>
      </w:r>
      <w:r w:rsidRPr="004E1190">
        <w:rPr>
          <w:rFonts w:ascii="Times New Roman" w:eastAsia="Times New Roman" w:hAnsi="Times New Roman" w:cs="Times New Roman"/>
          <w:bCs/>
          <w:smallCaps/>
          <w:color w:val="000000"/>
          <w:kern w:val="0"/>
          <w:sz w:val="24"/>
          <w:szCs w:val="24"/>
          <w:lang w:eastAsia="ru-RU"/>
          <w14:ligatures w14:val="none"/>
        </w:rPr>
        <w:t>DOI</w:t>
      </w:r>
      <w:r w:rsidRPr="004E1190">
        <w:rPr>
          <w:rFonts w:ascii="Times New Roman" w:eastAsia="Times New Roman" w:hAnsi="Times New Roman" w:cs="Times New Roman"/>
          <w:bCs/>
          <w:smallCaps/>
          <w:color w:val="000000"/>
          <w:kern w:val="0"/>
          <w:sz w:val="24"/>
          <w:szCs w:val="24"/>
          <w:lang w:val="uk-UA" w:eastAsia="ru-RU"/>
          <w14:ligatures w14:val="none"/>
        </w:rPr>
        <w:t>:10.33099/2617-1775/2026-01/</w:t>
      </w:r>
      <w:r w:rsidR="00172A23">
        <w:rPr>
          <w:rFonts w:ascii="Times New Roman" w:eastAsia="Times New Roman" w:hAnsi="Times New Roman" w:cs="Times New Roman"/>
          <w:bCs/>
          <w:smallCaps/>
          <w:color w:val="000000"/>
          <w:kern w:val="0"/>
          <w:sz w:val="24"/>
          <w:szCs w:val="24"/>
          <w:lang w:val="uk-UA" w:eastAsia="ru-RU"/>
          <w14:ligatures w14:val="none"/>
        </w:rPr>
        <w:t>57-76</w:t>
      </w:r>
    </w:p>
    <w:p w14:paraId="67C632ED" w14:textId="77777777" w:rsidR="00F06025" w:rsidRPr="00B44B71" w:rsidRDefault="00F06025" w:rsidP="00023291">
      <w:pPr>
        <w:tabs>
          <w:tab w:val="left" w:pos="9638"/>
        </w:tabs>
        <w:spacing w:after="0" w:line="240" w:lineRule="auto"/>
        <w:jc w:val="both"/>
        <w:rPr>
          <w:rFonts w:ascii="Times New Roman" w:eastAsia="Calibri" w:hAnsi="Times New Roman" w:cs="Times New Roman"/>
          <w:b/>
          <w:kern w:val="0"/>
          <w:sz w:val="28"/>
          <w:szCs w:val="28"/>
          <w:lang w:val="uk-UA"/>
          <w14:ligatures w14:val="none"/>
        </w:rPr>
      </w:pPr>
    </w:p>
    <w:p w14:paraId="1D97A543" w14:textId="725662F9"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b/>
          <w:bCs/>
          <w:kern w:val="0"/>
          <w:sz w:val="24"/>
          <w:szCs w:val="24"/>
          <w:lang w:val="uk-UA"/>
          <w14:ligatures w14:val="none"/>
        </w:rPr>
      </w:pPr>
      <w:r w:rsidRPr="00B44B71">
        <w:rPr>
          <w:rFonts w:ascii="Times New Roman" w:eastAsia="Times New Roman" w:hAnsi="Times New Roman" w:cs="Times New Roman"/>
          <w:b/>
          <w:bCs/>
          <w:kern w:val="0"/>
          <w:sz w:val="24"/>
          <w:szCs w:val="24"/>
          <w:lang w:val="uk-UA"/>
          <w14:ligatures w14:val="none"/>
        </w:rPr>
        <w:t>Андрій Вітченко,</w:t>
      </w:r>
    </w:p>
    <w:p w14:paraId="5DABCC09"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 xml:space="preserve">доктор педагогічних наук, професор, </w:t>
      </w:r>
    </w:p>
    <w:p w14:paraId="22BF672A"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 xml:space="preserve">Національний університет оборони України, м. Київ, Україна </w:t>
      </w:r>
    </w:p>
    <w:p w14:paraId="23E56D55"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color w:val="0563C1"/>
          <w:kern w:val="0"/>
          <w:sz w:val="24"/>
          <w:szCs w:val="24"/>
          <w:u w:val="single"/>
          <w:lang w:val="uk-UA"/>
          <w14:ligatures w14:val="none"/>
        </w:rPr>
      </w:pPr>
      <w:hyperlink r:id="rId43" w:history="1">
        <w:r w:rsidRPr="00B44B71">
          <w:rPr>
            <w:rFonts w:ascii="Times New Roman" w:eastAsia="Times New Roman" w:hAnsi="Times New Roman" w:cs="Times New Roman"/>
            <w:color w:val="0563C1"/>
            <w:kern w:val="0"/>
            <w:sz w:val="24"/>
            <w:szCs w:val="24"/>
            <w:u w:val="single"/>
            <w:lang w:val="uk-UA"/>
            <w14:ligatures w14:val="none"/>
          </w:rPr>
          <w:t>https://orcid.org/0000-0002-1694-401X</w:t>
        </w:r>
      </w:hyperlink>
    </w:p>
    <w:p w14:paraId="5C868793" w14:textId="01CA7C91" w:rsidR="00446297" w:rsidRPr="00F96118" w:rsidRDefault="00446297" w:rsidP="00023291">
      <w:pPr>
        <w:tabs>
          <w:tab w:val="left" w:pos="9638"/>
        </w:tabs>
        <w:spacing w:after="0" w:line="240" w:lineRule="auto"/>
        <w:jc w:val="right"/>
        <w:rPr>
          <w:rFonts w:ascii="Times New Roman" w:eastAsia="Calibri" w:hAnsi="Times New Roman" w:cs="Times New Roman"/>
          <w:kern w:val="0"/>
          <w:sz w:val="28"/>
          <w:szCs w:val="28"/>
          <w:lang w:val="uk-UA"/>
          <w14:ligatures w14:val="none"/>
        </w:rPr>
      </w:pPr>
      <w:r w:rsidRPr="006F5634">
        <w:rPr>
          <w:rFonts w:ascii="Times New Roman" w:eastAsia="Times New Roman" w:hAnsi="Times New Roman" w:cs="Times New Roman"/>
          <w:bCs/>
          <w:smallCaps/>
          <w:color w:val="000000"/>
          <w:kern w:val="0"/>
          <w:sz w:val="24"/>
          <w:szCs w:val="24"/>
          <w:lang w:val="ru-RU" w:eastAsia="ru-RU"/>
          <w14:ligatures w14:val="none"/>
        </w:rPr>
        <w:t xml:space="preserve"> </w:t>
      </w:r>
    </w:p>
    <w:p w14:paraId="58863601"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b/>
          <w:bCs/>
          <w:kern w:val="0"/>
          <w:sz w:val="24"/>
          <w:szCs w:val="24"/>
          <w:lang w:val="uk-UA"/>
          <w14:ligatures w14:val="none"/>
        </w:rPr>
      </w:pPr>
      <w:r w:rsidRPr="00B44B71">
        <w:rPr>
          <w:rFonts w:ascii="Times New Roman" w:eastAsia="Times New Roman" w:hAnsi="Times New Roman" w:cs="Times New Roman"/>
          <w:b/>
          <w:bCs/>
          <w:kern w:val="0"/>
          <w:sz w:val="24"/>
          <w:szCs w:val="24"/>
          <w:lang w:val="uk-UA"/>
          <w14:ligatures w14:val="none"/>
        </w:rPr>
        <w:t>АКАДЕМІЧНА ДОБРОЧЕСНІСТЬ У ВИЩІЙ ВІЙСЬКОВІЙ ШКОЛІ – РОЗВИВАТИ ЧИ ВИХОВУВАТИ?</w:t>
      </w:r>
    </w:p>
    <w:p w14:paraId="2FD2A6E5" w14:textId="77777777" w:rsidR="00B44B71" w:rsidRPr="00B44B71" w:rsidRDefault="00B44B71" w:rsidP="00023291">
      <w:pPr>
        <w:widowControl w:val="0"/>
        <w:shd w:val="clear" w:color="auto" w:fill="FFFFFF"/>
        <w:tabs>
          <w:tab w:val="left" w:pos="9638"/>
        </w:tabs>
        <w:suppressAutoHyphens/>
        <w:spacing w:after="0" w:line="240" w:lineRule="auto"/>
        <w:ind w:firstLine="709"/>
        <w:jc w:val="both"/>
        <w:textAlignment w:val="baseline"/>
        <w:rPr>
          <w:rFonts w:ascii="Times New Roman" w:eastAsia="Times New Roman" w:hAnsi="Times New Roman" w:cs="Times New Roman"/>
          <w:i/>
          <w:iCs/>
          <w:color w:val="000000"/>
          <w:kern w:val="0"/>
          <w:sz w:val="24"/>
          <w:szCs w:val="24"/>
          <w:lang w:val="uk-UA" w:eastAsia="ru-RU"/>
          <w14:ligatures w14:val="none"/>
        </w:rPr>
      </w:pPr>
    </w:p>
    <w:p w14:paraId="3F597390" w14:textId="77777777" w:rsidR="00B44B71" w:rsidRPr="00B44B71" w:rsidRDefault="00B44B71" w:rsidP="00023291">
      <w:pPr>
        <w:widowControl w:val="0"/>
        <w:shd w:val="clear" w:color="auto" w:fill="FFFFFF"/>
        <w:tabs>
          <w:tab w:val="left" w:pos="9638"/>
        </w:tabs>
        <w:suppressAutoHyphens/>
        <w:spacing w:after="0" w:line="240" w:lineRule="auto"/>
        <w:ind w:firstLine="709"/>
        <w:jc w:val="both"/>
        <w:textAlignment w:val="baseline"/>
        <w:rPr>
          <w:rFonts w:ascii="Times New Roman" w:eastAsia="Times New Roman" w:hAnsi="Times New Roman" w:cs="Times New Roman"/>
          <w:i/>
          <w:iCs/>
          <w:color w:val="000000"/>
          <w:kern w:val="0"/>
          <w:sz w:val="24"/>
          <w:szCs w:val="24"/>
          <w:lang w:val="uk-UA" w:eastAsia="ru-RU"/>
          <w14:ligatures w14:val="none"/>
        </w:rPr>
      </w:pPr>
      <w:r w:rsidRPr="00B44B71">
        <w:rPr>
          <w:rFonts w:ascii="Times New Roman" w:eastAsia="Times New Roman" w:hAnsi="Times New Roman" w:cs="Times New Roman"/>
          <w:b/>
          <w:i/>
          <w:iCs/>
          <w:color w:val="000000"/>
          <w:kern w:val="0"/>
          <w:sz w:val="24"/>
          <w:szCs w:val="24"/>
          <w:lang w:val="uk-UA" w:eastAsia="ru-RU"/>
          <w14:ligatures w14:val="none"/>
        </w:rPr>
        <w:t>Анотація</w:t>
      </w:r>
      <w:r w:rsidRPr="00B44B71">
        <w:rPr>
          <w:rFonts w:ascii="Times New Roman" w:eastAsia="Times New Roman" w:hAnsi="Times New Roman" w:cs="Times New Roman"/>
          <w:i/>
          <w:iCs/>
          <w:color w:val="000000"/>
          <w:kern w:val="0"/>
          <w:sz w:val="24"/>
          <w:szCs w:val="24"/>
          <w:lang w:val="uk-UA" w:eastAsia="ru-RU"/>
          <w14:ligatures w14:val="none"/>
        </w:rPr>
        <w:t>. Статтю присвячено актуальній проблемі виховання культури академічної доброчесності курсантів (слухачів) військових вишів, що зумовлена необхідністю утвердження в українському суспільстві, Збройних Силах України загальноєвропейських ідеалів та цінностей, посилення впливу аксіологічних чинників на функціонування вищої військової школи.</w:t>
      </w:r>
    </w:p>
    <w:p w14:paraId="65B32304" w14:textId="77777777" w:rsidR="00B44B71" w:rsidRPr="00B44B71" w:rsidRDefault="00B44B71" w:rsidP="00023291">
      <w:pPr>
        <w:widowControl w:val="0"/>
        <w:shd w:val="clear" w:color="auto" w:fill="FFFFFF"/>
        <w:tabs>
          <w:tab w:val="left" w:pos="9638"/>
        </w:tabs>
        <w:suppressAutoHyphens/>
        <w:spacing w:after="0" w:line="240" w:lineRule="auto"/>
        <w:ind w:firstLine="709"/>
        <w:jc w:val="both"/>
        <w:textAlignment w:val="baseline"/>
        <w:rPr>
          <w:rFonts w:ascii="Times New Roman" w:eastAsia="Times New Roman" w:hAnsi="Times New Roman" w:cs="Times New Roman"/>
          <w:i/>
          <w:iCs/>
          <w:color w:val="000000"/>
          <w:kern w:val="0"/>
          <w:sz w:val="24"/>
          <w:szCs w:val="24"/>
          <w:lang w:val="uk-UA" w:eastAsia="ru-RU"/>
          <w14:ligatures w14:val="none"/>
        </w:rPr>
      </w:pPr>
      <w:r w:rsidRPr="00B44B71">
        <w:rPr>
          <w:rFonts w:ascii="Times New Roman" w:eastAsia="Times New Roman" w:hAnsi="Times New Roman" w:cs="Times New Roman"/>
          <w:i/>
          <w:iCs/>
          <w:color w:val="000000"/>
          <w:kern w:val="0"/>
          <w:sz w:val="24"/>
          <w:szCs w:val="24"/>
          <w:lang w:val="uk-UA" w:eastAsia="ru-RU"/>
          <w14:ligatures w14:val="none"/>
        </w:rPr>
        <w:t>Мета статті полягає у з’ясуванні сутності культури академічної доброчесності, розкритті шляхів і підходів до її виховання у курсантів (слухачів) вищого військового навчального закладу.</w:t>
      </w:r>
    </w:p>
    <w:p w14:paraId="24534A24" w14:textId="77777777" w:rsidR="00B44B71" w:rsidRPr="00B44B71" w:rsidRDefault="00B44B71" w:rsidP="00023291">
      <w:pPr>
        <w:widowControl w:val="0"/>
        <w:shd w:val="clear" w:color="auto" w:fill="FFFFFF"/>
        <w:tabs>
          <w:tab w:val="left" w:pos="9638"/>
        </w:tabs>
        <w:suppressAutoHyphens/>
        <w:spacing w:after="0" w:line="240" w:lineRule="auto"/>
        <w:ind w:firstLine="709"/>
        <w:jc w:val="both"/>
        <w:textAlignment w:val="baseline"/>
        <w:rPr>
          <w:rFonts w:ascii="Times New Roman" w:eastAsia="Times New Roman" w:hAnsi="Times New Roman" w:cs="Times New Roman"/>
          <w:i/>
          <w:iCs/>
          <w:color w:val="000000"/>
          <w:kern w:val="0"/>
          <w:sz w:val="24"/>
          <w:szCs w:val="24"/>
          <w:lang w:val="uk-UA" w:eastAsia="ru-RU"/>
          <w14:ligatures w14:val="none"/>
        </w:rPr>
      </w:pPr>
      <w:r w:rsidRPr="00B44B71">
        <w:rPr>
          <w:rFonts w:ascii="Times New Roman" w:eastAsia="Times New Roman" w:hAnsi="Times New Roman" w:cs="Times New Roman"/>
          <w:i/>
          <w:iCs/>
          <w:color w:val="000000"/>
          <w:kern w:val="0"/>
          <w:sz w:val="24"/>
          <w:szCs w:val="24"/>
          <w:lang w:val="uk-UA" w:eastAsia="ru-RU"/>
          <w14:ligatures w14:val="none"/>
        </w:rPr>
        <w:t>Використано систему дослідницьких методів, що складається з аналізу, індукції та дедукції, порівняння, узагальнення, моделювання, прогнозування.</w:t>
      </w:r>
    </w:p>
    <w:p w14:paraId="2A4FF9F5" w14:textId="77777777" w:rsidR="00B44B71" w:rsidRPr="00B44B71" w:rsidRDefault="00B44B71" w:rsidP="00023291">
      <w:pPr>
        <w:widowControl w:val="0"/>
        <w:shd w:val="clear" w:color="auto" w:fill="FFFFFF"/>
        <w:tabs>
          <w:tab w:val="left" w:pos="9638"/>
        </w:tabs>
        <w:suppressAutoHyphens/>
        <w:spacing w:after="0" w:line="240" w:lineRule="auto"/>
        <w:ind w:firstLine="709"/>
        <w:jc w:val="both"/>
        <w:textAlignment w:val="baseline"/>
        <w:rPr>
          <w:rFonts w:ascii="Times New Roman" w:eastAsia="Times New Roman" w:hAnsi="Times New Roman" w:cs="Times New Roman"/>
          <w:i/>
          <w:iCs/>
          <w:color w:val="000000"/>
          <w:kern w:val="0"/>
          <w:sz w:val="24"/>
          <w:szCs w:val="24"/>
          <w:lang w:val="uk-UA" w:eastAsia="ru-RU"/>
          <w14:ligatures w14:val="none"/>
        </w:rPr>
      </w:pPr>
      <w:r w:rsidRPr="00B44B71">
        <w:rPr>
          <w:rFonts w:ascii="Times New Roman" w:eastAsia="Times New Roman" w:hAnsi="Times New Roman" w:cs="Times New Roman"/>
          <w:i/>
          <w:iCs/>
          <w:color w:val="000000"/>
          <w:kern w:val="0"/>
          <w:sz w:val="24"/>
          <w:szCs w:val="24"/>
          <w:lang w:val="uk-UA" w:eastAsia="ru-RU"/>
          <w14:ligatures w14:val="none"/>
        </w:rPr>
        <w:t xml:space="preserve">Проаналізовано сучасні наукові погляди на сутність академічної доброчесності та підходи до її набуття у системі сучасної університетської освіти. Встановлено суттєві розходження у розумінні ключового поняття, поширеність формалізованого ставлення до виховання академічної доброчесності як процесу засвоєння певної сукупності цінностей, принципів і заснованих на них правил, досягнення етапних результатів навчання (знань, умінь, навичок). </w:t>
      </w:r>
    </w:p>
    <w:p w14:paraId="5934EC4B" w14:textId="77777777" w:rsidR="00B44B71" w:rsidRPr="00B44B71" w:rsidRDefault="00B44B71" w:rsidP="00023291">
      <w:pPr>
        <w:widowControl w:val="0"/>
        <w:shd w:val="clear" w:color="auto" w:fill="FFFFFF"/>
        <w:tabs>
          <w:tab w:val="left" w:pos="9638"/>
        </w:tabs>
        <w:suppressAutoHyphens/>
        <w:spacing w:after="0" w:line="240" w:lineRule="auto"/>
        <w:ind w:firstLine="709"/>
        <w:jc w:val="both"/>
        <w:textAlignment w:val="baseline"/>
        <w:rPr>
          <w:rFonts w:ascii="Times New Roman" w:eastAsia="Times New Roman" w:hAnsi="Times New Roman" w:cs="Times New Roman"/>
          <w:i/>
          <w:iCs/>
          <w:color w:val="000000"/>
          <w:kern w:val="0"/>
          <w:sz w:val="24"/>
          <w:szCs w:val="24"/>
          <w:lang w:val="uk-UA" w:eastAsia="ru-RU"/>
          <w14:ligatures w14:val="none"/>
        </w:rPr>
      </w:pPr>
      <w:r w:rsidRPr="00B44B71">
        <w:rPr>
          <w:rFonts w:ascii="Times New Roman" w:eastAsia="Times New Roman" w:hAnsi="Times New Roman" w:cs="Times New Roman"/>
          <w:i/>
          <w:iCs/>
          <w:color w:val="000000"/>
          <w:kern w:val="0"/>
          <w:sz w:val="24"/>
          <w:szCs w:val="24"/>
          <w:lang w:val="uk-UA" w:eastAsia="ru-RU"/>
          <w14:ligatures w14:val="none"/>
        </w:rPr>
        <w:t>З метою подолання виявлених недоліків запропоновано оновлене визначення академічної доброчесності, обґрунтовано необхідність виховання культури академічної доброчесності як діяльнісно-аксіологічної якості та поведінкової характеристики здобувачів вищої освіти, що виявляється у їхньому ставленні до виконання навчальних і дослідницьких завдань, особливостях поведінки в академічному середовищі. Доведено, що набуття цієї культури має ґрунтуватися на морально-етичному підході, охоплювати такі особистісні новоутворення, як духовні ідеали, морально-етичні переконання, академічні та військово-професійні цінності, добропорядне ставлення, доброчесні освітньо-наукові дії та вчинки.</w:t>
      </w:r>
    </w:p>
    <w:p w14:paraId="5E59CD3D" w14:textId="77777777" w:rsidR="00B44B71" w:rsidRPr="00B44B71" w:rsidRDefault="00B44B71" w:rsidP="00023291">
      <w:pPr>
        <w:widowControl w:val="0"/>
        <w:shd w:val="clear" w:color="auto" w:fill="FFFFFF"/>
        <w:tabs>
          <w:tab w:val="left" w:pos="9638"/>
        </w:tabs>
        <w:suppressAutoHyphens/>
        <w:spacing w:after="0" w:line="240" w:lineRule="auto"/>
        <w:ind w:firstLine="709"/>
        <w:jc w:val="both"/>
        <w:textAlignment w:val="baseline"/>
        <w:rPr>
          <w:rFonts w:ascii="Times New Roman" w:eastAsia="Times New Roman" w:hAnsi="Times New Roman" w:cs="Times New Roman"/>
          <w:i/>
          <w:iCs/>
          <w:color w:val="000000"/>
          <w:kern w:val="0"/>
          <w:sz w:val="24"/>
          <w:szCs w:val="24"/>
          <w:lang w:val="uk-UA" w:eastAsia="ru-RU"/>
          <w14:ligatures w14:val="none"/>
        </w:rPr>
      </w:pPr>
      <w:r w:rsidRPr="00B44B71">
        <w:rPr>
          <w:rFonts w:ascii="Times New Roman" w:eastAsia="Times New Roman" w:hAnsi="Times New Roman" w:cs="Times New Roman"/>
          <w:i/>
          <w:iCs/>
          <w:color w:val="000000"/>
          <w:kern w:val="0"/>
          <w:sz w:val="24"/>
          <w:szCs w:val="24"/>
          <w:lang w:val="uk-UA" w:eastAsia="ru-RU"/>
          <w14:ligatures w14:val="none"/>
        </w:rPr>
        <w:t>Розроблено теоретичну модель системи виховання культури академічної доброчесності курсантів (слухачів) вищого військового навчального закладу, схарактеризовано її основні структурні компоненти (етапи), виховні завдання та інструментарій, очікувані результати виховної роботи. Сформульовано психолого-педагогічні умови виховання культури академічної доброчесності курсантів (слухачів) вищого військового навчального закладу.</w:t>
      </w:r>
    </w:p>
    <w:p w14:paraId="36238EC1" w14:textId="77777777" w:rsidR="00B44B71" w:rsidRPr="00B44B71" w:rsidRDefault="00B44B71" w:rsidP="00023291">
      <w:pPr>
        <w:widowControl w:val="0"/>
        <w:shd w:val="clear" w:color="auto" w:fill="FFFFFF"/>
        <w:tabs>
          <w:tab w:val="left" w:pos="9638"/>
        </w:tabs>
        <w:suppressAutoHyphens/>
        <w:spacing w:after="0" w:line="240" w:lineRule="auto"/>
        <w:ind w:firstLine="709"/>
        <w:jc w:val="both"/>
        <w:textAlignment w:val="baseline"/>
        <w:rPr>
          <w:rFonts w:ascii="Times New Roman" w:eastAsia="Times New Roman" w:hAnsi="Times New Roman" w:cs="Times New Roman"/>
          <w:i/>
          <w:iCs/>
          <w:color w:val="000000"/>
          <w:kern w:val="0"/>
          <w:sz w:val="24"/>
          <w:szCs w:val="24"/>
          <w:lang w:val="uk-UA" w:eastAsia="ru-RU"/>
          <w14:ligatures w14:val="none"/>
        </w:rPr>
      </w:pPr>
      <w:r w:rsidRPr="00B44B71">
        <w:rPr>
          <w:rFonts w:ascii="Times New Roman" w:eastAsia="Times New Roman" w:hAnsi="Times New Roman" w:cs="Times New Roman"/>
          <w:b/>
          <w:i/>
          <w:iCs/>
          <w:color w:val="000000"/>
          <w:kern w:val="0"/>
          <w:sz w:val="24"/>
          <w:szCs w:val="24"/>
          <w:lang w:val="uk-UA" w:eastAsia="ru-RU"/>
          <w14:ligatures w14:val="none"/>
        </w:rPr>
        <w:t>Ключові слова:</w:t>
      </w:r>
      <w:r w:rsidRPr="00B44B71">
        <w:rPr>
          <w:rFonts w:ascii="Times New Roman" w:eastAsia="Times New Roman" w:hAnsi="Times New Roman" w:cs="Times New Roman"/>
          <w:i/>
          <w:iCs/>
          <w:color w:val="000000"/>
          <w:kern w:val="0"/>
          <w:sz w:val="24"/>
          <w:szCs w:val="24"/>
          <w:lang w:val="uk-UA" w:eastAsia="ru-RU"/>
          <w14:ligatures w14:val="none"/>
        </w:rPr>
        <w:t xml:space="preserve"> академічна доброчесність, академічні та військово-професійні цінності, виховання, культура академічної доброчесності, інституційна система забезпечення якості вищої освіти, курсанти, слухачі, вищий військовий навчальний заклад.</w:t>
      </w:r>
    </w:p>
    <w:p w14:paraId="0D2843AE" w14:textId="77777777" w:rsidR="00B44B71" w:rsidRPr="00B44B71" w:rsidRDefault="00B44B71" w:rsidP="00023291">
      <w:pPr>
        <w:widowControl w:val="0"/>
        <w:shd w:val="clear" w:color="auto" w:fill="FFFFFF"/>
        <w:tabs>
          <w:tab w:val="left" w:pos="9638"/>
        </w:tabs>
        <w:suppressAutoHyphens/>
        <w:spacing w:after="0" w:line="240" w:lineRule="auto"/>
        <w:ind w:firstLine="709"/>
        <w:jc w:val="both"/>
        <w:textAlignment w:val="baseline"/>
        <w:rPr>
          <w:rFonts w:ascii="Times New Roman" w:eastAsia="Times New Roman" w:hAnsi="Times New Roman" w:cs="Times New Roman"/>
          <w:i/>
          <w:iCs/>
          <w:color w:val="000000"/>
          <w:kern w:val="0"/>
          <w:sz w:val="24"/>
          <w:szCs w:val="24"/>
          <w:lang w:val="uk-UA" w:eastAsia="ru-RU"/>
          <w14:ligatures w14:val="none"/>
        </w:rPr>
      </w:pPr>
    </w:p>
    <w:p w14:paraId="5CB91B36"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b/>
          <w:bCs/>
          <w:kern w:val="0"/>
          <w:sz w:val="24"/>
          <w:szCs w:val="24"/>
          <w14:ligatures w14:val="none"/>
        </w:rPr>
      </w:pPr>
      <w:r w:rsidRPr="00B44B71">
        <w:rPr>
          <w:rFonts w:ascii="Times New Roman" w:eastAsia="Times New Roman" w:hAnsi="Times New Roman" w:cs="Times New Roman"/>
          <w:b/>
          <w:bCs/>
          <w:kern w:val="0"/>
          <w:sz w:val="24"/>
          <w:szCs w:val="24"/>
          <w14:ligatures w14:val="none"/>
        </w:rPr>
        <w:t>Andrii Vitchenko,</w:t>
      </w:r>
    </w:p>
    <w:p w14:paraId="4455DEE1"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en-GB"/>
          <w14:ligatures w14:val="none"/>
        </w:rPr>
        <w:t>Doctor of Pedagogical Sciences, Professor,</w:t>
      </w:r>
    </w:p>
    <w:p w14:paraId="2D5425AC"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4"/>
          <w:szCs w:val="24"/>
          <w:lang w:val="en-GB"/>
          <w14:ligatures w14:val="none"/>
        </w:rPr>
      </w:pPr>
      <w:r w:rsidRPr="00B44B71">
        <w:rPr>
          <w:rFonts w:ascii="Times New Roman" w:eastAsia="Times New Roman" w:hAnsi="Times New Roman" w:cs="Times New Roman"/>
          <w:kern w:val="0"/>
          <w:sz w:val="24"/>
          <w:szCs w:val="24"/>
          <w:lang w:val="en-GB"/>
          <w14:ligatures w14:val="none"/>
        </w:rPr>
        <w:t xml:space="preserve"> National Defence University of Ukraine</w:t>
      </w:r>
    </w:p>
    <w:p w14:paraId="1035F95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4"/>
          <w:szCs w:val="24"/>
          <w:shd w:val="clear" w:color="auto" w:fill="FFFFFF"/>
          <w14:ligatures w14:val="none"/>
        </w:rPr>
      </w:pPr>
    </w:p>
    <w:p w14:paraId="01AB9836" w14:textId="5EADFC02" w:rsidR="00B44B71" w:rsidRPr="00B44B71" w:rsidRDefault="00B834E0" w:rsidP="00023291">
      <w:pPr>
        <w:tabs>
          <w:tab w:val="left" w:pos="9638"/>
        </w:tabs>
        <w:spacing w:after="0" w:line="240" w:lineRule="auto"/>
        <w:ind w:firstLine="709"/>
        <w:jc w:val="center"/>
        <w:rPr>
          <w:rFonts w:ascii="Times New Roman" w:eastAsia="Times New Roman" w:hAnsi="Times New Roman" w:cs="Times New Roman"/>
          <w:b/>
          <w:bCs/>
          <w:color w:val="000000"/>
          <w:kern w:val="0"/>
          <w:sz w:val="24"/>
          <w:szCs w:val="24"/>
          <w:shd w:val="clear" w:color="auto" w:fill="FFFFFF"/>
          <w14:ligatures w14:val="none"/>
        </w:rPr>
      </w:pPr>
      <w:r w:rsidRPr="00B834E0">
        <w:rPr>
          <w:rFonts w:ascii="Times New Roman" w:eastAsia="Times New Roman" w:hAnsi="Times New Roman" w:cs="Times New Roman"/>
          <w:b/>
          <w:bCs/>
          <w:color w:val="000000"/>
          <w:kern w:val="0"/>
          <w:shd w:val="clear" w:color="auto" w:fill="FFFFFF"/>
          <w14:ligatures w14:val="none"/>
        </w:rPr>
        <w:lastRenderedPageBreak/>
        <w:t>A</w:t>
      </w:r>
      <w:r w:rsidRPr="00B44B71">
        <w:rPr>
          <w:rFonts w:ascii="Times New Roman" w:eastAsia="Times New Roman" w:hAnsi="Times New Roman" w:cs="Times New Roman"/>
          <w:b/>
          <w:bCs/>
          <w:color w:val="000000"/>
          <w:kern w:val="0"/>
          <w:sz w:val="24"/>
          <w:szCs w:val="24"/>
          <w:shd w:val="clear" w:color="auto" w:fill="FFFFFF"/>
          <w14:ligatures w14:val="none"/>
        </w:rPr>
        <w:t>cademic integrity in higher military education: to develop or to cultivate?</w:t>
      </w:r>
    </w:p>
    <w:p w14:paraId="2EFB110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4"/>
          <w:szCs w:val="24"/>
          <w:shd w:val="clear" w:color="auto" w:fill="FFFFFF"/>
          <w14:ligatures w14:val="none"/>
        </w:rPr>
      </w:pPr>
    </w:p>
    <w:p w14:paraId="70C9295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color w:val="000000"/>
          <w:kern w:val="0"/>
          <w:sz w:val="24"/>
          <w:szCs w:val="24"/>
          <w:shd w:val="clear" w:color="auto" w:fill="FFFFFF"/>
          <w14:ligatures w14:val="none"/>
        </w:rPr>
      </w:pPr>
      <w:r w:rsidRPr="00B44B71">
        <w:rPr>
          <w:rFonts w:ascii="Times New Roman" w:eastAsia="Times New Roman" w:hAnsi="Times New Roman" w:cs="Times New Roman"/>
          <w:b/>
          <w:i/>
          <w:color w:val="000000"/>
          <w:kern w:val="0"/>
          <w:sz w:val="24"/>
          <w:szCs w:val="24"/>
          <w:shd w:val="clear" w:color="auto" w:fill="FFFFFF"/>
          <w14:ligatures w14:val="none"/>
        </w:rPr>
        <w:t>Abstract</w:t>
      </w:r>
      <w:r w:rsidRPr="00B44B71">
        <w:rPr>
          <w:rFonts w:ascii="Times New Roman" w:eastAsia="Times New Roman" w:hAnsi="Times New Roman" w:cs="Times New Roman"/>
          <w:b/>
          <w:i/>
          <w:color w:val="000000"/>
          <w:kern w:val="0"/>
          <w:sz w:val="24"/>
          <w:szCs w:val="24"/>
          <w:shd w:val="clear" w:color="auto" w:fill="FFFFFF"/>
          <w:lang w:val="uk-UA"/>
          <w14:ligatures w14:val="none"/>
        </w:rPr>
        <w:t>.</w:t>
      </w:r>
      <w:r w:rsidRPr="00B44B71">
        <w:rPr>
          <w:rFonts w:ascii="Times New Roman" w:eastAsia="Times New Roman" w:hAnsi="Times New Roman" w:cs="Times New Roman"/>
          <w:i/>
          <w:color w:val="000000"/>
          <w:kern w:val="0"/>
          <w:sz w:val="24"/>
          <w:szCs w:val="24"/>
          <w:shd w:val="clear" w:color="auto" w:fill="FFFFFF"/>
          <w14:ligatures w14:val="none"/>
        </w:rPr>
        <w:t xml:space="preserve"> The article is devoted to the pressing issue of fostering a culture of academic integrity among cadets (students) of military higher education institutions, a matter necessitated by the imperative of affirming pan-European ideals and values within Ukrainian society and the Armed Forces of Ukraine, as well as by the increasing influence of axiological factors on the functioning of the higher military educational institution.</w:t>
      </w:r>
    </w:p>
    <w:p w14:paraId="7043B96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color w:val="000000"/>
          <w:kern w:val="0"/>
          <w:sz w:val="24"/>
          <w:szCs w:val="24"/>
          <w:shd w:val="clear" w:color="auto" w:fill="FFFFFF"/>
          <w14:ligatures w14:val="none"/>
        </w:rPr>
      </w:pPr>
      <w:r w:rsidRPr="00B44B71">
        <w:rPr>
          <w:rFonts w:ascii="Times New Roman" w:eastAsia="Times New Roman" w:hAnsi="Times New Roman" w:cs="Times New Roman"/>
          <w:i/>
          <w:color w:val="000000"/>
          <w:kern w:val="0"/>
          <w:sz w:val="24"/>
          <w:szCs w:val="24"/>
          <w:shd w:val="clear" w:color="auto" w:fill="FFFFFF"/>
          <w14:ligatures w14:val="none"/>
        </w:rPr>
        <w:t xml:space="preserve">The </w:t>
      </w:r>
      <w:r w:rsidRPr="00B44B71">
        <w:rPr>
          <w:rFonts w:ascii="Times New Roman" w:eastAsia="Times New Roman" w:hAnsi="Times New Roman" w:cs="Times New Roman"/>
          <w:b/>
          <w:bCs/>
          <w:i/>
          <w:iCs/>
          <w:color w:val="000000"/>
          <w:kern w:val="0"/>
          <w:sz w:val="24"/>
          <w:szCs w:val="24"/>
          <w:shd w:val="clear" w:color="auto" w:fill="FFFFFF"/>
          <w14:ligatures w14:val="none"/>
        </w:rPr>
        <w:t>purpose</w:t>
      </w:r>
      <w:r w:rsidRPr="00B44B71">
        <w:rPr>
          <w:rFonts w:ascii="Times New Roman" w:eastAsia="Times New Roman" w:hAnsi="Times New Roman" w:cs="Times New Roman"/>
          <w:i/>
          <w:color w:val="000000"/>
          <w:kern w:val="0"/>
          <w:sz w:val="24"/>
          <w:szCs w:val="24"/>
          <w:shd w:val="clear" w:color="auto" w:fill="FFFFFF"/>
          <w14:ligatures w14:val="none"/>
        </w:rPr>
        <w:t xml:space="preserve"> of the article is to clarify the essence of the culture of academic integrity and to identify the main approaches and pathways to its cultivation among cadets (students) of higher military educational institutions.</w:t>
      </w:r>
    </w:p>
    <w:p w14:paraId="712BC93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color w:val="000000"/>
          <w:kern w:val="0"/>
          <w:sz w:val="24"/>
          <w:szCs w:val="24"/>
          <w:shd w:val="clear" w:color="auto" w:fill="FFFFFF"/>
          <w14:ligatures w14:val="none"/>
        </w:rPr>
      </w:pPr>
      <w:r w:rsidRPr="00B44B71">
        <w:rPr>
          <w:rFonts w:ascii="Times New Roman" w:eastAsia="Times New Roman" w:hAnsi="Times New Roman" w:cs="Times New Roman"/>
          <w:i/>
          <w:color w:val="000000"/>
          <w:kern w:val="0"/>
          <w:sz w:val="24"/>
          <w:szCs w:val="24"/>
          <w:shd w:val="clear" w:color="auto" w:fill="FFFFFF"/>
          <w14:ligatures w14:val="none"/>
        </w:rPr>
        <w:t xml:space="preserve">A comprehensive system of research methods was employed, including analysis, induction and deduction, comparison, generalization, modeling, and forecasting. </w:t>
      </w:r>
    </w:p>
    <w:p w14:paraId="37D3B42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color w:val="000000"/>
          <w:kern w:val="0"/>
          <w:sz w:val="24"/>
          <w:szCs w:val="24"/>
          <w:shd w:val="clear" w:color="auto" w:fill="FFFFFF"/>
          <w14:ligatures w14:val="none"/>
        </w:rPr>
      </w:pPr>
      <w:r w:rsidRPr="00B44B71">
        <w:rPr>
          <w:rFonts w:ascii="Times New Roman" w:eastAsia="Times New Roman" w:hAnsi="Times New Roman" w:cs="Times New Roman"/>
          <w:i/>
          <w:color w:val="000000"/>
          <w:kern w:val="0"/>
          <w:sz w:val="24"/>
          <w:szCs w:val="24"/>
          <w:shd w:val="clear" w:color="auto" w:fill="FFFFFF"/>
          <w14:ligatures w14:val="none"/>
        </w:rPr>
        <w:t>Contemporary scholarly perspectives on the nature of academic integrity and approaches to its acquisition within the framework of modern university education were examined. Significant discrepancies have been identified in the interpretation of the key concept, as well as the prevalence of a formalized approach to fostering academic integrity as a process of internalizing a specific set of values, principles, and the rules derived from them, along with achieving staged learning outcomes (knowledge, abilities, and skills).</w:t>
      </w:r>
    </w:p>
    <w:p w14:paraId="4FB3F0C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color w:val="000000"/>
          <w:kern w:val="0"/>
          <w:sz w:val="24"/>
          <w:szCs w:val="24"/>
          <w:shd w:val="clear" w:color="auto" w:fill="FFFFFF"/>
          <w14:ligatures w14:val="none"/>
        </w:rPr>
      </w:pPr>
      <w:r w:rsidRPr="00B44B71">
        <w:rPr>
          <w:rFonts w:ascii="Times New Roman" w:eastAsia="Times New Roman" w:hAnsi="Times New Roman" w:cs="Times New Roman"/>
          <w:i/>
          <w:color w:val="000000"/>
          <w:kern w:val="0"/>
          <w:sz w:val="24"/>
          <w:szCs w:val="24"/>
          <w:shd w:val="clear" w:color="auto" w:fill="FFFFFF"/>
          <w14:ligatures w14:val="none"/>
        </w:rPr>
        <w:t>To overcome the identified shortcomings, a revised definition of academic integrity is proposed. The necessity of fostering a culture of academic integrity as an activity-axiological quality and behavioral characteristic of higher education students is substantiated. This culture manifests itself in their attitudes toward the completion of educational and research tasks and in their conduct within the academic environment. It is demonstrated that the formation of this culture must be grounded in a moral and ethical approach, encompassing such personal qualities as spiritual ideals, moral and ethical convictions, academic and military-professional values, conscientious attitudes, and integrity-driven educational and scientific actions and deeds.</w:t>
      </w:r>
    </w:p>
    <w:p w14:paraId="4529A2C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color w:val="000000"/>
          <w:kern w:val="0"/>
          <w:sz w:val="24"/>
          <w:szCs w:val="24"/>
          <w:shd w:val="clear" w:color="auto" w:fill="FFFFFF"/>
          <w14:ligatures w14:val="none"/>
        </w:rPr>
      </w:pPr>
      <w:r w:rsidRPr="00B44B71">
        <w:rPr>
          <w:rFonts w:ascii="Times New Roman" w:eastAsia="Times New Roman" w:hAnsi="Times New Roman" w:cs="Times New Roman"/>
          <w:i/>
          <w:color w:val="000000"/>
          <w:kern w:val="0"/>
          <w:sz w:val="24"/>
          <w:szCs w:val="24"/>
          <w:shd w:val="clear" w:color="auto" w:fill="FFFFFF"/>
          <w14:ligatures w14:val="none"/>
        </w:rPr>
        <w:t>A theoretical model of the system for cultivating a culture of academic integrity among cadets (students) of higher military educational institutions has been developed. Its principal structural components (stages), educational objectives and instruments, as well as the expected outcomes of educational work, are characterized. Psychological and pedagogical conditions for fostering a culture of academic integrity among cadets (students) of higher military educational institutions are formulated.</w:t>
      </w:r>
    </w:p>
    <w:p w14:paraId="69561F2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color w:val="000000"/>
          <w:kern w:val="0"/>
          <w:sz w:val="24"/>
          <w:szCs w:val="24"/>
          <w:shd w:val="clear" w:color="auto" w:fill="FFFFFF"/>
          <w14:ligatures w14:val="none"/>
        </w:rPr>
      </w:pPr>
      <w:r w:rsidRPr="00B44B71">
        <w:rPr>
          <w:rFonts w:ascii="Times New Roman" w:eastAsia="Times New Roman" w:hAnsi="Times New Roman" w:cs="Times New Roman"/>
          <w:i/>
          <w:color w:val="000000"/>
          <w:kern w:val="0"/>
          <w:sz w:val="24"/>
          <w:szCs w:val="24"/>
          <w:shd w:val="clear" w:color="auto" w:fill="FFFFFF"/>
          <w14:ligatures w14:val="none"/>
        </w:rPr>
        <w:t>The culture of academic integrity constitutes an activity-axiological quality and a behavioral characteristic of higher education students. It is manifested in their attitudes toward the fulfillment of educational and research tasks and in the specific features of their conduct within the academic environment. This culture should be grounded in a moral and ethical approach and encompass such personal qualities as spiritual ideals, moral-ethical convictions, academic and military-professional values, conscientious attitudes, and integrity-driven educational and scientific actions and deeds. The successful acquisition of a culture of academic integrity by cadets (students) of higher military educational institutions depends on its systematic cultivation, which is ensured by the proposed theoretical model and by adherence to the identified psychological and pedagogical conditions.</w:t>
      </w:r>
    </w:p>
    <w:p w14:paraId="27F709B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color w:val="000000"/>
          <w:kern w:val="0"/>
          <w:sz w:val="24"/>
          <w:szCs w:val="24"/>
          <w:shd w:val="clear" w:color="auto" w:fill="FFFFFF"/>
          <w14:ligatures w14:val="none"/>
        </w:rPr>
      </w:pPr>
      <w:r w:rsidRPr="00B44B71">
        <w:rPr>
          <w:rFonts w:ascii="Times New Roman" w:eastAsia="Times New Roman" w:hAnsi="Times New Roman" w:cs="Times New Roman"/>
          <w:b/>
          <w:bCs/>
          <w:i/>
          <w:iCs/>
          <w:color w:val="000000"/>
          <w:kern w:val="0"/>
          <w:sz w:val="24"/>
          <w:szCs w:val="24"/>
          <w:shd w:val="clear" w:color="auto" w:fill="FFFFFF"/>
          <w14:ligatures w14:val="none"/>
        </w:rPr>
        <w:t>Keywords</w:t>
      </w:r>
      <w:r w:rsidRPr="00B44B71">
        <w:rPr>
          <w:rFonts w:ascii="Times New Roman" w:eastAsia="Times New Roman" w:hAnsi="Times New Roman" w:cs="Times New Roman"/>
          <w:i/>
          <w:color w:val="000000"/>
          <w:kern w:val="0"/>
          <w:sz w:val="24"/>
          <w:szCs w:val="24"/>
          <w:shd w:val="clear" w:color="auto" w:fill="FFFFFF"/>
          <w14:ligatures w14:val="none"/>
        </w:rPr>
        <w:t>: academic integrity, academic and military-professional values</w:t>
      </w:r>
      <w:r w:rsidRPr="00B44B71">
        <w:rPr>
          <w:rFonts w:ascii="Times New Roman" w:eastAsia="Times New Roman" w:hAnsi="Times New Roman" w:cs="Times New Roman"/>
          <w:i/>
          <w:color w:val="000000"/>
          <w:kern w:val="0"/>
          <w:sz w:val="24"/>
          <w:szCs w:val="24"/>
          <w:shd w:val="clear" w:color="auto" w:fill="FFFFFF"/>
          <w:lang w:val="uk-UA"/>
          <w14:ligatures w14:val="none"/>
        </w:rPr>
        <w:t>,</w:t>
      </w:r>
      <w:r w:rsidRPr="00B44B71">
        <w:rPr>
          <w:rFonts w:ascii="Times New Roman" w:eastAsia="Times New Roman" w:hAnsi="Times New Roman" w:cs="Times New Roman"/>
          <w:i/>
          <w:color w:val="000000"/>
          <w:kern w:val="0"/>
          <w:sz w:val="24"/>
          <w:szCs w:val="24"/>
          <w:shd w:val="clear" w:color="auto" w:fill="FFFFFF"/>
          <w14:ligatures w14:val="none"/>
        </w:rPr>
        <w:t xml:space="preserve"> cadets, cultivation, culture of academic integrity, institutional system of quality assurance in higher education, higher military educational institution, students.</w:t>
      </w:r>
    </w:p>
    <w:p w14:paraId="4B3CA1C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r w:rsidRPr="00B44B71">
        <w:rPr>
          <w:rFonts w:ascii="Times New Roman" w:eastAsia="Times New Roman" w:hAnsi="Times New Roman" w:cs="Times New Roman"/>
          <w:b/>
          <w:bCs/>
          <w:color w:val="000000"/>
          <w:kern w:val="0"/>
          <w:sz w:val="28"/>
          <w:szCs w:val="28"/>
          <w:lang w:val="uk-UA"/>
          <w14:ligatures w14:val="none"/>
        </w:rPr>
        <w:t xml:space="preserve">Постановка проблеми. </w:t>
      </w:r>
      <w:r w:rsidRPr="00B44B71">
        <w:rPr>
          <w:rFonts w:ascii="Times New Roman" w:eastAsia="Times New Roman" w:hAnsi="Times New Roman" w:cs="Times New Roman"/>
          <w:color w:val="000000"/>
          <w:kern w:val="0"/>
          <w:sz w:val="28"/>
          <w:szCs w:val="28"/>
          <w:lang w:val="uk-UA"/>
          <w14:ligatures w14:val="none"/>
        </w:rPr>
        <w:t xml:space="preserve">Успішна реалізація стратегічного курсу України на інтеграцію в ЄС і НАТО безпосередньо залежить від утвердження в українському суспільстві, Збройних Силах України загальноєвропейських ідеалів та цінностей, посилення впливу аксіологічних чинників на функціонування вищої військової школи. Невипадково серед пріоритетів розвитку вищої освіти в Україні визначено </w:t>
      </w:r>
      <w:bookmarkStart w:id="2" w:name="n148"/>
      <w:bookmarkStart w:id="3" w:name="n151"/>
      <w:bookmarkEnd w:id="2"/>
      <w:bookmarkEnd w:id="3"/>
      <w:r w:rsidRPr="00B44B71">
        <w:rPr>
          <w:rFonts w:ascii="Times New Roman" w:eastAsia="Times New Roman" w:hAnsi="Times New Roman" w:cs="Times New Roman"/>
          <w:color w:val="000000"/>
          <w:kern w:val="0"/>
          <w:sz w:val="28"/>
          <w:szCs w:val="28"/>
          <w:lang w:val="uk-UA"/>
          <w14:ligatures w14:val="none"/>
        </w:rPr>
        <w:t xml:space="preserve">набуття таких моральних чеснот, як </w:t>
      </w:r>
      <w:r w:rsidRPr="00B44B71">
        <w:rPr>
          <w:rFonts w:ascii="Times New Roman" w:eastAsia="Times New Roman" w:hAnsi="Times New Roman" w:cs="Times New Roman"/>
          <w:color w:val="000000"/>
          <w:kern w:val="0"/>
          <w:sz w:val="28"/>
          <w:szCs w:val="28"/>
          <w:lang w:val="uk-UA"/>
          <w14:ligatures w14:val="none"/>
        </w:rPr>
        <w:lastRenderedPageBreak/>
        <w:t xml:space="preserve">відповідальність, </w:t>
      </w:r>
      <w:bookmarkStart w:id="4" w:name="n154"/>
      <w:bookmarkEnd w:id="4"/>
      <w:r w:rsidRPr="00B44B71">
        <w:rPr>
          <w:rFonts w:ascii="Times New Roman" w:eastAsia="Times New Roman" w:hAnsi="Times New Roman" w:cs="Times New Roman"/>
          <w:color w:val="000000"/>
          <w:kern w:val="0"/>
          <w:sz w:val="28"/>
          <w:szCs w:val="28"/>
          <w:lang w:val="uk-UA"/>
          <w14:ligatures w14:val="none"/>
        </w:rPr>
        <w:t xml:space="preserve">несприйняття корупції, </w:t>
      </w:r>
      <w:bookmarkStart w:id="5" w:name="n155"/>
      <w:bookmarkEnd w:id="5"/>
      <w:r w:rsidRPr="00B44B71">
        <w:rPr>
          <w:rFonts w:ascii="Times New Roman" w:eastAsia="Times New Roman" w:hAnsi="Times New Roman" w:cs="Times New Roman"/>
          <w:color w:val="000000"/>
          <w:kern w:val="0"/>
          <w:sz w:val="28"/>
          <w:szCs w:val="28"/>
          <w:lang w:val="uk-UA"/>
          <w14:ligatures w14:val="none"/>
        </w:rPr>
        <w:t>академічна доброчесність і стійкість [12]. Звідси пояснюється наше звернення до обраної теми як першочергової, її актуальність для подальшого оновлення теорії і практики підготовки військових фахівців із вищої освітою.</w:t>
      </w:r>
    </w:p>
    <w:p w14:paraId="7017F3A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r w:rsidRPr="00B44B71">
        <w:rPr>
          <w:rFonts w:ascii="Times New Roman" w:eastAsia="Times New Roman" w:hAnsi="Times New Roman" w:cs="Times New Roman"/>
          <w:b/>
          <w:bCs/>
          <w:color w:val="000000"/>
          <w:kern w:val="0"/>
          <w:sz w:val="28"/>
          <w:szCs w:val="28"/>
          <w:lang w:val="uk-UA"/>
          <w14:ligatures w14:val="none"/>
        </w:rPr>
        <w:t>Мета статті</w:t>
      </w:r>
      <w:r w:rsidRPr="00B44B71">
        <w:rPr>
          <w:rFonts w:ascii="Times New Roman" w:eastAsia="Times New Roman" w:hAnsi="Times New Roman" w:cs="Times New Roman"/>
          <w:color w:val="000000"/>
          <w:kern w:val="0"/>
          <w:sz w:val="28"/>
          <w:szCs w:val="28"/>
          <w:lang w:val="uk-UA"/>
          <w14:ligatures w14:val="none"/>
        </w:rPr>
        <w:t xml:space="preserve"> – з’ясувати сутність культури академічної доброчесності, розкрити шляхи і підходи до її виховання у курсантів (слухачів) ВВНЗ.</w:t>
      </w:r>
    </w:p>
    <w:p w14:paraId="61EB917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r w:rsidRPr="00B44B71">
        <w:rPr>
          <w:rFonts w:ascii="Times New Roman" w:eastAsia="Times New Roman" w:hAnsi="Times New Roman" w:cs="Times New Roman"/>
          <w:b/>
          <w:bCs/>
          <w:color w:val="000000"/>
          <w:kern w:val="0"/>
          <w:sz w:val="28"/>
          <w:szCs w:val="28"/>
          <w:lang w:val="uk-UA"/>
          <w14:ligatures w14:val="none"/>
        </w:rPr>
        <w:t>Методи дослідження:</w:t>
      </w:r>
      <w:r w:rsidRPr="00B44B71">
        <w:rPr>
          <w:rFonts w:ascii="Times New Roman" w:eastAsia="Times New Roman" w:hAnsi="Times New Roman" w:cs="Times New Roman"/>
          <w:kern w:val="0"/>
          <w:sz w:val="28"/>
          <w:szCs w:val="28"/>
          <w:lang w:val="uk-UA"/>
          <w14:ligatures w14:val="none"/>
        </w:rPr>
        <w:t xml:space="preserve"> </w:t>
      </w:r>
      <w:r w:rsidRPr="00B44B71">
        <w:rPr>
          <w:rFonts w:ascii="Times New Roman" w:eastAsia="Times New Roman" w:hAnsi="Times New Roman" w:cs="Times New Roman"/>
          <w:color w:val="000000"/>
          <w:kern w:val="0"/>
          <w:sz w:val="28"/>
          <w:szCs w:val="28"/>
          <w:lang w:val="uk-UA"/>
          <w14:ligatures w14:val="none"/>
        </w:rPr>
        <w:t>аналіз, індукція та дедукція, порівняння, узагальнення, моделювання, прогнозування.</w:t>
      </w:r>
    </w:p>
    <w:p w14:paraId="2538011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bookmarkStart w:id="6" w:name="_Hlk190367284"/>
      <w:r w:rsidRPr="00B44B71">
        <w:rPr>
          <w:rFonts w:ascii="Times New Roman" w:eastAsia="Times New Roman" w:hAnsi="Times New Roman" w:cs="Times New Roman"/>
          <w:b/>
          <w:color w:val="000000"/>
          <w:kern w:val="0"/>
          <w:sz w:val="28"/>
          <w:szCs w:val="28"/>
          <w:lang w:val="uk-UA"/>
          <w14:ligatures w14:val="none"/>
        </w:rPr>
        <w:t>Аналіз останніх досліджень і публікацій.</w:t>
      </w:r>
      <w:bookmarkEnd w:id="6"/>
      <w:r w:rsidRPr="00B44B71">
        <w:rPr>
          <w:rFonts w:ascii="Times New Roman" w:eastAsia="Times New Roman" w:hAnsi="Times New Roman" w:cs="Times New Roman"/>
          <w:b/>
          <w:color w:val="000000"/>
          <w:kern w:val="0"/>
          <w:sz w:val="28"/>
          <w:szCs w:val="28"/>
          <w:lang w:val="uk-UA"/>
          <w14:ligatures w14:val="none"/>
        </w:rPr>
        <w:t xml:space="preserve"> </w:t>
      </w:r>
      <w:r w:rsidRPr="00B44B71">
        <w:rPr>
          <w:rFonts w:ascii="Times New Roman" w:eastAsia="Times New Roman" w:hAnsi="Times New Roman" w:cs="Times New Roman"/>
          <w:color w:val="000000"/>
          <w:kern w:val="0"/>
          <w:sz w:val="28"/>
          <w:szCs w:val="28"/>
          <w:lang w:val="uk-UA"/>
          <w14:ligatures w14:val="none"/>
        </w:rPr>
        <w:t xml:space="preserve">Порушеній проблемі присвячено праці сучасних зарубіжних (Л. Амрейн-Купер, Х. Балалле, І. Гайжаускайте, </w:t>
      </w:r>
      <w:r w:rsidRPr="00B44B71">
        <w:rPr>
          <w:rFonts w:ascii="Times New Roman" w:eastAsia="Times New Roman" w:hAnsi="Times New Roman" w:cs="Times New Roman"/>
          <w:color w:val="000000"/>
          <w:kern w:val="0"/>
          <w:sz w:val="28"/>
          <w:szCs w:val="28"/>
          <w:shd w:val="clear" w:color="auto" w:fill="FFFFFF"/>
          <w:lang w:val="uk-UA"/>
          <w14:ligatures w14:val="none"/>
        </w:rPr>
        <w:t>М. Гарсес-Флорес</w:t>
      </w:r>
      <w:r w:rsidRPr="00B44B71">
        <w:rPr>
          <w:rFonts w:ascii="Times New Roman" w:eastAsia="Times New Roman" w:hAnsi="Times New Roman" w:cs="Times New Roman"/>
          <w:color w:val="000000"/>
          <w:kern w:val="0"/>
          <w:sz w:val="28"/>
          <w:szCs w:val="28"/>
          <w:lang w:val="uk-UA"/>
          <w14:ligatures w14:val="none"/>
        </w:rPr>
        <w:t xml:space="preserve">, І. Глендінінг, А. Мехія, С. Панніладж, Л. Сбаффі, Л. Таугінене, А. Тейт, С. Хатціпанагос, С. Чжао та ін.) та вітчизняних дослідників (Н. Антонюк, Н. Вінарчук, Ю. Денисяк, Н. Педченко, О. Уманець, О. Чумак, М.-Т. Шоловій та ін.). Проведений аналіз стану порушеної проблеми засвідчив, що сучасній науці бракує узгодженого розуміння сутності академічної доброчесності, стратегії її досягнення у системі вищої освіти. У наукових розвідках спостерігається цілий спектр тлумачень ключового поняття (табл. 1). </w:t>
      </w:r>
    </w:p>
    <w:p w14:paraId="708F4D3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shd w:val="clear" w:color="auto" w:fill="FFFFFF"/>
          <w:lang w:val="uk-UA"/>
          <w14:ligatures w14:val="none"/>
        </w:rPr>
      </w:pPr>
      <w:r w:rsidRPr="00B44B71">
        <w:rPr>
          <w:rFonts w:ascii="Times New Roman" w:eastAsia="Times New Roman" w:hAnsi="Times New Roman" w:cs="Times New Roman"/>
          <w:color w:val="000000"/>
          <w:kern w:val="0"/>
          <w:sz w:val="28"/>
          <w:szCs w:val="28"/>
          <w:lang w:val="uk-UA"/>
          <w14:ligatures w14:val="none"/>
        </w:rPr>
        <w:t xml:space="preserve">Автори окремих розвідок виявляють вкрай формалізоване ставлення до академічної доброчесності як «певного показника не лише соціально-економічного, культурного, але і демократичного суспільства» [1, </w:t>
      </w:r>
      <w:r w:rsidRPr="00B44B71">
        <w:rPr>
          <w:rFonts w:ascii="Times New Roman" w:eastAsia="Times New Roman" w:hAnsi="Times New Roman" w:cs="Times New Roman"/>
          <w:color w:val="000000"/>
          <w:kern w:val="0"/>
          <w:sz w:val="28"/>
          <w:szCs w:val="28"/>
          <w14:ligatures w14:val="none"/>
        </w:rPr>
        <w:t>c</w:t>
      </w:r>
      <w:r w:rsidRPr="00B44B71">
        <w:rPr>
          <w:rFonts w:ascii="Times New Roman" w:eastAsia="Times New Roman" w:hAnsi="Times New Roman" w:cs="Times New Roman"/>
          <w:color w:val="000000"/>
          <w:kern w:val="0"/>
          <w:sz w:val="28"/>
          <w:szCs w:val="28"/>
          <w:lang w:val="ru-RU"/>
          <w14:ligatures w14:val="none"/>
        </w:rPr>
        <w:t>. 15</w:t>
      </w:r>
      <w:r w:rsidRPr="00B44B71">
        <w:rPr>
          <w:rFonts w:ascii="Times New Roman" w:eastAsia="Times New Roman" w:hAnsi="Times New Roman" w:cs="Times New Roman"/>
          <w:color w:val="000000"/>
          <w:kern w:val="0"/>
          <w:sz w:val="28"/>
          <w:szCs w:val="28"/>
          <w:lang w:val="uk-UA"/>
          <w14:ligatures w14:val="none"/>
        </w:rPr>
        <w:t xml:space="preserve">], «морально-етичної норми» та «оцінювача критеріїв у науковому середовищі» [13, </w:t>
      </w:r>
      <w:r w:rsidRPr="00B44B71">
        <w:rPr>
          <w:rFonts w:ascii="Times New Roman" w:eastAsia="Times New Roman" w:hAnsi="Times New Roman" w:cs="Times New Roman"/>
          <w:color w:val="000000"/>
          <w:kern w:val="0"/>
          <w:sz w:val="28"/>
          <w:szCs w:val="28"/>
          <w14:ligatures w14:val="none"/>
        </w:rPr>
        <w:t>c</w:t>
      </w:r>
      <w:r w:rsidRPr="00B44B71">
        <w:rPr>
          <w:rFonts w:ascii="Times New Roman" w:eastAsia="Times New Roman" w:hAnsi="Times New Roman" w:cs="Times New Roman"/>
          <w:color w:val="000000"/>
          <w:kern w:val="0"/>
          <w:sz w:val="28"/>
          <w:szCs w:val="28"/>
          <w:lang w:val="ru-RU"/>
          <w14:ligatures w14:val="none"/>
        </w:rPr>
        <w:t>. 370</w:t>
      </w:r>
      <w:r w:rsidRPr="00B44B71">
        <w:rPr>
          <w:rFonts w:ascii="Times New Roman" w:eastAsia="Times New Roman" w:hAnsi="Times New Roman" w:cs="Times New Roman"/>
          <w:color w:val="000000"/>
          <w:kern w:val="0"/>
          <w:sz w:val="28"/>
          <w:szCs w:val="28"/>
          <w:lang w:val="uk-UA"/>
          <w14:ligatures w14:val="none"/>
        </w:rPr>
        <w:t>–</w:t>
      </w:r>
      <w:r w:rsidRPr="00B44B71">
        <w:rPr>
          <w:rFonts w:ascii="Times New Roman" w:eastAsia="Times New Roman" w:hAnsi="Times New Roman" w:cs="Times New Roman"/>
          <w:color w:val="000000"/>
          <w:kern w:val="0"/>
          <w:sz w:val="28"/>
          <w:szCs w:val="28"/>
          <w:lang w:val="ru-RU"/>
          <w14:ligatures w14:val="none"/>
        </w:rPr>
        <w:t>371</w:t>
      </w:r>
      <w:r w:rsidRPr="00B44B71">
        <w:rPr>
          <w:rFonts w:ascii="Times New Roman" w:eastAsia="Times New Roman" w:hAnsi="Times New Roman" w:cs="Times New Roman"/>
          <w:color w:val="000000"/>
          <w:kern w:val="0"/>
          <w:sz w:val="28"/>
          <w:szCs w:val="28"/>
          <w:lang w:val="uk-UA"/>
          <w14:ligatures w14:val="none"/>
        </w:rPr>
        <w:t xml:space="preserve">], системи принципів, правил або норм, яких мають дотримуватись учасники освітнього процесу з метою формування довіри до набутих ними результатів (досягнень). Зокрема Оксана Чумак під ключовим терміном розуміє «багатогранну категорію, яка визначає систему правових та морально-етичних принципів й правил при здобутті вищої освіти та наданні послуг із вищої освіти, які забезпечують високу якість отриманих навчальних та наукових результатів» [17]. У статті Ольги Уманець академічна доброчесність визначається як «маркер сучасної світової освіти, перманентний та іманентний імператив інтелектуальної діяльності людства» [15, с. 94]. Наведені тлумачення, на нашу думку, викликані некритичним, наслідувальним ставленням до нормативно-правових документів </w:t>
      </w:r>
      <w:r w:rsidRPr="00B44B71">
        <w:rPr>
          <w:rFonts w:ascii="Times New Roman" w:eastAsia="Times New Roman" w:hAnsi="Times New Roman" w:cs="Times New Roman"/>
          <w:color w:val="000000"/>
          <w:kern w:val="0"/>
          <w:sz w:val="28"/>
          <w:szCs w:val="28"/>
          <w:shd w:val="clear" w:color="auto" w:fill="FFFFFF"/>
          <w:lang w:val="uk-UA"/>
          <w14:ligatures w14:val="none"/>
        </w:rPr>
        <w:t>[9; 10; 11], в яких</w:t>
      </w:r>
      <w:r w:rsidRPr="00B44B71">
        <w:rPr>
          <w:rFonts w:ascii="Times New Roman" w:eastAsia="Times New Roman" w:hAnsi="Times New Roman" w:cs="Times New Roman"/>
          <w:color w:val="000000"/>
          <w:kern w:val="0"/>
          <w:sz w:val="28"/>
          <w:szCs w:val="28"/>
          <w:lang w:val="uk-UA"/>
          <w14:ligatures w14:val="none"/>
        </w:rPr>
        <w:t xml:space="preserve"> спостерігається фактичне знеособлення досліджуваного явища, відсування на задній план особистісної ролі суб’єктів освітньої і наукової діяльності в забезпеченні якості вищої освіти. Останнє спричиняє формалізований підхід до виховання академічної доброчесності у вищій школі, що зводить цей багаторівневий процес до «створення й упровадження у навчальний процес університетів дисципліни «Академічне письмо» («Наукове письмо») й популяризацію академічних чеснот …через ознайомлення із практиками відповідальності за недоброчесну поведінку у науковій спільноті» [3, с. 25].</w:t>
      </w:r>
    </w:p>
    <w:p w14:paraId="4491F9B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shd w:val="clear" w:color="auto" w:fill="FFFFFF"/>
          <w:lang w:val="uk-UA"/>
          <w14:ligatures w14:val="none"/>
        </w:rPr>
      </w:pPr>
      <w:r w:rsidRPr="00B44B71">
        <w:rPr>
          <w:rFonts w:ascii="Times New Roman" w:eastAsia="Times New Roman" w:hAnsi="Times New Roman" w:cs="Times New Roman"/>
          <w:kern w:val="0"/>
          <w:sz w:val="28"/>
          <w:szCs w:val="28"/>
          <w:lang w:val="uk-UA"/>
          <w14:ligatures w14:val="none"/>
        </w:rPr>
        <w:t xml:space="preserve">Переважна більшість дослідників схиляється до думки, що академічна доброчесність є діяльнісною характеристикою всіх причетних до академічної спільноти стейкхолдерів (викладачів, науковців і здобувачів, керівників), за </w:t>
      </w:r>
      <w:r w:rsidRPr="00B44B71">
        <w:rPr>
          <w:rFonts w:ascii="Times New Roman" w:eastAsia="Times New Roman" w:hAnsi="Times New Roman" w:cs="Times New Roman"/>
          <w:kern w:val="0"/>
          <w:sz w:val="28"/>
          <w:szCs w:val="28"/>
          <w:lang w:val="uk-UA"/>
          <w14:ligatures w14:val="none"/>
        </w:rPr>
        <w:lastRenderedPageBreak/>
        <w:t xml:space="preserve">допомогою якої вони демонструють на практиці власні чесноти та цінності. Звідси поширюються тлумачення академічної доброчесності як відданості цінностям, доброчесної дії в академічній практиці, дотримання етичних принципів (стандартів), демонстрації чесної та моральної поведінки в академічному середовищі або внутрішніх переконань тощо. Як зазначається у дослідженні </w:t>
      </w:r>
      <w:r w:rsidRPr="00B44B71">
        <w:rPr>
          <w:rFonts w:ascii="Times New Roman" w:eastAsia="Times New Roman" w:hAnsi="Times New Roman" w:cs="Times New Roman"/>
          <w:color w:val="000000"/>
          <w:kern w:val="0"/>
          <w:sz w:val="28"/>
          <w:szCs w:val="28"/>
          <w:shd w:val="clear" w:color="auto" w:fill="FFFFFF"/>
          <w:lang w:val="uk-UA"/>
          <w14:ligatures w14:val="none"/>
        </w:rPr>
        <w:t>Міжнародного центру академічної доброчесності (ICAI), академіч-</w:t>
      </w:r>
    </w:p>
    <w:p w14:paraId="2F26C1DF"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color w:val="000000"/>
          <w:kern w:val="0"/>
          <w:sz w:val="28"/>
          <w:szCs w:val="28"/>
          <w:shd w:val="clear" w:color="auto" w:fill="FFFFFF"/>
          <w:lang w:val="uk-UA"/>
          <w14:ligatures w14:val="none"/>
        </w:rPr>
      </w:pPr>
      <w:r w:rsidRPr="00B44B71">
        <w:rPr>
          <w:rFonts w:ascii="Times New Roman" w:eastAsia="Times New Roman" w:hAnsi="Times New Roman" w:cs="Times New Roman"/>
          <w:color w:val="000000"/>
          <w:kern w:val="0"/>
          <w:sz w:val="28"/>
          <w:szCs w:val="28"/>
          <w:shd w:val="clear" w:color="auto" w:fill="FFFFFF"/>
          <w:lang w:val="uk-UA"/>
          <w14:ligatures w14:val="none"/>
        </w:rPr>
        <w:t>на доброчесність становить собою «відданість шести фундаментальним цінностям: чесність, довіра, справедливість, повага, відповідальність та мужність» [34, с. 4].</w:t>
      </w:r>
    </w:p>
    <w:p w14:paraId="7CE8454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D0D0D"/>
          <w:kern w:val="0"/>
          <w:sz w:val="28"/>
          <w:szCs w:val="28"/>
          <w:shd w:val="clear" w:color="auto" w:fill="FFFFFF"/>
          <w:lang w:val="uk-UA"/>
          <w14:ligatures w14:val="none"/>
        </w:rPr>
      </w:pPr>
      <w:r w:rsidRPr="00B44B71">
        <w:rPr>
          <w:rFonts w:ascii="Times New Roman" w:eastAsia="Times New Roman" w:hAnsi="Times New Roman" w:cs="Times New Roman"/>
          <w:color w:val="0D0D0D"/>
          <w:kern w:val="0"/>
          <w:sz w:val="28"/>
          <w:szCs w:val="28"/>
          <w:shd w:val="clear" w:color="auto" w:fill="FFFFFF"/>
          <w:lang w:val="uk-UA"/>
          <w14:ligatures w14:val="none"/>
        </w:rPr>
        <w:t>Окремої уваги заслуговує думка експертів Міжнародного центру академічної доброчесності про те, що необхідно будувати та розвивати культуру академічної доброчесності в організаціях, а її набуття потребує зацікавленості, гнучкості та причетності всіх зацікавлених сторін: «Просування фундаментальних цінностей академічної доброчесності в освіті вимагає балансування високих стандартів доброчесності з освітньою місією, а також співчуття та турботи» [34, с. 11].</w:t>
      </w:r>
    </w:p>
    <w:p w14:paraId="75B78B23"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r w:rsidRPr="00B44B71">
        <w:rPr>
          <w:rFonts w:ascii="Times New Roman" w:eastAsia="Times New Roman" w:hAnsi="Times New Roman" w:cs="Times New Roman"/>
          <w:color w:val="000000"/>
          <w:kern w:val="0"/>
          <w:sz w:val="28"/>
          <w:szCs w:val="28"/>
          <w:lang w:val="uk-UA"/>
          <w14:ligatures w14:val="none"/>
        </w:rPr>
        <w:t xml:space="preserve">Ідеї </w:t>
      </w:r>
      <w:r w:rsidRPr="00B44B71">
        <w:rPr>
          <w:rFonts w:ascii="Times New Roman" w:eastAsia="Times New Roman" w:hAnsi="Times New Roman" w:cs="Times New Roman"/>
          <w:color w:val="0D0D0D"/>
          <w:kern w:val="0"/>
          <w:sz w:val="28"/>
          <w:szCs w:val="28"/>
          <w:shd w:val="clear" w:color="auto" w:fill="FFFFFF"/>
          <w:lang w:val="uk-UA"/>
          <w14:ligatures w14:val="none"/>
        </w:rPr>
        <w:t>Міжнародного центру академічної доброчесності</w:t>
      </w:r>
      <w:r w:rsidRPr="00B44B71">
        <w:rPr>
          <w:rFonts w:ascii="Times New Roman" w:eastAsia="Times New Roman" w:hAnsi="Times New Roman" w:cs="Times New Roman"/>
          <w:color w:val="000000"/>
          <w:kern w:val="0"/>
          <w:sz w:val="28"/>
          <w:szCs w:val="28"/>
          <w:lang w:val="uk-UA"/>
          <w14:ligatures w14:val="none"/>
        </w:rPr>
        <w:t xml:space="preserve"> знаходять подальший розвиток у багатьох країнах світу. Зокрема, британські науковці з Центру дистанційної освіти Лондонського університету Лінда Амрейн-Купер, Стиліанос Хатціпанагос, Алан Тейт наполягають на особистісній сутності академічної доброчесності, яка, на їхнє переконання, становить собою «відданість, навіть за умови несприятливих обставин, фундаментальним цінностям: (1) чесність, (2) довіра, (3) справедливість, (4) повага, (5) відповідальність та (6) мужність» [</w:t>
      </w:r>
      <w:r w:rsidRPr="00B44B71">
        <w:rPr>
          <w:rFonts w:ascii="Times New Roman" w:eastAsia="Times New Roman" w:hAnsi="Times New Roman" w:cs="Times New Roman"/>
          <w:kern w:val="0"/>
          <w:sz w:val="28"/>
          <w:szCs w:val="28"/>
          <w:lang w:val="uk-UA"/>
          <w14:ligatures w14:val="none"/>
        </w:rPr>
        <w:t>19</w:t>
      </w:r>
      <w:r w:rsidRPr="00B44B71">
        <w:rPr>
          <w:rFonts w:ascii="Times New Roman" w:eastAsia="Times New Roman" w:hAnsi="Times New Roman" w:cs="Times New Roman"/>
          <w:color w:val="000000"/>
          <w:kern w:val="0"/>
          <w:sz w:val="28"/>
          <w:szCs w:val="28"/>
          <w:lang w:val="uk-UA"/>
          <w14:ligatures w14:val="none"/>
        </w:rPr>
        <w:t xml:space="preserve">, </w:t>
      </w:r>
      <w:r w:rsidRPr="00B44B71">
        <w:rPr>
          <w:rFonts w:ascii="Times New Roman" w:eastAsia="Times New Roman" w:hAnsi="Times New Roman" w:cs="Times New Roman"/>
          <w:color w:val="000000"/>
          <w:kern w:val="0"/>
          <w:sz w:val="28"/>
          <w:szCs w:val="28"/>
          <w14:ligatures w14:val="none"/>
        </w:rPr>
        <w:t>c</w:t>
      </w:r>
      <w:r w:rsidRPr="00B44B71">
        <w:rPr>
          <w:rFonts w:ascii="Times New Roman" w:eastAsia="Times New Roman" w:hAnsi="Times New Roman" w:cs="Times New Roman"/>
          <w:color w:val="000000"/>
          <w:kern w:val="0"/>
          <w:sz w:val="28"/>
          <w:szCs w:val="28"/>
          <w:lang w:val="uk-UA"/>
          <w14:ligatures w14:val="none"/>
        </w:rPr>
        <w:t>.</w:t>
      </w:r>
      <w:r w:rsidRPr="00B44B71">
        <w:rPr>
          <w:rFonts w:ascii="Times New Roman" w:eastAsia="Times New Roman" w:hAnsi="Times New Roman" w:cs="Times New Roman"/>
          <w:color w:val="000000"/>
          <w:kern w:val="0"/>
          <w:sz w:val="28"/>
          <w:szCs w:val="28"/>
          <w14:ligatures w14:val="none"/>
        </w:rPr>
        <w:t> </w:t>
      </w:r>
      <w:r w:rsidRPr="00B44B71">
        <w:rPr>
          <w:rFonts w:ascii="Times New Roman" w:eastAsia="Times New Roman" w:hAnsi="Times New Roman" w:cs="Times New Roman"/>
          <w:color w:val="000000"/>
          <w:kern w:val="0"/>
          <w:sz w:val="28"/>
          <w:szCs w:val="28"/>
          <w:lang w:val="uk-UA"/>
          <w14:ligatures w14:val="none"/>
        </w:rPr>
        <w:t>379].</w:t>
      </w:r>
    </w:p>
    <w:p w14:paraId="1D61BAC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shd w:val="clear" w:color="auto" w:fill="FFFFFF"/>
          <w:lang w:val="uk-UA"/>
          <w14:ligatures w14:val="none"/>
        </w:rPr>
      </w:pPr>
      <w:r w:rsidRPr="00B44B71">
        <w:rPr>
          <w:rFonts w:ascii="Times New Roman" w:eastAsia="Times New Roman" w:hAnsi="Times New Roman" w:cs="Times New Roman"/>
          <w:color w:val="000000"/>
          <w:kern w:val="0"/>
          <w:sz w:val="28"/>
          <w:szCs w:val="28"/>
          <w:shd w:val="clear" w:color="auto" w:fill="FFFFFF"/>
          <w:lang w:val="uk-UA"/>
          <w14:ligatures w14:val="none"/>
        </w:rPr>
        <w:t>Сучасні дослідники вказують на брак концептуальних обговорень сутності академічної доброчесності у фахових публікаціях цілої низки спеціальних наукових видань – International Journal for Educational Integrity, Journal of Academic Ethics, Canadian Perspectives on Academic Integrity, Journal of Higher Education Ethics тощо [30]. Останнє призводить до збереження серйозних розбіжностей у поглядах на академічну доброчесність, спричиняє принципові розходження в підходах до її набуття.</w:t>
      </w:r>
    </w:p>
    <w:p w14:paraId="4946F78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shd w:val="clear" w:color="auto" w:fill="FFFFFF"/>
          <w:lang w:val="uk-UA"/>
          <w14:ligatures w14:val="none"/>
        </w:rPr>
      </w:pPr>
      <w:r w:rsidRPr="00B44B71">
        <w:rPr>
          <w:rFonts w:ascii="Times New Roman" w:eastAsia="Times New Roman" w:hAnsi="Times New Roman" w:cs="Times New Roman"/>
          <w:color w:val="000000"/>
          <w:kern w:val="0"/>
          <w:sz w:val="28"/>
          <w:szCs w:val="28"/>
          <w:shd w:val="clear" w:color="auto" w:fill="FFFFFF"/>
          <w:lang w:val="uk-UA"/>
          <w14:ligatures w14:val="none"/>
        </w:rPr>
        <w:t xml:space="preserve">Провідного значення для нашого дослідження набуває позиція тих науковців, які закликають уникати підміни понять і сприймати академічну доброчесність як особистісну діяльність (поведінку), що відповідає інституційним приписам або не пов’язана з обманом. </w:t>
      </w:r>
    </w:p>
    <w:p w14:paraId="4293A9D9" w14:textId="281DB5B1"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D0D0D"/>
          <w:kern w:val="0"/>
          <w:sz w:val="28"/>
          <w:szCs w:val="28"/>
          <w:shd w:val="clear" w:color="auto" w:fill="FFFFFF"/>
          <w:lang w:val="uk-UA"/>
          <w14:ligatures w14:val="none"/>
        </w:rPr>
      </w:pPr>
      <w:r w:rsidRPr="00B44B71">
        <w:rPr>
          <w:rFonts w:ascii="Times New Roman" w:eastAsia="Times New Roman" w:hAnsi="Times New Roman" w:cs="Times New Roman"/>
          <w:color w:val="000000"/>
          <w:kern w:val="0"/>
          <w:sz w:val="28"/>
          <w:szCs w:val="28"/>
          <w:shd w:val="clear" w:color="auto" w:fill="FFFFFF"/>
          <w:lang w:val="uk-UA"/>
          <w14:ligatures w14:val="none"/>
        </w:rPr>
        <w:t>На думку вітчизняних науковців (В. </w:t>
      </w:r>
      <w:r w:rsidRPr="00B44B71">
        <w:rPr>
          <w:rFonts w:ascii="Times New Roman" w:eastAsia="Times New Roman" w:hAnsi="Times New Roman" w:cs="Times New Roman"/>
          <w:kern w:val="0"/>
          <w:sz w:val="28"/>
          <w:szCs w:val="28"/>
          <w:lang w:val="uk-UA"/>
          <w14:ligatures w14:val="none"/>
        </w:rPr>
        <w:t>Білик, В. Шпильова, А. Козинець</w:t>
      </w:r>
      <w:r w:rsidRPr="00B44B71">
        <w:rPr>
          <w:rFonts w:ascii="Times New Roman" w:eastAsia="Times New Roman" w:hAnsi="Times New Roman" w:cs="Times New Roman"/>
          <w:color w:val="000000"/>
          <w:kern w:val="0"/>
          <w:sz w:val="28"/>
          <w:szCs w:val="28"/>
          <w:shd w:val="clear" w:color="auto" w:fill="FFFFFF"/>
          <w:lang w:val="uk-UA"/>
          <w14:ligatures w14:val="none"/>
        </w:rPr>
        <w:t xml:space="preserve">), академічна доброчесність становить собою «дотримання встановлених етичних принципів та правових норм, що регламентують поведінку всіх учасників освітнього процесу, зокрема студентів, викладачів, науковців і адміністративного персоналу» [2, c. 11]. Як слушно наголошують колумбійські вчені Андрес Мехія та Марія Гарсес-Флорес, проблематичним є зведення «ідеї академічної доброчесності до дотримання правил і процедур академічних установ або до уникнення певних видів шахрайської поведінки», оскільки академічна доброчесність стосується характеру людини з академічного </w:t>
      </w:r>
    </w:p>
    <w:p w14:paraId="35E7CA91"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14:ligatures w14:val="none"/>
        </w:rPr>
      </w:pPr>
      <w:r w:rsidRPr="00B44B71">
        <w:rPr>
          <w:rFonts w:ascii="Calibri" w:eastAsia="Times New Roman" w:hAnsi="Calibri" w:cs="Times New Roman"/>
          <w:noProof/>
          <w:kern w:val="0"/>
          <w:lang w:val="uk-UA" w:eastAsia="uk-UA"/>
          <w14:ligatures w14:val="none"/>
        </w:rPr>
        <w:lastRenderedPageBreak/>
        <w:drawing>
          <wp:inline distT="0" distB="0" distL="0" distR="0" wp14:anchorId="74B3144B" wp14:editId="151E8679">
            <wp:extent cx="9229725" cy="5267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4">
                      <a:extLst>
                        <a:ext uri="{28A0092B-C50C-407E-A947-70E740481C1C}">
                          <a14:useLocalDpi xmlns:a14="http://schemas.microsoft.com/office/drawing/2010/main" val="0"/>
                        </a:ext>
                      </a:extLst>
                    </a:blip>
                    <a:srcRect l="22621" t="24203" r="22046" b="18265"/>
                    <a:stretch>
                      <a:fillRect/>
                    </a:stretch>
                  </pic:blipFill>
                  <pic:spPr bwMode="auto">
                    <a:xfrm rot="-5400000">
                      <a:off x="0" y="0"/>
                      <a:ext cx="9229725" cy="5267325"/>
                    </a:xfrm>
                    <a:prstGeom prst="rect">
                      <a:avLst/>
                    </a:prstGeom>
                    <a:noFill/>
                    <a:ln>
                      <a:noFill/>
                    </a:ln>
                  </pic:spPr>
                </pic:pic>
              </a:graphicData>
            </a:graphic>
          </wp:inline>
        </w:drawing>
      </w:r>
    </w:p>
    <w:p w14:paraId="1852E343"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p>
    <w:p w14:paraId="3EE538D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sectPr w:rsidR="00B44B71" w:rsidRPr="00B44B71" w:rsidSect="00A908CF">
          <w:type w:val="continuous"/>
          <w:pgSz w:w="11906" w:h="16838"/>
          <w:pgMar w:top="1134" w:right="1134" w:bottom="1134" w:left="1134" w:header="708" w:footer="708" w:gutter="0"/>
          <w:cols w:space="708"/>
          <w:docGrid w:linePitch="360"/>
        </w:sectPr>
      </w:pPr>
    </w:p>
    <w:p w14:paraId="454FAE52" w14:textId="77777777" w:rsidR="0065752A" w:rsidRPr="00B44B71" w:rsidRDefault="0065752A" w:rsidP="0065752A">
      <w:pPr>
        <w:tabs>
          <w:tab w:val="left" w:pos="9638"/>
        </w:tabs>
        <w:spacing w:after="0" w:line="240" w:lineRule="auto"/>
        <w:jc w:val="both"/>
        <w:rPr>
          <w:rFonts w:ascii="Times New Roman" w:eastAsia="Times New Roman" w:hAnsi="Times New Roman" w:cs="Times New Roman"/>
          <w:color w:val="0D0D0D"/>
          <w:kern w:val="0"/>
          <w:sz w:val="28"/>
          <w:szCs w:val="28"/>
          <w:shd w:val="clear" w:color="auto" w:fill="FFFFFF"/>
          <w:lang w:val="uk-UA"/>
          <w14:ligatures w14:val="none"/>
        </w:rPr>
      </w:pPr>
      <w:r w:rsidRPr="00B44B71">
        <w:rPr>
          <w:rFonts w:ascii="Times New Roman" w:eastAsia="Times New Roman" w:hAnsi="Times New Roman" w:cs="Times New Roman"/>
          <w:color w:val="000000"/>
          <w:kern w:val="0"/>
          <w:sz w:val="28"/>
          <w:szCs w:val="28"/>
          <w:shd w:val="clear" w:color="auto" w:fill="FFFFFF"/>
          <w:lang w:val="uk-UA"/>
          <w14:ligatures w14:val="none"/>
        </w:rPr>
        <w:t>середовища, позначає її особисте піклування про досконалу освітньо-наукову діяльність і становить собою «доброчесну дію в академічній практиці» [30]. Звідси витікає принципово новий підхід до розв’язання порушеної проблеми: «…захист академічної доброчесності в освітньому закладі за допомогою</w:t>
      </w:r>
    </w:p>
    <w:p w14:paraId="7AC3409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shd w:val="clear" w:color="auto" w:fill="FFFFFF"/>
          <w:lang w:val="uk-UA"/>
          <w14:ligatures w14:val="none"/>
        </w:rPr>
      </w:pPr>
      <w:r w:rsidRPr="00B44B71">
        <w:rPr>
          <w:rFonts w:ascii="Times New Roman" w:eastAsia="Times New Roman" w:hAnsi="Times New Roman" w:cs="Times New Roman"/>
          <w:color w:val="000000"/>
          <w:kern w:val="0"/>
          <w:sz w:val="28"/>
          <w:szCs w:val="28"/>
          <w:shd w:val="clear" w:color="auto" w:fill="FFFFFF"/>
          <w:lang w:val="uk-UA"/>
          <w14:ligatures w14:val="none"/>
        </w:rPr>
        <w:t>освітніх демократичних стратегій є водночас способом досягнення внутрішніх благ академічної практики, пов’язаних з моральним зростанням та навчанням. Для цього ми пояснили, чому ключовим є зміщення нашої звичайної уваги з правил на внутрішні блага та цінності практики» [30].</w:t>
      </w:r>
    </w:p>
    <w:p w14:paraId="2F92A81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r w:rsidRPr="00B44B71">
        <w:rPr>
          <w:rFonts w:ascii="Times New Roman" w:eastAsia="Times New Roman" w:hAnsi="Times New Roman" w:cs="Times New Roman"/>
          <w:color w:val="000000"/>
          <w:kern w:val="0"/>
          <w:sz w:val="28"/>
          <w:szCs w:val="28"/>
          <w:lang w:val="uk-UA"/>
          <w14:ligatures w14:val="none"/>
        </w:rPr>
        <w:t>Серйозну загрозу академічній доброчесності становить зловживання електронними ресурсами в університетській практиці, стрімке поширення технології штучного інтелекту в навчанні та дослідженні. Саме тому сучасні дослідники застерігають про наявні ризики і загрози, пов’язані із шахрайським потенціалом штучного інтелекту: зворотній переклад, міжмовний плагіат, несанкціоноване генерування контенту [31].</w:t>
      </w:r>
    </w:p>
    <w:p w14:paraId="284676B5"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r w:rsidRPr="00B44B71">
        <w:rPr>
          <w:rFonts w:ascii="Times New Roman" w:eastAsia="Times New Roman" w:hAnsi="Times New Roman" w:cs="Times New Roman"/>
          <w:color w:val="000000"/>
          <w:kern w:val="0"/>
          <w:sz w:val="28"/>
          <w:szCs w:val="28"/>
          <w:lang w:val="uk-UA"/>
          <w14:ligatures w14:val="none"/>
        </w:rPr>
        <w:t>Більшість учених віддає перевагу профілактиці, просвітництву та навчанню у розв’язанні порушеної проблеми порівняно із формалізованою практикою погроз і покарань. Зокрема Лаура Сбаффі та Сінь Чжао слушно наголошують на тому, що «освітній підхід до академічної доброчесності є ефективнішим, ніж каральні заходи», і доводять нагальність «раннього освітнього втручання для підтримки академічної доброчесності студентів» [</w:t>
      </w:r>
      <w:r w:rsidRPr="00B44B71">
        <w:rPr>
          <w:rFonts w:ascii="Times New Roman" w:eastAsia="Times New Roman" w:hAnsi="Times New Roman" w:cs="Times New Roman"/>
          <w:kern w:val="0"/>
          <w:sz w:val="28"/>
          <w:szCs w:val="28"/>
          <w:lang w:val="uk-UA"/>
          <w14:ligatures w14:val="none"/>
        </w:rPr>
        <w:t>32</w:t>
      </w:r>
      <w:r w:rsidRPr="00B44B71">
        <w:rPr>
          <w:rFonts w:ascii="Times New Roman" w:eastAsia="Times New Roman" w:hAnsi="Times New Roman" w:cs="Times New Roman"/>
          <w:color w:val="000000"/>
          <w:kern w:val="0"/>
          <w:sz w:val="28"/>
          <w:szCs w:val="28"/>
          <w:lang w:val="uk-UA"/>
          <w14:ligatures w14:val="none"/>
        </w:rPr>
        <w:t xml:space="preserve">]. </w:t>
      </w:r>
    </w:p>
    <w:p w14:paraId="3244D22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r w:rsidRPr="00B44B71">
        <w:rPr>
          <w:rFonts w:ascii="Times New Roman" w:eastAsia="Times New Roman" w:hAnsi="Times New Roman" w:cs="Times New Roman"/>
          <w:color w:val="000000"/>
          <w:kern w:val="0"/>
          <w:sz w:val="28"/>
          <w:szCs w:val="28"/>
          <w:lang w:val="uk-UA"/>
          <w14:ligatures w14:val="none"/>
        </w:rPr>
        <w:t>Автори проекту «Європейська мережа академічної доброчесності» (Лорета Таугінене, Інга Гайжаускайте, Ірен Глендінінг та ін.), виконаного в межах програми ЄС Erasmus+, витлумачують академічну доброчесність з позицій діяльнісного підходу як «дотримання етичних та професійних принципів, стандартів, практик та послідовної системи цінностей, що слугує керівництвом для ухвалення рішень та вжиття заходів в освіті, дослідженнях та науковій діяльності» [33, c. 7–8]. Праксеологічна теорія набуття академічної доброчесності отримала подальший розвиток у розвідках багатьох сучасних науковців (Г. Коутс, Г. Краучер, А. Кальдерон та ін.), які дотримуються думки, що академічна доброчесність означає дії відповідно до академічної етики [25, c. 2018].</w:t>
      </w:r>
    </w:p>
    <w:p w14:paraId="153DDD5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r w:rsidRPr="00B44B71">
        <w:rPr>
          <w:rFonts w:ascii="Times New Roman" w:eastAsia="Times New Roman" w:hAnsi="Times New Roman" w:cs="Times New Roman"/>
          <w:color w:val="000000"/>
          <w:kern w:val="0"/>
          <w:sz w:val="28"/>
          <w:szCs w:val="28"/>
          <w:lang w:val="uk-UA"/>
          <w14:ligatures w14:val="none"/>
        </w:rPr>
        <w:t xml:space="preserve">Хімендра Балалле, Сачіні Панніладж наділяють академічну доброчесність більш об’єктивним ціннісним сенсом та підкреслюють, що «вона відображає цінність кваліфікацій, що пропонуються навчальним закладом; чесність, довіру та етичну поведінку студентів; а також управління цими факторами академічними закладами» [21]. Поділяємо пропонований дослідниками системний підхід до вирішення порушеної проблеми в умовах стрімкого поширення технології штучного інтелекту, що охоплює комплекс різноманітних заходів: «…навчальні заклади повинні створити культуру академічної доброчесності, щоб перешкоджати академічним неправомірним практикам та максимізувати переваги використання ШІ в освіті. Водночас традиційні цінності, такі як чесність і довіра, повинні адаптуватися до сучасного технологічного середовища, щоб мінімізувати академічні </w:t>
      </w:r>
      <w:r w:rsidRPr="00B44B71">
        <w:rPr>
          <w:rFonts w:ascii="Times New Roman" w:eastAsia="Times New Roman" w:hAnsi="Times New Roman" w:cs="Times New Roman"/>
          <w:color w:val="000000"/>
          <w:kern w:val="0"/>
          <w:sz w:val="28"/>
          <w:szCs w:val="28"/>
          <w:lang w:val="uk-UA"/>
          <w14:ligatures w14:val="none"/>
        </w:rPr>
        <w:lastRenderedPageBreak/>
        <w:t>неправомірні дії. Навіть якщо заклад інвестує у належне програмне забезпечення для виявлення академічних неправомірних дій на основі ШІ, традиційні методи виявлення академічних неправомірних дій все одно повинні використовуватися для підвищення академічної доброчесності» [21].</w:t>
      </w:r>
    </w:p>
    <w:p w14:paraId="0160D93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r w:rsidRPr="00B44B71">
        <w:rPr>
          <w:rFonts w:ascii="Times New Roman" w:eastAsia="Times New Roman" w:hAnsi="Times New Roman" w:cs="Times New Roman"/>
          <w:color w:val="000000"/>
          <w:kern w:val="0"/>
          <w:sz w:val="28"/>
          <w:szCs w:val="28"/>
          <w:lang w:val="uk-UA"/>
          <w14:ligatures w14:val="none"/>
        </w:rPr>
        <w:t>Слушними вважаємо заклики британських дослідників Р. Харрад, Р. Кіслі та Л. Джеффріс (Університет Свонсі, Уельс) оновити чинну стратегію забезпечення академічної доброчесності з акцентом на підтримці та прозорості процедур: «Щоб найкраще підтримати як студентів у їхніх академічних починаннях, так і навчальні заклади у підтримці їхніх академічних стандартів, ми стверджуємо, що необхідне широке врахування академічної доброчесності та академічної неправомірної поведінки як суперечливих процесів; для досягнення цієї мети важливо змінити наратив щодо академічної неправомірної поведінки та академічної доброчесності» [29, c. 1566]. Схожих поглядів дотримуються Лаура Сбаффі та Сінь Чжао з Університету Шеффілда (Велика Британія), які вважають підтримку академічної доброчесності у вищій освіті життєво важливою для всіх зацікавлених сторін, вказують на пріоритетність «узгодження концепцій академічної доброчесності, політик та процесів із практикою викладання та учіння» [32].</w:t>
      </w:r>
    </w:p>
    <w:p w14:paraId="7B7952C3"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r w:rsidRPr="00B44B71">
        <w:rPr>
          <w:rFonts w:ascii="Times New Roman" w:eastAsia="Times New Roman" w:hAnsi="Times New Roman" w:cs="Times New Roman"/>
          <w:color w:val="000000"/>
          <w:kern w:val="0"/>
          <w:sz w:val="28"/>
          <w:szCs w:val="28"/>
          <w:lang w:val="ru-RU"/>
          <w14:ligatures w14:val="none"/>
        </w:rPr>
        <w:t>Значний інтерес</w:t>
      </w:r>
      <w:r w:rsidRPr="00B44B71">
        <w:rPr>
          <w:rFonts w:ascii="Times New Roman" w:eastAsia="Times New Roman" w:hAnsi="Times New Roman" w:cs="Times New Roman"/>
          <w:color w:val="000000"/>
          <w:kern w:val="0"/>
          <w:sz w:val="28"/>
          <w:szCs w:val="28"/>
          <w:lang w:val="uk-UA"/>
          <w14:ligatures w14:val="none"/>
        </w:rPr>
        <w:t xml:space="preserve"> привертає проблема розроблення інституційної політики академічної доброчесності в еру штучного інтелекту. Більшість дослідників сходяться на думці, що штучний інтелект створює неабиякі загрози якості вищої освіти й доброчесному ставленню до навчання (К. Біттлі, О. Ель-Гаяр, Р. Альшарефін, Н. Аль Саярі, О. Думанський, О. Козак, Л. Філіпенко та ін.). За даними Рамі Альшарефін та Наджі Аль Саярі, «самої лише політики недостатньо для сприяння академічній доброчесності, оскільки політика продовжує ігнорувати широкий спектр проблем, пов</w:t>
      </w:r>
      <w:r w:rsidRPr="00B44B71">
        <w:rPr>
          <w:rFonts w:ascii="Times New Roman" w:eastAsia="Times New Roman" w:hAnsi="Times New Roman" w:cs="Times New Roman"/>
          <w:color w:val="000000"/>
          <w:kern w:val="0"/>
          <w:sz w:val="28"/>
          <w:szCs w:val="28"/>
          <w:shd w:val="clear" w:color="auto" w:fill="FFFFFF"/>
          <w:lang w:val="uk-UA"/>
          <w14:ligatures w14:val="none"/>
        </w:rPr>
        <w:t>’</w:t>
      </w:r>
      <w:r w:rsidRPr="00B44B71">
        <w:rPr>
          <w:rFonts w:ascii="Times New Roman" w:eastAsia="Times New Roman" w:hAnsi="Times New Roman" w:cs="Times New Roman"/>
          <w:color w:val="000000"/>
          <w:kern w:val="0"/>
          <w:sz w:val="28"/>
          <w:szCs w:val="28"/>
          <w:lang w:val="uk-UA"/>
          <w14:ligatures w14:val="none"/>
        </w:rPr>
        <w:t xml:space="preserve">язаних з її впровадженням, включаючи проблеми виявлення, робоче навантаження, свободу дій викладачів та нюансовані етичні міркування, яких вимагають технології </w:t>
      </w:r>
      <w:r w:rsidRPr="00B44B71">
        <w:rPr>
          <w:rFonts w:ascii="Times New Roman" w:eastAsia="Times New Roman" w:hAnsi="Times New Roman" w:cs="Times New Roman"/>
          <w:color w:val="000000"/>
          <w:kern w:val="0"/>
          <w:sz w:val="28"/>
          <w:szCs w:val="28"/>
          <w:lang w:val="ru-RU"/>
          <w14:ligatures w14:val="none"/>
        </w:rPr>
        <w:t>Gen</w:t>
      </w:r>
      <w:r w:rsidRPr="00B44B71">
        <w:rPr>
          <w:rFonts w:ascii="Times New Roman" w:eastAsia="Times New Roman" w:hAnsi="Times New Roman" w:cs="Times New Roman"/>
          <w:color w:val="000000"/>
          <w:kern w:val="0"/>
          <w:sz w:val="28"/>
          <w:szCs w:val="28"/>
          <w:lang w:val="uk-UA"/>
          <w14:ligatures w14:val="none"/>
        </w:rPr>
        <w:t>-</w:t>
      </w:r>
      <w:r w:rsidRPr="00B44B71">
        <w:rPr>
          <w:rFonts w:ascii="Times New Roman" w:eastAsia="Times New Roman" w:hAnsi="Times New Roman" w:cs="Times New Roman"/>
          <w:color w:val="000000"/>
          <w:kern w:val="0"/>
          <w:sz w:val="28"/>
          <w:szCs w:val="28"/>
          <w:lang w:val="ru-RU"/>
          <w14:ligatures w14:val="none"/>
        </w:rPr>
        <w:t>AI</w:t>
      </w:r>
      <w:r w:rsidRPr="00B44B71">
        <w:rPr>
          <w:rFonts w:ascii="Times New Roman" w:eastAsia="Times New Roman" w:hAnsi="Times New Roman" w:cs="Times New Roman"/>
          <w:color w:val="000000"/>
          <w:kern w:val="0"/>
          <w:sz w:val="28"/>
          <w:szCs w:val="28"/>
          <w:lang w:val="uk-UA"/>
          <w14:ligatures w14:val="none"/>
        </w:rPr>
        <w:t xml:space="preserve">» [20]. </w:t>
      </w:r>
    </w:p>
    <w:p w14:paraId="78690FD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r w:rsidRPr="00B44B71">
        <w:rPr>
          <w:rFonts w:ascii="Times New Roman" w:eastAsia="Times New Roman" w:hAnsi="Times New Roman" w:cs="Times New Roman"/>
          <w:color w:val="000000"/>
          <w:kern w:val="0"/>
          <w:sz w:val="28"/>
          <w:szCs w:val="28"/>
          <w:lang w:val="uk-UA"/>
          <w14:ligatures w14:val="none"/>
        </w:rPr>
        <w:t xml:space="preserve">Поділяємо позицію тих науковців (А. Бозкурт, С. Ітон та ін.), які гнучко підходять до розв’язання порушеною проблеми, враховуючи при цьому як інноваційний потенціал штучного інтелекту, так і наявні виклики та загрози, пов’язані з його неврегульованим використанням у навчанні й дослідженні. Вказуючи на подвійну природу штучного інтелекту, Арас Бозкурт слушно зауважує, що саме вона «вимагає збалансованого підходу, який використовує його </w:t>
      </w:r>
      <w:r w:rsidRPr="00B44B71">
        <w:rPr>
          <w:rFonts w:ascii="Times New Roman" w:eastAsia="Times New Roman" w:hAnsi="Times New Roman" w:cs="Times New Roman"/>
          <w:kern w:val="0"/>
          <w:sz w:val="28"/>
          <w:szCs w:val="28"/>
          <w:lang w:val="uk-UA"/>
          <w14:ligatures w14:val="none"/>
        </w:rPr>
        <w:t xml:space="preserve">переваги, водночас пильно захищаючи від потенційного зловживання в академічних контекстах. Виклик полягає у збереженні цілісності академічної роботи, забезпечуючи відповідність використання ШІ усталеним цінностям чесності, довіри, справедливості, поваги, відповідальності та мужності» </w:t>
      </w:r>
      <w:r w:rsidRPr="00B44B71">
        <w:rPr>
          <w:rFonts w:ascii="Times New Roman" w:eastAsia="Times New Roman" w:hAnsi="Times New Roman" w:cs="Times New Roman"/>
          <w:color w:val="000000"/>
          <w:kern w:val="0"/>
          <w:sz w:val="28"/>
          <w:szCs w:val="28"/>
          <w:lang w:val="uk-UA"/>
          <w14:ligatures w14:val="none"/>
        </w:rPr>
        <w:t>[23].</w:t>
      </w:r>
    </w:p>
    <w:p w14:paraId="71922417"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color w:val="000000"/>
          <w:kern w:val="0"/>
          <w:sz w:val="28"/>
          <w:szCs w:val="28"/>
          <w:lang w:val="uk-UA"/>
          <w14:ligatures w14:val="none"/>
        </w:rPr>
        <w:t>Технологія штучного інтелекту, за Сарою Ітон з Калгарського університету (Канада), засвідчує неабиякий крок уперед на шляху технологізації вищої освіти, що не має етичного виміру. Канадська дослідниця наголошує на тому, що «</w:t>
      </w:r>
      <w:r w:rsidRPr="00B44B71">
        <w:rPr>
          <w:rFonts w:ascii="Times New Roman" w:eastAsia="Times New Roman" w:hAnsi="Times New Roman" w:cs="Times New Roman"/>
          <w:kern w:val="0"/>
          <w:sz w:val="28"/>
          <w:szCs w:val="28"/>
          <w:lang w:val="uk-UA"/>
          <w14:ligatures w14:val="none"/>
        </w:rPr>
        <w:t xml:space="preserve">…використання технологій не є (не)етичним за своєю суттю. Технології приходять, зникають та розвиваються. Питання про те, як </w:t>
      </w:r>
      <w:r w:rsidRPr="00B44B71">
        <w:rPr>
          <w:rFonts w:ascii="Times New Roman" w:eastAsia="Times New Roman" w:hAnsi="Times New Roman" w:cs="Times New Roman"/>
          <w:kern w:val="0"/>
          <w:sz w:val="28"/>
          <w:szCs w:val="28"/>
          <w:lang w:val="uk-UA"/>
          <w14:ligatures w14:val="none"/>
        </w:rPr>
        <w:lastRenderedPageBreak/>
        <w:t>використовувати їх ефективно та етично для викладання та навчання, залишається відкритим» [28]. Повністю поділяємо думку авторки статті «Технологічна гонка озброєнь у сфері академічної доброчесності та її вплив на навчання, викладання й оцінювання» щодо необхідності підпорядкування технологічного прогресу аксіологічним пріоритетам академічної спільноти: «Розуміння переваг, а також обмежень, витрат та впливу використання технологій для підтримки академічної доброчесності є основоположним для ухвалення обґрунтованих рішень щодо того, як, коли і чи використовувати їх» [28].</w:t>
      </w:r>
    </w:p>
    <w:p w14:paraId="0E7F76F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r w:rsidRPr="00B44B71">
        <w:rPr>
          <w:rFonts w:ascii="Times New Roman" w:eastAsia="Times New Roman" w:hAnsi="Times New Roman" w:cs="Times New Roman"/>
          <w:color w:val="000000"/>
          <w:kern w:val="0"/>
          <w:sz w:val="28"/>
          <w:szCs w:val="28"/>
          <w:lang w:val="uk-UA"/>
          <w14:ligatures w14:val="none"/>
        </w:rPr>
        <w:t xml:space="preserve">Американські вчені Кайл Біттлі та Омар Ель-Гаяр (Університет штату Дакота, США) залишають за освітянами провідну роль у подоланні тих ризиків і загроз, яких штучний інтелект завдає академічній доброчесності: «Встановлення комплексних етичних рекомендацій та регуляторних рамок буде життєво важливим, сприяючи прозорості, підзвітності та справедливості у використанні GenAI в освітніх закладах» [22]. Втім така застаріла традиція перекладання відповідальності на одну сторону, на нашу думку, не відповідає інтегральному підходу до забезпечення якості вищої освіти, що передбачає об’єднання зусиль усіх стейкхолдерів. </w:t>
      </w:r>
    </w:p>
    <w:p w14:paraId="4B04089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r w:rsidRPr="00B44B71">
        <w:rPr>
          <w:rFonts w:ascii="Times New Roman" w:eastAsia="Times New Roman" w:hAnsi="Times New Roman" w:cs="Times New Roman"/>
          <w:color w:val="000000"/>
          <w:kern w:val="0"/>
          <w:sz w:val="28"/>
          <w:szCs w:val="28"/>
          <w:lang w:val="uk-UA"/>
          <w14:ligatures w14:val="none"/>
        </w:rPr>
        <w:t>Мають рацію британські дослідниці Керолайн Кемпбелл та Лорна Ваддінгтон (Університет Лідса), пропонуючи комплексний підхід до вирішення порушеної проблеми «за участю різних зацікавлених сторін університету, включаючи студентів, з метою розвитку культури академічної доброчесності» [24, c. 34]. Водночас необхідно позбутися рудиментів авторитарної педагогіки, подолати репресивність і формалізм у підходах до формування інституційної політики академічної доброчесності: «</w:t>
      </w:r>
      <w:r w:rsidRPr="00B44B71">
        <w:rPr>
          <w:rFonts w:ascii="Times New Roman" w:eastAsia="Times New Roman" w:hAnsi="Times New Roman" w:cs="Times New Roman"/>
          <w:color w:val="000000"/>
          <w:kern w:val="0"/>
          <w:sz w:val="28"/>
          <w:szCs w:val="28"/>
          <w:shd w:val="clear" w:color="auto" w:fill="FFFFFF"/>
          <w:lang w:val="uk-UA"/>
          <w14:ligatures w14:val="none"/>
        </w:rPr>
        <w:t xml:space="preserve">Регулярні нагадування про принципи та вимоги академічної доброчесності слід розповсюджувати, особливо перед дедлайнами оцінювання. Ті, хто викладає, повинні знаходити час для обговорення з учнями про всі аспекти академічної доброчесності. Разом нам потрібно впровадити культуру академічної доброчесності» [24, </w:t>
      </w:r>
      <w:r w:rsidRPr="00B44B71">
        <w:rPr>
          <w:rFonts w:ascii="Times New Roman" w:eastAsia="Times New Roman" w:hAnsi="Times New Roman" w:cs="Times New Roman"/>
          <w:color w:val="000000"/>
          <w:kern w:val="0"/>
          <w:sz w:val="28"/>
          <w:szCs w:val="28"/>
          <w:lang w:val="uk-UA"/>
          <w14:ligatures w14:val="none"/>
        </w:rPr>
        <w:t>с. 48</w:t>
      </w:r>
      <w:r w:rsidRPr="00B44B71">
        <w:rPr>
          <w:rFonts w:ascii="Times New Roman" w:eastAsia="Times New Roman" w:hAnsi="Times New Roman" w:cs="Times New Roman"/>
          <w:color w:val="000000"/>
          <w:kern w:val="0"/>
          <w:sz w:val="28"/>
          <w:szCs w:val="28"/>
          <w:shd w:val="clear" w:color="auto" w:fill="FFFFFF"/>
          <w:lang w:val="uk-UA"/>
          <w14:ligatures w14:val="none"/>
        </w:rPr>
        <w:t>].</w:t>
      </w:r>
    </w:p>
    <w:p w14:paraId="74CA9CC3"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r w:rsidRPr="00B44B71">
        <w:rPr>
          <w:rFonts w:ascii="Times New Roman" w:eastAsia="Times New Roman" w:hAnsi="Times New Roman" w:cs="Times New Roman"/>
          <w:color w:val="000000"/>
          <w:kern w:val="0"/>
          <w:sz w:val="28"/>
          <w:szCs w:val="28"/>
          <w:lang w:val="uk-UA"/>
          <w14:ligatures w14:val="none"/>
        </w:rPr>
        <w:t xml:space="preserve">З урахуванням морально-ціннісного характеру академічної доброчесності вишам слід відмовитися від застарілої директивно-адміністративної практики її поширення і перейти до просвітницької стратегії пропагування академічних цінностей, заохочення доброчесного ставлення до власної освітньої і дослідницької діяльності, надання цьому процесу більш дієвого характеру і спрямування [4, с. 102; 6, с. 75]. Разом з тим не можемо погодитись із намаганням аспектизувати порушену проблему, звести академічну доброчесність до набуття етапних результатів навчання. Вважаємо хибним твердженнями про те, що «академічну доброчесність у часи суперечностей можна переосмислити як академічну навичку, узгоджену з певними цінностями», нагальність «перегляду політики для сприяння академічній доброчесності як навичці» [26]. </w:t>
      </w:r>
    </w:p>
    <w:p w14:paraId="1BECD41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r w:rsidRPr="00B44B71">
        <w:rPr>
          <w:rFonts w:ascii="Times New Roman" w:eastAsia="Times New Roman" w:hAnsi="Times New Roman" w:cs="Times New Roman"/>
          <w:color w:val="000000"/>
          <w:kern w:val="0"/>
          <w:sz w:val="28"/>
          <w:szCs w:val="28"/>
          <w:lang w:val="uk-UA"/>
          <w14:ligatures w14:val="none"/>
        </w:rPr>
        <w:t xml:space="preserve">Цілісному розв’язанню порушеної проблеми заважають не лише наявні розходження у розумінні сутності академічної доброчесності, але й різні підходи до визначення пріоритетних завдань інституційної політики </w:t>
      </w:r>
      <w:r w:rsidRPr="00B44B71">
        <w:rPr>
          <w:rFonts w:ascii="Times New Roman" w:eastAsia="Times New Roman" w:hAnsi="Times New Roman" w:cs="Times New Roman"/>
          <w:color w:val="000000"/>
          <w:kern w:val="0"/>
          <w:sz w:val="28"/>
          <w:szCs w:val="28"/>
          <w:lang w:val="uk-UA"/>
          <w14:ligatures w14:val="none"/>
        </w:rPr>
        <w:lastRenderedPageBreak/>
        <w:t>забезпечення якості вищої освіти, унормування очікуваних результатів формування доброчесного ставлення до навчання і дослідження в академічному середовищі. Одні дослідники зосереджують увагу на формуванні академічної культури та доброчесності здобувачів вищої освіти, витлумачуючи їх як «сукупність цінностей, норм, правил і поведінки» [5, с. 18]. Інші піддають сумніву сталість академічної культури, наголошують на її спонтанному суб’єктивному характері, залежності від «</w:t>
      </w:r>
      <w:r w:rsidRPr="00B44B71">
        <w:rPr>
          <w:rFonts w:ascii="Times New Roman" w:eastAsia="Times New Roman" w:hAnsi="Times New Roman" w:cs="Times New Roman"/>
          <w:kern w:val="0"/>
          <w:sz w:val="28"/>
          <w:szCs w:val="28"/>
          <w:lang w:val="uk-UA"/>
          <w14:ligatures w14:val="none"/>
        </w:rPr>
        <w:t xml:space="preserve">норм та правил, які жорстко регулюють поведінку учасників спільноти», що сприймається як підстава «говорити про занадто високий рівень формалізації та інституціоналізації цієї сфери» </w:t>
      </w:r>
      <w:r w:rsidRPr="00B44B71">
        <w:rPr>
          <w:rFonts w:ascii="Times New Roman" w:eastAsia="Times New Roman" w:hAnsi="Times New Roman" w:cs="Times New Roman"/>
          <w:color w:val="000000"/>
          <w:kern w:val="0"/>
          <w:sz w:val="28"/>
          <w:szCs w:val="28"/>
          <w:lang w:val="uk-UA"/>
          <w14:ligatures w14:val="none"/>
        </w:rPr>
        <w:t>[7, с. 145]</w:t>
      </w:r>
      <w:r w:rsidRPr="00B44B71">
        <w:rPr>
          <w:rFonts w:ascii="Times New Roman" w:eastAsia="Times New Roman" w:hAnsi="Times New Roman" w:cs="Times New Roman"/>
          <w:kern w:val="0"/>
          <w:sz w:val="28"/>
          <w:szCs w:val="28"/>
          <w:lang w:val="uk-UA"/>
          <w14:ligatures w14:val="none"/>
        </w:rPr>
        <w:t>.</w:t>
      </w:r>
    </w:p>
    <w:p w14:paraId="679205F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r w:rsidRPr="00B44B71">
        <w:rPr>
          <w:rFonts w:ascii="Times New Roman" w:eastAsia="Times New Roman" w:hAnsi="Times New Roman" w:cs="Times New Roman"/>
          <w:color w:val="000000"/>
          <w:kern w:val="0"/>
          <w:sz w:val="28"/>
          <w:szCs w:val="28"/>
          <w:lang w:val="uk-UA"/>
          <w14:ligatures w14:val="none"/>
        </w:rPr>
        <w:t xml:space="preserve">Вітчизняні науковці визнають брак належної культури академічної доброчесності у здобувачів вищої освіти, на яку не впливають формальні процедури і санкції. «На жаль, постійне дотримання академічної доброчесності та рівень сучасної студентської академічної культури в Україні є досить низьким, </w:t>
      </w:r>
      <w:r w:rsidRPr="00B44B71">
        <w:rPr>
          <w:rFonts w:ascii="Times New Roman" w:eastAsia="Times New Roman" w:hAnsi="Times New Roman" w:cs="Times New Roman"/>
          <w:kern w:val="0"/>
          <w:sz w:val="28"/>
          <w:szCs w:val="28"/>
          <w:lang w:val="uk-UA"/>
          <w14:ligatures w14:val="none"/>
        </w:rPr>
        <w:t>–</w:t>
      </w:r>
      <w:r w:rsidRPr="00B44B71">
        <w:rPr>
          <w:rFonts w:ascii="Times New Roman" w:eastAsia="Times New Roman" w:hAnsi="Times New Roman" w:cs="Times New Roman"/>
          <w:color w:val="000000"/>
          <w:kern w:val="0"/>
          <w:sz w:val="28"/>
          <w:szCs w:val="28"/>
          <w:lang w:val="uk-UA"/>
          <w14:ligatures w14:val="none"/>
        </w:rPr>
        <w:t xml:space="preserve"> стверджують автори статті «Академічна доброчесність у вищих навчальних закладах у часи пандемії Covid-19: світовий досвід та українські реалії». </w:t>
      </w:r>
      <w:r w:rsidRPr="00B44B71">
        <w:rPr>
          <w:rFonts w:ascii="Times New Roman" w:eastAsia="Times New Roman" w:hAnsi="Times New Roman" w:cs="Times New Roman"/>
          <w:kern w:val="0"/>
          <w:sz w:val="28"/>
          <w:szCs w:val="28"/>
          <w:lang w:val="uk-UA"/>
          <w14:ligatures w14:val="none"/>
        </w:rPr>
        <w:t>–</w:t>
      </w:r>
      <w:r w:rsidRPr="00B44B71">
        <w:rPr>
          <w:rFonts w:ascii="Times New Roman" w:eastAsia="Times New Roman" w:hAnsi="Times New Roman" w:cs="Times New Roman"/>
          <w:color w:val="000000"/>
          <w:kern w:val="0"/>
          <w:sz w:val="28"/>
          <w:szCs w:val="28"/>
          <w:lang w:val="uk-UA"/>
          <w14:ligatures w14:val="none"/>
        </w:rPr>
        <w:t xml:space="preserve"> Прийняття кодексів дотримання академічної доброчесності у вищих навчальних закладах та встановлення академічної відповідальності за академічну нечесність на практиці не означає її виникнення» [</w:t>
      </w:r>
      <w:r w:rsidRPr="00B44B71">
        <w:rPr>
          <w:rFonts w:ascii="Times New Roman" w:eastAsia="Times New Roman" w:hAnsi="Times New Roman" w:cs="Times New Roman"/>
          <w:color w:val="000000"/>
          <w:kern w:val="0"/>
          <w:sz w:val="28"/>
          <w:szCs w:val="28"/>
          <w:lang w:val="uk-UA" w:eastAsia="uk-UA"/>
          <w14:ligatures w14:val="none"/>
        </w:rPr>
        <w:t>27, с. 9</w:t>
      </w:r>
      <w:r w:rsidRPr="00B44B71">
        <w:rPr>
          <w:rFonts w:ascii="Times New Roman" w:eastAsia="Times New Roman" w:hAnsi="Times New Roman" w:cs="Times New Roman"/>
          <w:color w:val="000000"/>
          <w:kern w:val="0"/>
          <w:sz w:val="28"/>
          <w:szCs w:val="28"/>
          <w:lang w:val="uk-UA"/>
          <w14:ligatures w14:val="none"/>
        </w:rPr>
        <w:t>]. Звідси пояснюється необхідність формування «нової політики академічної доброчесності та нової культури в університетах України, де відданість академічній доброчесності має стати фундаментально важливою…» [</w:t>
      </w:r>
      <w:r w:rsidRPr="00B44B71">
        <w:rPr>
          <w:rFonts w:ascii="Times New Roman" w:eastAsia="Times New Roman" w:hAnsi="Times New Roman" w:cs="Times New Roman"/>
          <w:color w:val="000000"/>
          <w:kern w:val="0"/>
          <w:sz w:val="28"/>
          <w:szCs w:val="28"/>
          <w:lang w:val="uk-UA" w:eastAsia="uk-UA"/>
          <w14:ligatures w14:val="none"/>
        </w:rPr>
        <w:t>27, с. 13</w:t>
      </w:r>
      <w:r w:rsidRPr="00B44B71">
        <w:rPr>
          <w:rFonts w:ascii="Times New Roman" w:eastAsia="Times New Roman" w:hAnsi="Times New Roman" w:cs="Times New Roman"/>
          <w:color w:val="000000"/>
          <w:kern w:val="0"/>
          <w:sz w:val="28"/>
          <w:szCs w:val="28"/>
          <w:lang w:val="uk-UA"/>
          <w14:ligatures w14:val="none"/>
        </w:rPr>
        <w:t xml:space="preserve">]. </w:t>
      </w:r>
    </w:p>
    <w:p w14:paraId="67FBE617"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14:ligatures w14:val="none"/>
        </w:rPr>
      </w:pPr>
      <w:r w:rsidRPr="00B44B71">
        <w:rPr>
          <w:rFonts w:ascii="Times New Roman" w:eastAsia="Times New Roman" w:hAnsi="Times New Roman" w:cs="Times New Roman"/>
          <w:color w:val="000000"/>
          <w:kern w:val="0"/>
          <w:sz w:val="28"/>
          <w:szCs w:val="28"/>
          <w:lang w:val="uk-UA"/>
          <w14:ligatures w14:val="none"/>
        </w:rPr>
        <w:t>Поділяємо скептичне ставлення сучасних дослідників до намагань спростити систему виховання академічної доброчесності, нівелювати її до засвоєння певної сукупності цінностей, етичних принципів і правил з метою уникнення порушень і санкцій. З урахуванням виявлених проблемних питань і недоліків потребують цілісного розкриття сутність академічної доброчесності, розроблення науково обґрунтовані шляхи і підходи до її виховання в умовах ВВНЗ.</w:t>
      </w:r>
    </w:p>
    <w:p w14:paraId="45B6E8E1"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b/>
          <w:bCs/>
          <w:color w:val="000000"/>
          <w:kern w:val="0"/>
          <w:sz w:val="28"/>
          <w:szCs w:val="28"/>
          <w:lang w:val="uk-UA"/>
          <w14:ligatures w14:val="none"/>
        </w:rPr>
        <w:t>Виклад основного матеріалу</w:t>
      </w:r>
      <w:r w:rsidRPr="00B44B71">
        <w:rPr>
          <w:rFonts w:ascii="Times New Roman" w:eastAsia="Times New Roman" w:hAnsi="Times New Roman" w:cs="Times New Roman"/>
          <w:color w:val="000000"/>
          <w:kern w:val="0"/>
          <w:sz w:val="28"/>
          <w:szCs w:val="28"/>
          <w:lang w:val="uk-UA"/>
          <w14:ligatures w14:val="none"/>
        </w:rPr>
        <w:t xml:space="preserve">. В обґрунтуванні оновленого тлумачення академічної доброчесності, культури володіння нею здобувачами вищої освіти спиралися на філософську теорію людиноцентризму (В. Кремень, В. Ільїн), концепцію «нового гуманізму» (А. Печчеї), вчення про аксіологічну основу людської діяльності, освіту як суспільне благо (М. Гартман, В. Крижко, М. Попович та ін.). Методологічного значення для нашого дослідження набуває думка про духовно-ціннісний вимір вищої освіти, необхідність свідомого та відповідального ставлення до її здобуття з боку всіх зацікавлених сторін. Звідси витлумачуємо </w:t>
      </w:r>
      <w:r w:rsidRPr="00B44B71">
        <w:rPr>
          <w:rFonts w:ascii="Times New Roman" w:eastAsia="Times New Roman" w:hAnsi="Times New Roman" w:cs="Times New Roman"/>
          <w:i/>
          <w:iCs/>
          <w:kern w:val="0"/>
          <w:sz w:val="28"/>
          <w:szCs w:val="28"/>
          <w:lang w:val="uk-UA"/>
          <w14:ligatures w14:val="none"/>
        </w:rPr>
        <w:t>академічну доброчесність</w:t>
      </w:r>
      <w:r w:rsidRPr="00B44B71">
        <w:rPr>
          <w:rFonts w:ascii="Times New Roman" w:eastAsia="Times New Roman" w:hAnsi="Times New Roman" w:cs="Times New Roman"/>
          <w:kern w:val="0"/>
          <w:sz w:val="28"/>
          <w:szCs w:val="28"/>
          <w:lang w:val="uk-UA"/>
          <w14:ligatures w14:val="none"/>
        </w:rPr>
        <w:t xml:space="preserve"> як морально-етичну властивість суб’єкта освітньо-наукового середовища (викладача, науковця, здобувача вищої освіти), що визначає його ціннісне ставлення до учіння, викладання й дослідження з метою досягнення та визнання значимих освітньо-наукових результатів, формування інституційної, державної та суспільної довіри до них. Отже, підґрунтям академічної доброчесності виступає аксіологічне ставлення до учіння, викладання й дослідження, що забезпечується сукупністю вагомих </w:t>
      </w:r>
      <w:r w:rsidRPr="00B44B71">
        <w:rPr>
          <w:rFonts w:ascii="Times New Roman" w:eastAsia="Times New Roman" w:hAnsi="Times New Roman" w:cs="Times New Roman"/>
          <w:kern w:val="0"/>
          <w:sz w:val="28"/>
          <w:szCs w:val="28"/>
          <w:lang w:val="uk-UA"/>
          <w14:ligatures w14:val="none"/>
        </w:rPr>
        <w:lastRenderedPageBreak/>
        <w:t>особистісних якостей: свідомістю, чесністю та принциповістю, відповідальністю та сумлінністю, об’єктивністю та неупередженістю, самостійністю (рис. 1).</w:t>
      </w:r>
    </w:p>
    <w:p w14:paraId="1510E87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Концептуальним для нашого дослідження є сприйняття академічної доброчесності не як сукупності безособових принципів і правил, не як поточного результату навчання (знання, уміння чи навички), а як фундаментальної морально-етичної якості особистості, виховання якої належить до провідних цілей інституційної системи забезпечення якості вищої освіти.</w:t>
      </w:r>
    </w:p>
    <w:p w14:paraId="44B3DAB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З позицій праксеологічного підходу до розв’язання порушеної проблеми доцільно, на нашу думку, розглядати основною метою вищої військової школи виховання у всіх причетних до організації освітнього процесу суб’єктів (керівників, викладачів, науковців і здобувачів) культури академічної доброчесності, яка має входити до ключових і професійних компетентностей як інваріативний діяльнісно-аксіологічний компонент.</w:t>
      </w:r>
    </w:p>
    <w:p w14:paraId="42D9F65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p>
    <w:p w14:paraId="3ECB73D7"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noProof/>
          <w:kern w:val="0"/>
          <w:sz w:val="28"/>
          <w:szCs w:val="28"/>
          <w:lang w:val="uk-UA"/>
          <w14:ligatures w14:val="none"/>
        </w:rPr>
      </w:pPr>
      <w:r w:rsidRPr="00B44B71">
        <w:rPr>
          <w:rFonts w:ascii="Calibri" w:eastAsia="Times New Roman" w:hAnsi="Calibri" w:cs="Times New Roman"/>
          <w:noProof/>
          <w:kern w:val="0"/>
          <w:lang w:val="uk-UA" w:eastAsia="uk-UA"/>
          <w14:ligatures w14:val="none"/>
        </w:rPr>
        <w:drawing>
          <wp:inline distT="0" distB="0" distL="0" distR="0" wp14:anchorId="4F1981EF" wp14:editId="209A8D96">
            <wp:extent cx="5886450" cy="34004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l="28059" t="36488" r="27246" b="16852"/>
                    <a:stretch>
                      <a:fillRect/>
                    </a:stretch>
                  </pic:blipFill>
                  <pic:spPr bwMode="auto">
                    <a:xfrm>
                      <a:off x="0" y="0"/>
                      <a:ext cx="5886450" cy="3400425"/>
                    </a:xfrm>
                    <a:prstGeom prst="rect">
                      <a:avLst/>
                    </a:prstGeom>
                    <a:noFill/>
                    <a:ln>
                      <a:noFill/>
                    </a:ln>
                  </pic:spPr>
                </pic:pic>
              </a:graphicData>
            </a:graphic>
          </wp:inline>
        </w:drawing>
      </w:r>
    </w:p>
    <w:p w14:paraId="1E27E6F5"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noProof/>
          <w:kern w:val="0"/>
          <w:sz w:val="28"/>
          <w:szCs w:val="28"/>
          <w:lang w:val="uk-UA"/>
          <w14:ligatures w14:val="none"/>
        </w:rPr>
      </w:pPr>
    </w:p>
    <w:p w14:paraId="7BD41566"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 xml:space="preserve">Рис. 1. Система особистісних якостей, що визначає ціннісне </w:t>
      </w:r>
      <w:r w:rsidRPr="00B44B71">
        <w:rPr>
          <w:rFonts w:ascii="Times New Roman" w:eastAsia="Times New Roman" w:hAnsi="Times New Roman" w:cs="Times New Roman"/>
          <w:kern w:val="0"/>
          <w:sz w:val="28"/>
          <w:szCs w:val="28"/>
          <w:lang w:val="uk-UA"/>
          <w14:ligatures w14:val="none"/>
        </w:rPr>
        <w:t xml:space="preserve">підґрунтя </w:t>
      </w:r>
      <w:r w:rsidRPr="00B44B71">
        <w:rPr>
          <w:rFonts w:ascii="Times New Roman" w:eastAsia="Times New Roman" w:hAnsi="Times New Roman" w:cs="Times New Roman"/>
          <w:noProof/>
          <w:kern w:val="0"/>
          <w:sz w:val="28"/>
          <w:szCs w:val="28"/>
          <w:lang w:val="uk-UA"/>
          <w14:ligatures w14:val="none"/>
        </w:rPr>
        <w:t>академічної доброчесності</w:t>
      </w:r>
    </w:p>
    <w:p w14:paraId="1245E67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p>
    <w:p w14:paraId="65E31C45"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 xml:space="preserve">У чинному Законі Україні «Про академічну доброчесність» вживається нове поняття «культура академічної доброчесності» та наголошується на тому, що «суб’єкти академічної діяльності зобов’язані формувати та утверджувати </w:t>
      </w:r>
      <w:bookmarkStart w:id="7" w:name="w1_1"/>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HYPERLINK "https://zakon.rada.gov.ua/laws/show/4742-20?find=1&amp;text=%D0%BA%D1%83%D0%BB%D1%8C%D1%82%D1%83%D1%80" \l "w1_2"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Pr="00B44B71">
        <w:rPr>
          <w:rFonts w:ascii="Times New Roman" w:eastAsia="Times New Roman" w:hAnsi="Times New Roman" w:cs="Times New Roman"/>
          <w:kern w:val="0"/>
          <w:sz w:val="28"/>
          <w:szCs w:val="28"/>
          <w:lang w:val="uk-UA"/>
          <w14:ligatures w14:val="none"/>
        </w:rPr>
        <w:t>культур</w:t>
      </w:r>
      <w:r w:rsidRPr="00B44B71">
        <w:rPr>
          <w:rFonts w:ascii="Times New Roman" w:eastAsia="Times New Roman" w:hAnsi="Times New Roman" w:cs="Times New Roman"/>
          <w:kern w:val="0"/>
          <w:sz w:val="28"/>
          <w:szCs w:val="28"/>
          <w:lang w:val="uk-UA"/>
          <w14:ligatures w14:val="none"/>
        </w:rPr>
        <w:fldChar w:fldCharType="end"/>
      </w:r>
      <w:bookmarkEnd w:id="7"/>
      <w:r w:rsidRPr="00B44B71">
        <w:rPr>
          <w:rFonts w:ascii="Times New Roman" w:eastAsia="Times New Roman" w:hAnsi="Times New Roman" w:cs="Times New Roman"/>
          <w:kern w:val="0"/>
          <w:sz w:val="28"/>
          <w:szCs w:val="28"/>
          <w:lang w:val="uk-UA"/>
          <w14:ligatures w14:val="none"/>
        </w:rPr>
        <w:t>у академічної доброчесності в їхніх академічних спільнотах, що ґрунтується на цінностях, принципах і правилах академічної доброчесності» [9]. Втім бракує чіткого визначення вжитої понятійної категорії, розуміння її місця і ролі у системі освітньо-професійної підготовки військових фахівців із вищою освітою.</w:t>
      </w:r>
    </w:p>
    <w:p w14:paraId="54C0648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lastRenderedPageBreak/>
        <w:t>Автори поодиноких наукових розвідок помилково розглядають культуру академічної доброчесності виключно в інституційному аспекті як «розвиток та популяризацію цінностей академічної культури та високих морально-етичних якостей» [14, с. 87], синтез академічної культури з навчальним простором [8, с. 33]. Спостерігаються окремі спроби представити академічну доброчесність як складову академічної культури [18, с. 346].</w:t>
      </w:r>
    </w:p>
    <w:p w14:paraId="73DE34C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Під культурою академічної доброчесності розуміємо аксіологічно-діяльнісну якість особистості, її поведінкову характеристику, що виявляється у ціннісному ставленні до виконання навчальних і дослідницьких завдань, демонструванні етичної поведінки в академічному середовищі. Складовими культури академічної доброчесності суб’єктів освітнього процесу ВВНЗ виступають такі особистісні новоутворення: духовні ідеали, морально-етичні переконання, академічні та військово-професійні цінності, добропорядне ставлення, доброчесні освітньо-наукові дії та вчинки. Оскільки набуття культури академічної доброчесності пов’язане із свідомим опануванням та подальшим практичним застосуванням академічних принципів і норм доброчесної поведінки, то потребує уточнення характер цього процесу, його приналежність до складових цілісного військово-педагогічного процесу.</w:t>
      </w:r>
    </w:p>
    <w:p w14:paraId="2E9AF7E1"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Навчити академічної доброчесності або забезпечити засвоєння культури доброчесної діяльності в академічному середовищі неможливо, що пояснюється духовно-ціннісним та поведінковим характером досліджуваного явища. Саме тому вважаємо науково обґрунтованим застосування виховного підходу до розв’язання порушеної проблеми.</w:t>
      </w:r>
    </w:p>
    <w:p w14:paraId="0A2440E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Виховання культури академічної доброчесності становить собою складний процес опанування морально-етичних норм і правил поведінки, що реалізується в єдності відповідних етапів, завдань, інструментарію та очікуваних результатів. Теоретичну модель системи виховання культури академічної доброчесності курсантів (слухачів) ВВНЗ відобразили у таблиці 1.</w:t>
      </w:r>
    </w:p>
    <w:p w14:paraId="2BDA2F9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 xml:space="preserve">Для забезпечення логічної послідовності та узгодженості виховних заходів, спрямованих на виховання у курсантів (слухачів) ВВНЗ культури академічної доброчесності, виокремили три етапи, кожен з яких підпорядкували вирішенню низки виховних завдань. Перший етап не випадково отримав назву «орієнтувально-просвітницький», оскільки його основне призначення полягає в діагностуванні аксіосфери здобувачів вищої освіти та проведенні цілеспрямованої просвітницької роботи з ними для мотивування свідомого пізнавального ставлення до доброчесної поведінки, поширення аксіологічних норм і правил такої поведінки в академічному середовищі. Вкрай важливо при цьому створити позитивне ставлення до академічної доброчесності як запоруки подальшого особистого успіху курсантів (слухачів), досягнення ними позитивних результатів у навчанні та дослідженні, які відзначатимуться належним рівнем якості та довіри з боку всіх зацікавлених сторін, зокрема замовника. Задля успішної реалізації сформульованих для орієнтувально-просвітницького етапу цілей виокремили сукупність методів виховання (виховна розповідь, виховна бесіда, виховний диспут, виховна гра, </w:t>
      </w:r>
      <w:r w:rsidRPr="00B44B71">
        <w:rPr>
          <w:rFonts w:ascii="Times New Roman" w:eastAsia="Times New Roman" w:hAnsi="Times New Roman" w:cs="Times New Roman"/>
          <w:kern w:val="0"/>
          <w:sz w:val="28"/>
          <w:szCs w:val="28"/>
          <w:lang w:val="uk-UA"/>
          <w14:ligatures w14:val="none"/>
        </w:rPr>
        <w:lastRenderedPageBreak/>
        <w:t>ілюстрування або демонстрування виховних ситуацій), кожен з яких забезпечує досягнення конкретних етапних результатів виховної взаємодії: знання аксіологічних норм і правил доброчесної поведінки, свідоме ставлення до їх застосування в академічному середовищі.</w:t>
      </w:r>
    </w:p>
    <w:p w14:paraId="6C616A2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Впродовж другого етапу необхідно актуалізувати ті особистісні морально-ціннісні орієнтири курсантів (слухачів), які було попередньо діагностовано, уточнено та поглиблено, з подальшим формуванням у здобувачів активного досвідного ставлення до реалізації аксіологічних норм і правил у власній діяльності (навчальній, науковій). Оскільки виховна робота пов’язана з опануванням курсантами (слухачами) ВВНЗ діяльнісно-аксіологічної якості, відпрацюванням особистої поведінкової характеристики, то підсумковим результатом виховної взаємодії на цьому етапі визначено набуття досвіду провадження навчальної, наукової діяльності з дотриманням аксіологічних норм і правил. Досягненню очікуваного результату підпорядковується узгоджений виховний інструментарій, що складається з таких методів виховання, як особистий приклад вихователів, привчання, створення виховних ситуацій на аксіологічну тематику, виховна вимога, виховні вправи.</w:t>
      </w:r>
    </w:p>
    <w:p w14:paraId="319A2DB9" w14:textId="77777777" w:rsid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p>
    <w:p w14:paraId="70317ADB" w14:textId="77777777" w:rsidR="00D179CD" w:rsidRPr="00B44B71" w:rsidRDefault="00D179CD"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sectPr w:rsidR="00D179CD" w:rsidRPr="00B44B71" w:rsidSect="00A908CF">
          <w:type w:val="continuous"/>
          <w:pgSz w:w="11906" w:h="16838"/>
          <w:pgMar w:top="1134" w:right="1134" w:bottom="1134" w:left="1134" w:header="709" w:footer="709" w:gutter="0"/>
          <w:cols w:space="708"/>
          <w:docGrid w:linePitch="360"/>
        </w:sectPr>
      </w:pPr>
    </w:p>
    <w:p w14:paraId="354321F7"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 xml:space="preserve">Таблиця 1 </w:t>
      </w:r>
    </w:p>
    <w:p w14:paraId="6B7AC4B0"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b/>
          <w:bCs/>
          <w:kern w:val="0"/>
          <w:sz w:val="28"/>
          <w:szCs w:val="28"/>
          <w:lang w:val="uk-UA"/>
          <w14:ligatures w14:val="none"/>
        </w:rPr>
      </w:pPr>
      <w:r w:rsidRPr="00B44B71">
        <w:rPr>
          <w:rFonts w:ascii="Times New Roman" w:eastAsia="Times New Roman" w:hAnsi="Times New Roman" w:cs="Times New Roman"/>
          <w:b/>
          <w:bCs/>
          <w:kern w:val="0"/>
          <w:sz w:val="28"/>
          <w:szCs w:val="28"/>
          <w:lang w:val="uk-UA"/>
          <w14:ligatures w14:val="none"/>
        </w:rPr>
        <w:t>Теоретична модель системи виховання культури академічної доброчесності курсантів (слухачів) ВВНЗ</w:t>
      </w:r>
    </w:p>
    <w:tbl>
      <w:tblPr>
        <w:tblStyle w:val="TableGrid"/>
        <w:tblpPr w:leftFromText="180" w:rightFromText="180" w:vertAnchor="text" w:tblpY="1"/>
        <w:tblOverlap w:val="never"/>
        <w:tblW w:w="0" w:type="auto"/>
        <w:tblLook w:val="04A0" w:firstRow="1" w:lastRow="0" w:firstColumn="1" w:lastColumn="0" w:noHBand="0" w:noVBand="1"/>
      </w:tblPr>
      <w:tblGrid>
        <w:gridCol w:w="1845"/>
        <w:gridCol w:w="3508"/>
        <w:gridCol w:w="2410"/>
        <w:gridCol w:w="2090"/>
      </w:tblGrid>
      <w:tr w:rsidR="00B44B71" w:rsidRPr="00B44B71" w14:paraId="29CBD5E5" w14:textId="77777777" w:rsidTr="00545909">
        <w:tc>
          <w:tcPr>
            <w:tcW w:w="1845" w:type="dxa"/>
          </w:tcPr>
          <w:p w14:paraId="5FD88A79" w14:textId="77777777" w:rsidR="00B44B71" w:rsidRPr="00B44B71" w:rsidRDefault="00B44B71" w:rsidP="00545909">
            <w:pPr>
              <w:tabs>
                <w:tab w:val="left" w:pos="9638"/>
              </w:tabs>
              <w:jc w:val="both"/>
              <w:rPr>
                <w:rFonts w:ascii="Times New Roman" w:hAnsi="Times New Roman"/>
                <w:sz w:val="24"/>
                <w:szCs w:val="24"/>
              </w:rPr>
            </w:pPr>
            <w:r w:rsidRPr="00B44B71">
              <w:rPr>
                <w:rFonts w:ascii="Times New Roman" w:hAnsi="Times New Roman"/>
                <w:sz w:val="24"/>
                <w:szCs w:val="24"/>
              </w:rPr>
              <w:t>Етапи виховної      роботи</w:t>
            </w:r>
          </w:p>
        </w:tc>
        <w:tc>
          <w:tcPr>
            <w:tcW w:w="3508" w:type="dxa"/>
          </w:tcPr>
          <w:p w14:paraId="11452B96" w14:textId="77777777" w:rsidR="00B44B71" w:rsidRPr="00B44B71" w:rsidRDefault="00B44B71" w:rsidP="00545909">
            <w:pPr>
              <w:tabs>
                <w:tab w:val="left" w:pos="9638"/>
              </w:tabs>
              <w:ind w:firstLine="709"/>
              <w:jc w:val="both"/>
              <w:rPr>
                <w:rFonts w:ascii="Times New Roman" w:hAnsi="Times New Roman"/>
                <w:sz w:val="24"/>
                <w:szCs w:val="24"/>
              </w:rPr>
            </w:pPr>
            <w:r w:rsidRPr="00B44B71">
              <w:rPr>
                <w:rFonts w:ascii="Times New Roman" w:hAnsi="Times New Roman"/>
                <w:sz w:val="24"/>
                <w:szCs w:val="24"/>
              </w:rPr>
              <w:t>Виховні завдання</w:t>
            </w:r>
          </w:p>
        </w:tc>
        <w:tc>
          <w:tcPr>
            <w:tcW w:w="2410" w:type="dxa"/>
          </w:tcPr>
          <w:p w14:paraId="25A5D4FD" w14:textId="77777777" w:rsidR="00B44B71" w:rsidRPr="00B44B71" w:rsidRDefault="00B44B71" w:rsidP="00545909">
            <w:pPr>
              <w:tabs>
                <w:tab w:val="left" w:pos="9638"/>
              </w:tabs>
              <w:jc w:val="both"/>
              <w:rPr>
                <w:rFonts w:ascii="Times New Roman" w:hAnsi="Times New Roman"/>
                <w:sz w:val="24"/>
                <w:szCs w:val="24"/>
              </w:rPr>
            </w:pPr>
            <w:r w:rsidRPr="00B44B71">
              <w:rPr>
                <w:rFonts w:ascii="Times New Roman" w:hAnsi="Times New Roman"/>
                <w:sz w:val="24"/>
                <w:szCs w:val="24"/>
              </w:rPr>
              <w:t>Методи виховання</w:t>
            </w:r>
          </w:p>
        </w:tc>
        <w:tc>
          <w:tcPr>
            <w:tcW w:w="2090" w:type="dxa"/>
          </w:tcPr>
          <w:p w14:paraId="65E8A9ED" w14:textId="77777777" w:rsidR="00B44B71" w:rsidRPr="00B44B71" w:rsidRDefault="00B44B71" w:rsidP="00545909">
            <w:pPr>
              <w:tabs>
                <w:tab w:val="left" w:pos="9638"/>
              </w:tabs>
              <w:jc w:val="both"/>
              <w:rPr>
                <w:rFonts w:ascii="Times New Roman" w:hAnsi="Times New Roman"/>
                <w:sz w:val="24"/>
                <w:szCs w:val="24"/>
              </w:rPr>
            </w:pPr>
            <w:r w:rsidRPr="00B44B71">
              <w:rPr>
                <w:rFonts w:ascii="Times New Roman" w:hAnsi="Times New Roman"/>
                <w:sz w:val="24"/>
                <w:szCs w:val="24"/>
              </w:rPr>
              <w:t>Очікувані результати</w:t>
            </w:r>
          </w:p>
        </w:tc>
      </w:tr>
      <w:tr w:rsidR="00B44B71" w:rsidRPr="00F25FCF" w14:paraId="748211FE" w14:textId="77777777" w:rsidTr="00545909">
        <w:tc>
          <w:tcPr>
            <w:tcW w:w="1845" w:type="dxa"/>
          </w:tcPr>
          <w:p w14:paraId="0BD98225" w14:textId="77777777" w:rsidR="00B44B71" w:rsidRPr="00B44B71" w:rsidRDefault="00B44B71" w:rsidP="00545909">
            <w:pPr>
              <w:tabs>
                <w:tab w:val="left" w:pos="9638"/>
              </w:tabs>
              <w:ind w:firstLine="709"/>
              <w:jc w:val="both"/>
              <w:rPr>
                <w:rFonts w:ascii="Times New Roman" w:hAnsi="Times New Roman"/>
                <w:sz w:val="24"/>
                <w:szCs w:val="24"/>
              </w:rPr>
            </w:pPr>
          </w:p>
          <w:p w14:paraId="326271A6" w14:textId="77777777" w:rsidR="00B44B71" w:rsidRPr="00B44B71" w:rsidRDefault="00B44B71" w:rsidP="00545909">
            <w:pPr>
              <w:tabs>
                <w:tab w:val="left" w:pos="9638"/>
              </w:tabs>
              <w:jc w:val="both"/>
              <w:rPr>
                <w:rFonts w:ascii="Times New Roman" w:hAnsi="Times New Roman"/>
                <w:sz w:val="24"/>
                <w:szCs w:val="24"/>
              </w:rPr>
            </w:pPr>
            <w:r w:rsidRPr="00B44B71">
              <w:rPr>
                <w:rFonts w:ascii="Times New Roman" w:hAnsi="Times New Roman"/>
                <w:sz w:val="24"/>
                <w:szCs w:val="24"/>
              </w:rPr>
              <w:t>Орієнтувально-просвітницький</w:t>
            </w:r>
          </w:p>
        </w:tc>
        <w:tc>
          <w:tcPr>
            <w:tcW w:w="3508" w:type="dxa"/>
          </w:tcPr>
          <w:p w14:paraId="05AECD97"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діагностування особистісних морально-ціннісних орієнтирів;</w:t>
            </w:r>
          </w:p>
          <w:p w14:paraId="1E11DCFE"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мотивування свідомого пізнавального ставлення до доброчесної поведінки;</w:t>
            </w:r>
          </w:p>
          <w:p w14:paraId="2E57CC86"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поширення аксіологічних норм і правил доброчесної поведінки в академічному середовищі</w:t>
            </w:r>
          </w:p>
        </w:tc>
        <w:tc>
          <w:tcPr>
            <w:tcW w:w="2410" w:type="dxa"/>
          </w:tcPr>
          <w:p w14:paraId="794DF8C2"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виховна розповідь;</w:t>
            </w:r>
          </w:p>
          <w:p w14:paraId="3F4D20A4"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виховна бесіда;</w:t>
            </w:r>
          </w:p>
          <w:p w14:paraId="0CE9F84A"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виховний диспут;</w:t>
            </w:r>
          </w:p>
          <w:p w14:paraId="06E6F804"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виховна гра;</w:t>
            </w:r>
          </w:p>
          <w:p w14:paraId="65C56FB7"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ілюстрування (демонстрування) виховних ситуацій</w:t>
            </w:r>
          </w:p>
        </w:tc>
        <w:tc>
          <w:tcPr>
            <w:tcW w:w="2090" w:type="dxa"/>
          </w:tcPr>
          <w:p w14:paraId="625BBD82" w14:textId="77777777" w:rsidR="00B44B71" w:rsidRPr="00B44B71" w:rsidRDefault="00B44B71" w:rsidP="00545909">
            <w:pPr>
              <w:tabs>
                <w:tab w:val="left" w:pos="9638"/>
              </w:tabs>
              <w:jc w:val="both"/>
              <w:rPr>
                <w:rFonts w:ascii="Times New Roman" w:hAnsi="Times New Roman"/>
                <w:sz w:val="24"/>
                <w:szCs w:val="24"/>
              </w:rPr>
            </w:pPr>
            <w:r w:rsidRPr="00B44B71">
              <w:rPr>
                <w:rFonts w:ascii="Times New Roman" w:hAnsi="Times New Roman"/>
                <w:sz w:val="24"/>
                <w:szCs w:val="24"/>
              </w:rPr>
              <w:t>знання аксіологічних норм і правил доброчесної поведінки, свідоме ставлення до їх застосування в академічному середовищі</w:t>
            </w:r>
          </w:p>
        </w:tc>
      </w:tr>
      <w:tr w:rsidR="00B44B71" w:rsidRPr="00F25FCF" w14:paraId="49DD6EA5" w14:textId="77777777" w:rsidTr="00545909">
        <w:tc>
          <w:tcPr>
            <w:tcW w:w="1845" w:type="dxa"/>
          </w:tcPr>
          <w:p w14:paraId="3CF94173" w14:textId="77777777" w:rsidR="00B44B71" w:rsidRPr="00B44B71" w:rsidRDefault="00B44B71" w:rsidP="00545909">
            <w:pPr>
              <w:tabs>
                <w:tab w:val="left" w:pos="9638"/>
              </w:tabs>
              <w:jc w:val="both"/>
              <w:rPr>
                <w:rFonts w:ascii="Times New Roman" w:hAnsi="Times New Roman"/>
                <w:sz w:val="24"/>
                <w:szCs w:val="24"/>
              </w:rPr>
            </w:pPr>
            <w:r w:rsidRPr="00B44B71">
              <w:rPr>
                <w:rFonts w:ascii="Times New Roman" w:hAnsi="Times New Roman"/>
                <w:sz w:val="24"/>
                <w:szCs w:val="24"/>
              </w:rPr>
              <w:t>Практично-досвідний</w:t>
            </w:r>
          </w:p>
        </w:tc>
        <w:tc>
          <w:tcPr>
            <w:tcW w:w="3508" w:type="dxa"/>
          </w:tcPr>
          <w:p w14:paraId="41509C23" w14:textId="77777777" w:rsidR="00B44B71" w:rsidRPr="00B44B71" w:rsidRDefault="00B44B71" w:rsidP="00545909">
            <w:pPr>
              <w:tabs>
                <w:tab w:val="left" w:pos="9638"/>
              </w:tabs>
              <w:contextualSpacing/>
              <w:jc w:val="both"/>
              <w:rPr>
                <w:rFonts w:ascii="Times New Roman" w:hAnsi="Times New Roman"/>
                <w:sz w:val="24"/>
                <w:szCs w:val="24"/>
              </w:rPr>
            </w:pPr>
            <w:r w:rsidRPr="00B44B71">
              <w:rPr>
                <w:rFonts w:ascii="Times New Roman" w:hAnsi="Times New Roman"/>
                <w:sz w:val="24"/>
                <w:szCs w:val="24"/>
              </w:rPr>
              <w:t>актуалізація морально-ціннісних орієнтирів курсантів (слухачів);</w:t>
            </w:r>
          </w:p>
          <w:p w14:paraId="4C82CFDE"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формування активного досвідного ставлення до реалізації аксіологічних норм і правил у власній діяльності (навчальній, науковій)</w:t>
            </w:r>
          </w:p>
        </w:tc>
        <w:tc>
          <w:tcPr>
            <w:tcW w:w="2410" w:type="dxa"/>
          </w:tcPr>
          <w:p w14:paraId="516D59BB"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особистий приклад вихователів;</w:t>
            </w:r>
          </w:p>
          <w:p w14:paraId="6B182BDB"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привчання;</w:t>
            </w:r>
          </w:p>
          <w:p w14:paraId="195750FE"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створення виховних ситуацій на аксіологічну тематику;</w:t>
            </w:r>
          </w:p>
          <w:p w14:paraId="45CAF16C"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виховна вимога;</w:t>
            </w:r>
          </w:p>
          <w:p w14:paraId="159C8B36"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виховні вправи</w:t>
            </w:r>
          </w:p>
        </w:tc>
        <w:tc>
          <w:tcPr>
            <w:tcW w:w="2090" w:type="dxa"/>
          </w:tcPr>
          <w:p w14:paraId="31955B54" w14:textId="77777777" w:rsidR="00B44B71" w:rsidRPr="00B44B71" w:rsidRDefault="00B44B71" w:rsidP="00545909">
            <w:pPr>
              <w:tabs>
                <w:tab w:val="left" w:pos="9638"/>
              </w:tabs>
              <w:jc w:val="both"/>
              <w:rPr>
                <w:rFonts w:ascii="Times New Roman" w:hAnsi="Times New Roman"/>
                <w:sz w:val="24"/>
                <w:szCs w:val="24"/>
              </w:rPr>
            </w:pPr>
            <w:r w:rsidRPr="00B44B71">
              <w:rPr>
                <w:rFonts w:ascii="Times New Roman" w:hAnsi="Times New Roman"/>
                <w:sz w:val="24"/>
                <w:szCs w:val="24"/>
              </w:rPr>
              <w:t>досвід провадження навчальної і наукової діяльності з дотриманням аксіологічних норм і правил</w:t>
            </w:r>
          </w:p>
        </w:tc>
      </w:tr>
      <w:tr w:rsidR="00B44B71" w:rsidRPr="00F25FCF" w14:paraId="26DE92F3" w14:textId="77777777" w:rsidTr="00545909">
        <w:tc>
          <w:tcPr>
            <w:tcW w:w="1845" w:type="dxa"/>
          </w:tcPr>
          <w:p w14:paraId="4EEA9492" w14:textId="77777777" w:rsidR="00B44B71" w:rsidRPr="00B44B71" w:rsidRDefault="00B44B71" w:rsidP="00545909">
            <w:pPr>
              <w:tabs>
                <w:tab w:val="left" w:pos="9638"/>
              </w:tabs>
              <w:jc w:val="both"/>
              <w:rPr>
                <w:rFonts w:ascii="Times New Roman" w:hAnsi="Times New Roman"/>
                <w:sz w:val="24"/>
                <w:szCs w:val="24"/>
              </w:rPr>
            </w:pPr>
            <w:r w:rsidRPr="00B44B71">
              <w:rPr>
                <w:rFonts w:ascii="Times New Roman" w:hAnsi="Times New Roman"/>
                <w:sz w:val="24"/>
                <w:szCs w:val="24"/>
              </w:rPr>
              <w:t>Контрольно-рефлексивний</w:t>
            </w:r>
          </w:p>
        </w:tc>
        <w:tc>
          <w:tcPr>
            <w:tcW w:w="3508" w:type="dxa"/>
          </w:tcPr>
          <w:p w14:paraId="18527CB5"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активне спостереження за дотриманням аксіологічних норм і правил доброчесної поведінки в академічному середовищі;</w:t>
            </w:r>
          </w:p>
          <w:p w14:paraId="2F86F329"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lastRenderedPageBreak/>
              <w:t>контроль і самоконтроль відповідності навчальної, наукової діяльності критеріям і нормам академічної доброчесності;</w:t>
            </w:r>
          </w:p>
          <w:p w14:paraId="672B49B4"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стимулювання доброчесного виконання навчальних і науково-дослідницьких завдань;</w:t>
            </w:r>
          </w:p>
          <w:p w14:paraId="02B7681E"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осмислення перспектив подальшої доброчесної поведінки в академічному середовищі, профілактика проявів академічної недоброчесності і толерантного ставлення до них</w:t>
            </w:r>
          </w:p>
        </w:tc>
        <w:tc>
          <w:tcPr>
            <w:tcW w:w="2410" w:type="dxa"/>
          </w:tcPr>
          <w:p w14:paraId="512205B0"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lastRenderedPageBreak/>
              <w:t>педагогічне спостереження;</w:t>
            </w:r>
          </w:p>
          <w:p w14:paraId="21411306"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виховна бесіда;</w:t>
            </w:r>
          </w:p>
          <w:p w14:paraId="58838EBE"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опитування;</w:t>
            </w:r>
          </w:p>
          <w:p w14:paraId="4A07E664"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 xml:space="preserve">контроль і </w:t>
            </w:r>
            <w:r w:rsidRPr="00B44B71">
              <w:rPr>
                <w:rFonts w:ascii="Times New Roman" w:hAnsi="Times New Roman"/>
                <w:sz w:val="24"/>
                <w:szCs w:val="24"/>
                <w:lang w:val="ru-RU"/>
              </w:rPr>
              <w:lastRenderedPageBreak/>
              <w:t>самоконтроль результатів навчальної і наукової діяльності, аналіз їх відповідності принципам академічної доброчесності;</w:t>
            </w:r>
          </w:p>
          <w:p w14:paraId="2C1E5C3A"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заохочення прихильності курсантів (слухачів) до принципів академічної доброчесності;</w:t>
            </w:r>
          </w:p>
          <w:p w14:paraId="23C4E501" w14:textId="77777777" w:rsidR="00B44B71" w:rsidRPr="00B44B71" w:rsidRDefault="00B44B71" w:rsidP="00545909">
            <w:pPr>
              <w:tabs>
                <w:tab w:val="left" w:pos="9638"/>
              </w:tabs>
              <w:contextualSpacing/>
              <w:jc w:val="both"/>
              <w:rPr>
                <w:rFonts w:ascii="Times New Roman" w:hAnsi="Times New Roman"/>
                <w:sz w:val="24"/>
                <w:szCs w:val="24"/>
                <w:lang w:val="ru-RU"/>
              </w:rPr>
            </w:pPr>
            <w:r w:rsidRPr="00B44B71">
              <w:rPr>
                <w:rFonts w:ascii="Times New Roman" w:hAnsi="Times New Roman"/>
                <w:sz w:val="24"/>
                <w:szCs w:val="24"/>
                <w:lang w:val="ru-RU"/>
              </w:rPr>
              <w:t>рефлексія щодо результатів доброчесної поведінки в академічному середовищі</w:t>
            </w:r>
          </w:p>
        </w:tc>
        <w:tc>
          <w:tcPr>
            <w:tcW w:w="2090" w:type="dxa"/>
          </w:tcPr>
          <w:p w14:paraId="53921939" w14:textId="77777777" w:rsidR="00B44B71" w:rsidRPr="00B44B71" w:rsidRDefault="00B44B71" w:rsidP="00545909">
            <w:pPr>
              <w:tabs>
                <w:tab w:val="left" w:pos="9638"/>
              </w:tabs>
              <w:jc w:val="both"/>
              <w:rPr>
                <w:rFonts w:ascii="Times New Roman" w:hAnsi="Times New Roman"/>
                <w:sz w:val="24"/>
                <w:szCs w:val="24"/>
              </w:rPr>
            </w:pPr>
            <w:r w:rsidRPr="00B44B71">
              <w:rPr>
                <w:rFonts w:ascii="Times New Roman" w:hAnsi="Times New Roman"/>
                <w:sz w:val="24"/>
                <w:szCs w:val="24"/>
              </w:rPr>
              <w:lastRenderedPageBreak/>
              <w:t xml:space="preserve">культура академічної доброчесності, здатність свідомо дотримуватись </w:t>
            </w:r>
            <w:r w:rsidRPr="00B44B71">
              <w:rPr>
                <w:rFonts w:ascii="Times New Roman" w:hAnsi="Times New Roman"/>
                <w:sz w:val="24"/>
                <w:szCs w:val="24"/>
              </w:rPr>
              <w:lastRenderedPageBreak/>
              <w:t>норм і правил доброчесної поведінки в академічному середовищі; відсутність толерантного ставлення до проявів академічної недоброчесності</w:t>
            </w:r>
          </w:p>
        </w:tc>
      </w:tr>
    </w:tbl>
    <w:p w14:paraId="43B835B1" w14:textId="5C2D0B02" w:rsidR="00B44B71" w:rsidRPr="00B44B71" w:rsidRDefault="00545909"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Pr>
          <w:rFonts w:ascii="Times New Roman" w:eastAsia="Times New Roman" w:hAnsi="Times New Roman" w:cs="Times New Roman"/>
          <w:kern w:val="0"/>
          <w:sz w:val="28"/>
          <w:szCs w:val="28"/>
          <w:lang w:val="uk-UA"/>
          <w14:ligatures w14:val="none"/>
        </w:rPr>
        <w:br w:type="textWrapping" w:clear="all"/>
      </w:r>
    </w:p>
    <w:p w14:paraId="0CF090B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На заключному контрольно-рефлексивному етапі вкрай важливо закріпити позитивне ставлення курсантів (слухачів) до доброчесної поведінки в освітньому процесі ВВНЗ, виконати завдання, які допоможуть визначити та осмислити власні виховні здобутки, з яких провідного значення набувають культура академічної доброчесності, здатність свідомо дотримуватись норм і правил доброчесної поведінки в академічному середовищі; відсутність толерантного ставлення до проявів академічної недоброчесності. Окрему увагу при цьому слід приділити урізноманітненню виховного інструментарію, використанню низки узгоджених і взаємопов’язаних методів виховання, а саме: педагогічного спостереження, виховної бесіди, опитування, контролю та самоконтролю результатів навчальної і наукової діяльності, аналізу їх відповідності принципам академічної доброчесності; заохоченню прихильності курсантів (слухачів) до принципів академічної доброчесності; рефлексії щодо результатів доброчесної поведінки в академічному середовищі.</w:t>
      </w:r>
    </w:p>
    <w:p w14:paraId="03ED301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Успішна практична реалізація спроектованої теоретичної моделі залежить від дотримання психолого-педагогічних умов виховання культури академічної доброчесності курсантів (слухачів) ВВНЗ, які виконують функцію каталізаторів, впливають на якість освітнього процесу, сприяють досягненню здобувачами програмних результатів навчання та їх подальшому визнанню.</w:t>
      </w:r>
    </w:p>
    <w:p w14:paraId="3D5A101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До об’єктивних психолого-педагогічних умов виховання культури академічної доброчесності курсантів (слухачів) ВВНЗ відносимо такі:</w:t>
      </w:r>
    </w:p>
    <w:p w14:paraId="4327E4E6" w14:textId="77777777" w:rsidR="00B44B71" w:rsidRPr="00B44B71" w:rsidRDefault="00B44B71" w:rsidP="00023291">
      <w:pPr>
        <w:tabs>
          <w:tab w:val="left" w:pos="9638"/>
        </w:tabs>
        <w:spacing w:after="0" w:line="240" w:lineRule="auto"/>
        <w:ind w:firstLine="709"/>
        <w:contextualSpacing/>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lastRenderedPageBreak/>
        <w:t>1. Сприятливий психологічний клімат і конструктивні міжособистісні відносини, налаштованість суб’єктів виховної взаємодії на дотримання корпоративної етики та принципів академічної доброчесності.</w:t>
      </w:r>
    </w:p>
    <w:p w14:paraId="6C851B47" w14:textId="77777777" w:rsidR="00B44B71" w:rsidRPr="00B44B71" w:rsidRDefault="00B44B71" w:rsidP="00023291">
      <w:pPr>
        <w:tabs>
          <w:tab w:val="left" w:pos="9638"/>
        </w:tabs>
        <w:spacing w:after="0" w:line="240" w:lineRule="auto"/>
        <w:ind w:firstLine="709"/>
        <w:contextualSpacing/>
        <w:jc w:val="both"/>
        <w:rPr>
          <w:rFonts w:ascii="Times New Roman" w:eastAsia="Times New Roman" w:hAnsi="Times New Roman" w:cs="Times New Roman"/>
          <w:kern w:val="0"/>
          <w:sz w:val="28"/>
          <w:szCs w:val="28"/>
          <w:lang w:val="ru-RU"/>
          <w14:ligatures w14:val="none"/>
        </w:rPr>
      </w:pPr>
      <w:r w:rsidRPr="00B44B71">
        <w:rPr>
          <w:rFonts w:ascii="Times New Roman" w:eastAsia="Times New Roman" w:hAnsi="Times New Roman" w:cs="Times New Roman"/>
          <w:kern w:val="0"/>
          <w:sz w:val="28"/>
          <w:szCs w:val="28"/>
          <w:lang w:val="ru-RU"/>
          <w14:ligatures w14:val="none"/>
        </w:rPr>
        <w:t>2. Продуманість, виваженість у плануванні та організації освітнього процесу, уникнення перевантаження в навчальній і науковій діяльності.</w:t>
      </w:r>
    </w:p>
    <w:p w14:paraId="497456D2" w14:textId="77777777" w:rsidR="00B44B71" w:rsidRPr="00B44B71" w:rsidRDefault="00B44B71" w:rsidP="00023291">
      <w:pPr>
        <w:tabs>
          <w:tab w:val="left" w:pos="9638"/>
        </w:tabs>
        <w:spacing w:after="0" w:line="240" w:lineRule="auto"/>
        <w:ind w:firstLine="709"/>
        <w:contextualSpacing/>
        <w:jc w:val="both"/>
        <w:rPr>
          <w:rFonts w:ascii="Times New Roman" w:eastAsia="Times New Roman" w:hAnsi="Times New Roman" w:cs="Times New Roman"/>
          <w:kern w:val="0"/>
          <w:sz w:val="28"/>
          <w:szCs w:val="28"/>
          <w:lang w:val="ru-RU"/>
          <w14:ligatures w14:val="none"/>
        </w:rPr>
      </w:pPr>
      <w:r w:rsidRPr="00B44B71">
        <w:rPr>
          <w:rFonts w:ascii="Times New Roman" w:eastAsia="Times New Roman" w:hAnsi="Times New Roman" w:cs="Times New Roman"/>
          <w:kern w:val="0"/>
          <w:sz w:val="28"/>
          <w:szCs w:val="28"/>
          <w:lang w:val="ru-RU"/>
          <w14:ligatures w14:val="none"/>
        </w:rPr>
        <w:t>3. Відкритість, прозорість і колегіальність процедур контролю за дотриманням принципів академічної доброчесності.</w:t>
      </w:r>
    </w:p>
    <w:p w14:paraId="0F33A303" w14:textId="77777777" w:rsidR="00B44B71" w:rsidRPr="00B44B71" w:rsidRDefault="00B44B71" w:rsidP="00023291">
      <w:pPr>
        <w:tabs>
          <w:tab w:val="left" w:pos="9638"/>
        </w:tabs>
        <w:spacing w:after="0" w:line="240" w:lineRule="auto"/>
        <w:ind w:firstLine="709"/>
        <w:contextualSpacing/>
        <w:jc w:val="both"/>
        <w:rPr>
          <w:rFonts w:ascii="Times New Roman" w:eastAsia="Times New Roman" w:hAnsi="Times New Roman" w:cs="Times New Roman"/>
          <w:kern w:val="0"/>
          <w:sz w:val="28"/>
          <w:szCs w:val="28"/>
          <w:lang w:val="ru-RU"/>
          <w14:ligatures w14:val="none"/>
        </w:rPr>
      </w:pPr>
      <w:r w:rsidRPr="00B44B71">
        <w:rPr>
          <w:rFonts w:ascii="Times New Roman" w:eastAsia="Times New Roman" w:hAnsi="Times New Roman" w:cs="Times New Roman"/>
          <w:kern w:val="0"/>
          <w:sz w:val="28"/>
          <w:szCs w:val="28"/>
          <w:lang w:val="ru-RU"/>
          <w14:ligatures w14:val="none"/>
        </w:rPr>
        <w:t>4. Об’єктивність і неупередженість в оцінюванні академічної доброчесності суб’єктів освітнього процесу.</w:t>
      </w:r>
    </w:p>
    <w:p w14:paraId="4B017312" w14:textId="77777777" w:rsidR="00B44B71" w:rsidRPr="00B44B71" w:rsidRDefault="00B44B71" w:rsidP="00023291">
      <w:pPr>
        <w:tabs>
          <w:tab w:val="left" w:pos="9638"/>
        </w:tabs>
        <w:spacing w:after="0" w:line="240" w:lineRule="auto"/>
        <w:ind w:firstLine="709"/>
        <w:contextualSpacing/>
        <w:jc w:val="both"/>
        <w:rPr>
          <w:rFonts w:ascii="Times New Roman" w:eastAsia="Times New Roman" w:hAnsi="Times New Roman" w:cs="Times New Roman"/>
          <w:kern w:val="0"/>
          <w:sz w:val="28"/>
          <w:szCs w:val="28"/>
          <w:lang w:val="ru-RU"/>
          <w14:ligatures w14:val="none"/>
        </w:rPr>
      </w:pPr>
      <w:r w:rsidRPr="00B44B71">
        <w:rPr>
          <w:rFonts w:ascii="Times New Roman" w:eastAsia="Times New Roman" w:hAnsi="Times New Roman" w:cs="Times New Roman"/>
          <w:kern w:val="0"/>
          <w:sz w:val="28"/>
          <w:szCs w:val="28"/>
          <w:lang w:val="ru-RU"/>
          <w14:ligatures w14:val="none"/>
        </w:rPr>
        <w:t>5. Належне заохочення доброчесної поведінки всіх стейкхолдерів, врахування культури академічної доброчесності в інституційних процедурах визнання результатів освітньо-професійної підготовки курсантів (слухачів).</w:t>
      </w:r>
    </w:p>
    <w:p w14:paraId="11A8503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Суб’єктивними психолого-педагогічними умовами виховання культури академічної доброчесності курсантів (слухачів) ВВНЗ виступають такі:</w:t>
      </w:r>
    </w:p>
    <w:p w14:paraId="011AC759" w14:textId="77777777" w:rsidR="00B44B71" w:rsidRPr="00B44B71" w:rsidRDefault="00B44B71" w:rsidP="00023291">
      <w:pPr>
        <w:tabs>
          <w:tab w:val="left" w:pos="9638"/>
        </w:tabs>
        <w:spacing w:after="0" w:line="240" w:lineRule="auto"/>
        <w:ind w:firstLine="709"/>
        <w:contextualSpacing/>
        <w:jc w:val="both"/>
        <w:rPr>
          <w:rFonts w:ascii="Times New Roman" w:eastAsia="Times New Roman" w:hAnsi="Times New Roman" w:cs="Times New Roman"/>
          <w:kern w:val="0"/>
          <w:sz w:val="28"/>
          <w:szCs w:val="28"/>
          <w:lang w:val="ru-RU"/>
          <w14:ligatures w14:val="none"/>
        </w:rPr>
      </w:pPr>
      <w:r w:rsidRPr="00B44B71">
        <w:rPr>
          <w:rFonts w:ascii="Times New Roman" w:eastAsia="Times New Roman" w:hAnsi="Times New Roman" w:cs="Times New Roman"/>
          <w:kern w:val="0"/>
          <w:sz w:val="28"/>
          <w:szCs w:val="28"/>
          <w:lang w:val="ru-RU"/>
          <w14:ligatures w14:val="none"/>
        </w:rPr>
        <w:t>1. Свідоме ставлення до дотримання принципів академічної доброчесності.</w:t>
      </w:r>
    </w:p>
    <w:p w14:paraId="7B5E419F" w14:textId="77777777" w:rsidR="00B44B71" w:rsidRPr="00B44B71" w:rsidRDefault="00B44B71" w:rsidP="00023291">
      <w:pPr>
        <w:tabs>
          <w:tab w:val="left" w:pos="9638"/>
        </w:tabs>
        <w:spacing w:after="0" w:line="240" w:lineRule="auto"/>
        <w:ind w:firstLine="709"/>
        <w:contextualSpacing/>
        <w:jc w:val="both"/>
        <w:rPr>
          <w:rFonts w:ascii="Times New Roman" w:eastAsia="Times New Roman" w:hAnsi="Times New Roman" w:cs="Times New Roman"/>
          <w:kern w:val="0"/>
          <w:sz w:val="28"/>
          <w:szCs w:val="28"/>
          <w:lang w:val="ru-RU"/>
          <w14:ligatures w14:val="none"/>
        </w:rPr>
      </w:pPr>
      <w:r w:rsidRPr="00B44B71">
        <w:rPr>
          <w:rFonts w:ascii="Times New Roman" w:eastAsia="Times New Roman" w:hAnsi="Times New Roman" w:cs="Times New Roman"/>
          <w:kern w:val="0"/>
          <w:sz w:val="28"/>
          <w:szCs w:val="28"/>
          <w:lang w:val="ru-RU"/>
          <w14:ligatures w14:val="none"/>
        </w:rPr>
        <w:t>2. Нульова толерантність до проявів академічної недоброчесності.</w:t>
      </w:r>
    </w:p>
    <w:p w14:paraId="6A087BFA" w14:textId="77777777" w:rsidR="00B44B71" w:rsidRPr="00B44B71" w:rsidRDefault="00B44B71" w:rsidP="00023291">
      <w:pPr>
        <w:tabs>
          <w:tab w:val="left" w:pos="9638"/>
        </w:tabs>
        <w:spacing w:after="0" w:line="240" w:lineRule="auto"/>
        <w:ind w:firstLine="709"/>
        <w:contextualSpacing/>
        <w:jc w:val="both"/>
        <w:rPr>
          <w:rFonts w:ascii="Times New Roman" w:eastAsia="Times New Roman" w:hAnsi="Times New Roman" w:cs="Times New Roman"/>
          <w:kern w:val="0"/>
          <w:sz w:val="28"/>
          <w:szCs w:val="28"/>
          <w:lang w:val="ru-RU"/>
          <w14:ligatures w14:val="none"/>
        </w:rPr>
      </w:pPr>
      <w:r w:rsidRPr="00B44B71">
        <w:rPr>
          <w:rFonts w:ascii="Times New Roman" w:eastAsia="Times New Roman" w:hAnsi="Times New Roman" w:cs="Times New Roman"/>
          <w:kern w:val="0"/>
          <w:sz w:val="28"/>
          <w:szCs w:val="28"/>
          <w:lang w:val="ru-RU"/>
          <w14:ligatures w14:val="none"/>
        </w:rPr>
        <w:t>3. Персональна відповідальність суб’єктів виховної взаємодії щодо дотримання принципів академічної доброчесності.</w:t>
      </w:r>
    </w:p>
    <w:p w14:paraId="62891DE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b/>
          <w:bCs/>
          <w:color w:val="000000"/>
          <w:kern w:val="0"/>
          <w:sz w:val="28"/>
          <w:szCs w:val="28"/>
          <w:lang w:val="uk-UA"/>
          <w14:ligatures w14:val="none"/>
        </w:rPr>
      </w:pPr>
      <w:r w:rsidRPr="00B44B71">
        <w:rPr>
          <w:rFonts w:ascii="Times New Roman" w:eastAsia="Times New Roman" w:hAnsi="Times New Roman" w:cs="Times New Roman"/>
          <w:b/>
          <w:bCs/>
          <w:color w:val="000000"/>
          <w:kern w:val="0"/>
          <w:sz w:val="28"/>
          <w:szCs w:val="28"/>
          <w:lang w:val="uk-UA"/>
          <w14:ligatures w14:val="none"/>
        </w:rPr>
        <w:t xml:space="preserve">Висновки і перспективи подальших досліджень. </w:t>
      </w:r>
      <w:r w:rsidRPr="00B44B71">
        <w:rPr>
          <w:rFonts w:ascii="Times New Roman" w:eastAsia="Times New Roman" w:hAnsi="Times New Roman" w:cs="Times New Roman"/>
          <w:kern w:val="0"/>
          <w:sz w:val="28"/>
          <w:szCs w:val="28"/>
          <w:lang w:val="uk-UA"/>
          <w14:ligatures w14:val="none"/>
        </w:rPr>
        <w:t>На підставі вищевикладеного довели актуальність порушеної теми для подальшого вдосконалення механізмів внутрішнього забезпечення якості вищої освіти у ВВНЗ, отримали підстави для таких висновків:</w:t>
      </w:r>
    </w:p>
    <w:p w14:paraId="414E13D2" w14:textId="77777777" w:rsidR="00B44B71" w:rsidRPr="00B44B71" w:rsidRDefault="00B44B71" w:rsidP="00023291">
      <w:pPr>
        <w:tabs>
          <w:tab w:val="left" w:pos="9638"/>
        </w:tabs>
        <w:spacing w:after="0" w:line="240" w:lineRule="auto"/>
        <w:ind w:firstLine="709"/>
        <w:contextualSpacing/>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1. Академічна доброчесність належить до найвагоміших особистісних якостей і чеснот, що відзначається морально-ціннісним характером і спрямуванням, потребує свідомого та відповідального ставлення до її набуття у процесі освітньо-професійної підготовки військових фахівців з вищою освітою.</w:t>
      </w:r>
    </w:p>
    <w:p w14:paraId="6B5B2964" w14:textId="77777777" w:rsidR="00B44B71" w:rsidRPr="00B44B71" w:rsidRDefault="00B44B71" w:rsidP="00023291">
      <w:pPr>
        <w:tabs>
          <w:tab w:val="left" w:pos="9638"/>
        </w:tabs>
        <w:spacing w:after="0" w:line="240" w:lineRule="auto"/>
        <w:ind w:firstLine="709"/>
        <w:contextualSpacing/>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2. Оскільки культура академічної доброчесності як діяльнісно-аксіологічна якість та поведінкова характеристика здобувачів вищої освіти виявляється у їхньому ставленні до виконання навчальних і дослідницьких завдань, особливостях поведінки в академічному середовищі, то її набуття має ґрунтуватися на морально-етичному підході, охоплювати такі особистісні новоутворення, як духовні ідеали, морально-етичні переконання, академічні та військово-професійні цінності, добропорядне ставлення, доброчесні освітньо-наукові дії та вчинки.</w:t>
      </w:r>
    </w:p>
    <w:p w14:paraId="234FD3D2" w14:textId="77777777" w:rsidR="00B44B71" w:rsidRPr="00B44B71" w:rsidRDefault="00B44B71" w:rsidP="00023291">
      <w:pPr>
        <w:tabs>
          <w:tab w:val="left" w:pos="9638"/>
        </w:tabs>
        <w:spacing w:after="0" w:line="240" w:lineRule="auto"/>
        <w:ind w:firstLine="709"/>
        <w:contextualSpacing/>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 xml:space="preserve">3. Успішність набуття курсантами (слухачами) ВВНЗ культури академічної доброчесності залежить від системного її виховання, що забезпечується пропонованою теоретичною моделлю, дотриманням виокремлених психолого-педагогічних умов. </w:t>
      </w:r>
    </w:p>
    <w:p w14:paraId="40F65569" w14:textId="39B391F5" w:rsidR="00422A49" w:rsidRPr="00545909" w:rsidRDefault="00B44B71" w:rsidP="00545909">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Перспективи подальшого розроблення порушеної проблеми вбачаємо у з’ясуванні місця і ролі академічної доброчесності в системі ціннісних ідеалів здобувачів вищої освіти; у розкритті впливу національного виховного ідеалу, університетських традицій на виховання культури академічної доброчесності курсантів (слухачів) військових вишів.</w:t>
      </w:r>
    </w:p>
    <w:p w14:paraId="56798E26" w14:textId="77777777" w:rsidR="00B44B71" w:rsidRPr="00955F7A" w:rsidRDefault="00B44B71" w:rsidP="00DD0E8B">
      <w:pPr>
        <w:tabs>
          <w:tab w:val="left" w:pos="9638"/>
        </w:tabs>
        <w:spacing w:after="0" w:line="240" w:lineRule="auto"/>
        <w:ind w:firstLine="709"/>
        <w:jc w:val="center"/>
        <w:rPr>
          <w:rFonts w:ascii="Times New Roman" w:eastAsia="Times New Roman" w:hAnsi="Times New Roman" w:cs="Times New Roman"/>
          <w:b/>
          <w:bCs/>
          <w:color w:val="000000"/>
          <w:kern w:val="0"/>
          <w:sz w:val="24"/>
          <w:szCs w:val="24"/>
          <w:lang w:val="uk-UA"/>
          <w14:ligatures w14:val="none"/>
        </w:rPr>
      </w:pPr>
      <w:r w:rsidRPr="00955F7A">
        <w:rPr>
          <w:rFonts w:ascii="Times New Roman" w:eastAsia="Times New Roman" w:hAnsi="Times New Roman" w:cs="Times New Roman"/>
          <w:b/>
          <w:bCs/>
          <w:color w:val="000000"/>
          <w:kern w:val="0"/>
          <w:sz w:val="24"/>
          <w:szCs w:val="24"/>
          <w:lang w:val="uk-UA"/>
          <w14:ligatures w14:val="none"/>
        </w:rPr>
        <w:lastRenderedPageBreak/>
        <w:t>ЛІТЕРАТУРА</w:t>
      </w:r>
    </w:p>
    <w:p w14:paraId="37AF1EA8"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bookmarkStart w:id="8" w:name="n3"/>
      <w:bookmarkEnd w:id="8"/>
      <w:r w:rsidRPr="00955F7A">
        <w:rPr>
          <w:rFonts w:ascii="Times New Roman" w:eastAsia="Times New Roman" w:hAnsi="Times New Roman" w:cs="Times New Roman"/>
          <w:color w:val="000000"/>
          <w:kern w:val="0"/>
          <w:sz w:val="24"/>
          <w:szCs w:val="24"/>
          <w:lang w:val="ru-RU"/>
          <w14:ligatures w14:val="none"/>
        </w:rPr>
        <w:t xml:space="preserve">Антонюк Н., Пушкар Н. Академічна доброчесність у вітчизняному освітньому просторі: причини порушення і шляхи формування. </w:t>
      </w:r>
      <w:r w:rsidRPr="00955F7A">
        <w:rPr>
          <w:rFonts w:ascii="Times New Roman" w:eastAsia="Times New Roman" w:hAnsi="Times New Roman" w:cs="Times New Roman"/>
          <w:i/>
          <w:iCs/>
          <w:color w:val="000000"/>
          <w:kern w:val="0"/>
          <w:sz w:val="24"/>
          <w:szCs w:val="24"/>
          <w14:ligatures w14:val="none"/>
        </w:rPr>
        <w:t>Acta</w:t>
      </w:r>
      <w:r w:rsidRPr="002A5031">
        <w:rPr>
          <w:rFonts w:ascii="Times New Roman" w:eastAsia="Times New Roman" w:hAnsi="Times New Roman" w:cs="Times New Roman"/>
          <w:i/>
          <w:iCs/>
          <w:color w:val="000000"/>
          <w:kern w:val="0"/>
          <w:sz w:val="24"/>
          <w:szCs w:val="24"/>
          <w:lang w:val="ru-RU"/>
          <w14:ligatures w14:val="none"/>
        </w:rPr>
        <w:t xml:space="preserve"> </w:t>
      </w:r>
      <w:r w:rsidRPr="00955F7A">
        <w:rPr>
          <w:rFonts w:ascii="Times New Roman" w:eastAsia="Times New Roman" w:hAnsi="Times New Roman" w:cs="Times New Roman"/>
          <w:i/>
          <w:iCs/>
          <w:color w:val="000000"/>
          <w:kern w:val="0"/>
          <w:sz w:val="24"/>
          <w:szCs w:val="24"/>
          <w14:ligatures w14:val="none"/>
        </w:rPr>
        <w:t>Paedagogica</w:t>
      </w:r>
      <w:r w:rsidRPr="002A5031">
        <w:rPr>
          <w:rFonts w:ascii="Times New Roman" w:eastAsia="Times New Roman" w:hAnsi="Times New Roman" w:cs="Times New Roman"/>
          <w:i/>
          <w:iCs/>
          <w:color w:val="000000"/>
          <w:kern w:val="0"/>
          <w:sz w:val="24"/>
          <w:szCs w:val="24"/>
          <w:lang w:val="ru-RU"/>
          <w14:ligatures w14:val="none"/>
        </w:rPr>
        <w:t xml:space="preserve"> </w:t>
      </w:r>
      <w:r w:rsidRPr="00955F7A">
        <w:rPr>
          <w:rFonts w:ascii="Times New Roman" w:eastAsia="Times New Roman" w:hAnsi="Times New Roman" w:cs="Times New Roman"/>
          <w:i/>
          <w:iCs/>
          <w:color w:val="000000"/>
          <w:kern w:val="0"/>
          <w:sz w:val="24"/>
          <w:szCs w:val="24"/>
          <w14:ligatures w14:val="none"/>
        </w:rPr>
        <w:t>Volynienses</w:t>
      </w:r>
      <w:r w:rsidRPr="002A5031">
        <w:rPr>
          <w:rFonts w:ascii="Times New Roman" w:eastAsia="Times New Roman" w:hAnsi="Times New Roman" w:cs="Times New Roman"/>
          <w:color w:val="000000"/>
          <w:kern w:val="0"/>
          <w:sz w:val="24"/>
          <w:szCs w:val="24"/>
          <w:lang w:val="ru-RU"/>
          <w14:ligatures w14:val="none"/>
        </w:rPr>
        <w:t xml:space="preserve">. 2022. </w:t>
      </w:r>
      <w:r w:rsidRPr="00955F7A">
        <w:rPr>
          <w:rFonts w:ascii="Times New Roman" w:eastAsia="Times New Roman" w:hAnsi="Times New Roman" w:cs="Times New Roman"/>
          <w:color w:val="000000"/>
          <w:kern w:val="0"/>
          <w:sz w:val="24"/>
          <w:szCs w:val="24"/>
          <w:lang w:val="ru-RU"/>
          <w14:ligatures w14:val="none"/>
        </w:rPr>
        <w:t>Вип</w:t>
      </w:r>
      <w:r w:rsidRPr="002A5031">
        <w:rPr>
          <w:rFonts w:ascii="Times New Roman" w:eastAsia="Times New Roman" w:hAnsi="Times New Roman" w:cs="Times New Roman"/>
          <w:color w:val="000000"/>
          <w:kern w:val="0"/>
          <w:sz w:val="24"/>
          <w:szCs w:val="24"/>
          <w:lang w:val="ru-RU"/>
          <w14:ligatures w14:val="none"/>
        </w:rPr>
        <w:t>.</w:t>
      </w:r>
      <w:r w:rsidRPr="00955F7A">
        <w:rPr>
          <w:rFonts w:ascii="Times New Roman" w:eastAsia="Times New Roman" w:hAnsi="Times New Roman" w:cs="Times New Roman"/>
          <w:color w:val="000000"/>
          <w:kern w:val="0"/>
          <w:sz w:val="24"/>
          <w:szCs w:val="24"/>
          <w14:ligatures w14:val="none"/>
        </w:rPr>
        <w:t> </w:t>
      </w:r>
      <w:r w:rsidRPr="002A5031">
        <w:rPr>
          <w:rFonts w:ascii="Times New Roman" w:eastAsia="Times New Roman" w:hAnsi="Times New Roman" w:cs="Times New Roman"/>
          <w:color w:val="000000"/>
          <w:kern w:val="0"/>
          <w:sz w:val="24"/>
          <w:szCs w:val="24"/>
          <w:lang w:val="ru-RU"/>
          <w14:ligatures w14:val="none"/>
        </w:rPr>
        <w:t xml:space="preserve">1. </w:t>
      </w:r>
      <w:r w:rsidRPr="00955F7A">
        <w:rPr>
          <w:rFonts w:ascii="Times New Roman" w:eastAsia="Times New Roman" w:hAnsi="Times New Roman" w:cs="Times New Roman"/>
          <w:color w:val="000000"/>
          <w:kern w:val="0"/>
          <w:sz w:val="24"/>
          <w:szCs w:val="24"/>
          <w:lang w:val="ru-RU"/>
          <w14:ligatures w14:val="none"/>
        </w:rPr>
        <w:t>Т</w:t>
      </w:r>
      <w:r w:rsidRPr="002A5031">
        <w:rPr>
          <w:rFonts w:ascii="Times New Roman" w:eastAsia="Times New Roman" w:hAnsi="Times New Roman" w:cs="Times New Roman"/>
          <w:color w:val="000000"/>
          <w:kern w:val="0"/>
          <w:sz w:val="24"/>
          <w:szCs w:val="24"/>
          <w:lang w:val="ru-RU"/>
          <w14:ligatures w14:val="none"/>
        </w:rPr>
        <w:t>.</w:t>
      </w:r>
      <w:r w:rsidRPr="00955F7A">
        <w:rPr>
          <w:rFonts w:ascii="Times New Roman" w:eastAsia="Times New Roman" w:hAnsi="Times New Roman" w:cs="Times New Roman"/>
          <w:color w:val="000000"/>
          <w:kern w:val="0"/>
          <w:sz w:val="24"/>
          <w:szCs w:val="24"/>
          <w14:ligatures w14:val="none"/>
        </w:rPr>
        <w:t> </w:t>
      </w:r>
      <w:r w:rsidRPr="002A5031">
        <w:rPr>
          <w:rFonts w:ascii="Times New Roman" w:eastAsia="Times New Roman" w:hAnsi="Times New Roman" w:cs="Times New Roman"/>
          <w:color w:val="000000"/>
          <w:kern w:val="0"/>
          <w:sz w:val="24"/>
          <w:szCs w:val="24"/>
          <w:lang w:val="ru-RU"/>
          <w14:ligatures w14:val="none"/>
        </w:rPr>
        <w:t xml:space="preserve">2. </w:t>
      </w:r>
      <w:r w:rsidRPr="00955F7A">
        <w:rPr>
          <w:rFonts w:ascii="Times New Roman" w:eastAsia="Times New Roman" w:hAnsi="Times New Roman" w:cs="Times New Roman"/>
          <w:color w:val="000000"/>
          <w:kern w:val="0"/>
          <w:sz w:val="24"/>
          <w:szCs w:val="24"/>
          <w:lang w:val="ru-RU"/>
          <w14:ligatures w14:val="none"/>
        </w:rPr>
        <w:t>С</w:t>
      </w:r>
      <w:r w:rsidRPr="002A5031">
        <w:rPr>
          <w:rFonts w:ascii="Times New Roman" w:eastAsia="Times New Roman" w:hAnsi="Times New Roman" w:cs="Times New Roman"/>
          <w:color w:val="000000"/>
          <w:kern w:val="0"/>
          <w:sz w:val="24"/>
          <w:szCs w:val="24"/>
          <w:lang w:val="ru-RU"/>
          <w14:ligatures w14:val="none"/>
        </w:rPr>
        <w:t>.</w:t>
      </w:r>
      <w:r w:rsidRPr="00955F7A">
        <w:rPr>
          <w:rFonts w:ascii="Times New Roman" w:eastAsia="Times New Roman" w:hAnsi="Times New Roman" w:cs="Times New Roman"/>
          <w:color w:val="000000"/>
          <w:kern w:val="0"/>
          <w:sz w:val="24"/>
          <w:szCs w:val="24"/>
          <w14:ligatures w14:val="none"/>
        </w:rPr>
        <w:t> </w:t>
      </w:r>
      <w:r w:rsidRPr="002A5031">
        <w:rPr>
          <w:rFonts w:ascii="Times New Roman" w:eastAsia="Times New Roman" w:hAnsi="Times New Roman" w:cs="Times New Roman"/>
          <w:color w:val="000000"/>
          <w:kern w:val="0"/>
          <w:sz w:val="24"/>
          <w:szCs w:val="24"/>
          <w:lang w:val="ru-RU"/>
          <w14:ligatures w14:val="none"/>
        </w:rPr>
        <w:t>10–16</w:t>
      </w:r>
      <w:r w:rsidRPr="00DD0E8B">
        <w:rPr>
          <w:rFonts w:ascii="Times New Roman" w:eastAsia="Times New Roman" w:hAnsi="Times New Roman" w:cs="Times New Roman"/>
          <w:color w:val="000000"/>
          <w:kern w:val="0"/>
          <w:sz w:val="24"/>
          <w:szCs w:val="24"/>
          <w:lang w:val="ru-RU"/>
          <w14:ligatures w14:val="none"/>
        </w:rPr>
        <w:t>Білик</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color w:val="000000"/>
          <w:kern w:val="0"/>
          <w:sz w:val="24"/>
          <w:szCs w:val="24"/>
          <w:lang w:val="ru-RU"/>
          <w14:ligatures w14:val="none"/>
        </w:rPr>
        <w:t>В</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color w:val="000000"/>
          <w:kern w:val="0"/>
          <w:sz w:val="24"/>
          <w:szCs w:val="24"/>
          <w:lang w:val="ru-RU"/>
          <w14:ligatures w14:val="none"/>
        </w:rPr>
        <w:t>В</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color w:val="000000"/>
          <w:kern w:val="0"/>
          <w:sz w:val="24"/>
          <w:szCs w:val="24"/>
          <w:lang w:val="ru-RU"/>
          <w14:ligatures w14:val="none"/>
        </w:rPr>
        <w:t>Шпильова</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color w:val="000000"/>
          <w:kern w:val="0"/>
          <w:sz w:val="24"/>
          <w:szCs w:val="24"/>
          <w:lang w:val="ru-RU"/>
          <w14:ligatures w14:val="none"/>
        </w:rPr>
        <w:t>В</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color w:val="000000"/>
          <w:kern w:val="0"/>
          <w:sz w:val="24"/>
          <w:szCs w:val="24"/>
          <w:lang w:val="ru-RU"/>
          <w14:ligatures w14:val="none"/>
        </w:rPr>
        <w:t>О</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color w:val="000000"/>
          <w:kern w:val="0"/>
          <w:sz w:val="24"/>
          <w:szCs w:val="24"/>
          <w:lang w:val="ru-RU"/>
          <w14:ligatures w14:val="none"/>
        </w:rPr>
        <w:t>Козинець</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color w:val="000000"/>
          <w:kern w:val="0"/>
          <w:sz w:val="24"/>
          <w:szCs w:val="24"/>
          <w:lang w:val="ru-RU"/>
          <w14:ligatures w14:val="none"/>
        </w:rPr>
        <w:t>А</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color w:val="000000"/>
          <w:kern w:val="0"/>
          <w:sz w:val="24"/>
          <w:szCs w:val="24"/>
          <w:lang w:val="ru-RU"/>
          <w14:ligatures w14:val="none"/>
        </w:rPr>
        <w:t>О</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color w:val="000000"/>
          <w:kern w:val="0"/>
          <w:sz w:val="24"/>
          <w:szCs w:val="24"/>
          <w:lang w:val="ru-RU"/>
          <w14:ligatures w14:val="none"/>
        </w:rPr>
        <w:t>Академічна</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color w:val="000000"/>
          <w:kern w:val="0"/>
          <w:sz w:val="24"/>
          <w:szCs w:val="24"/>
          <w:lang w:val="ru-RU"/>
          <w14:ligatures w14:val="none"/>
        </w:rPr>
        <w:t>чесність</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color w:val="000000"/>
          <w:kern w:val="0"/>
          <w:sz w:val="24"/>
          <w:szCs w:val="24"/>
          <w:lang w:val="ru-RU"/>
          <w14:ligatures w14:val="none"/>
        </w:rPr>
        <w:t>та</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color w:val="000000"/>
          <w:kern w:val="0"/>
          <w:sz w:val="24"/>
          <w:szCs w:val="24"/>
          <w:lang w:val="ru-RU"/>
          <w14:ligatures w14:val="none"/>
        </w:rPr>
        <w:t>її</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color w:val="000000"/>
          <w:kern w:val="0"/>
          <w:sz w:val="24"/>
          <w:szCs w:val="24"/>
          <w:lang w:val="ru-RU"/>
          <w14:ligatures w14:val="none"/>
        </w:rPr>
        <w:t>важливість</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color w:val="000000"/>
          <w:kern w:val="0"/>
          <w:sz w:val="24"/>
          <w:szCs w:val="24"/>
          <w:lang w:val="ru-RU"/>
          <w14:ligatures w14:val="none"/>
        </w:rPr>
        <w:t>у</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color w:val="000000"/>
          <w:kern w:val="0"/>
          <w:sz w:val="24"/>
          <w:szCs w:val="24"/>
          <w:lang w:val="ru-RU"/>
          <w14:ligatures w14:val="none"/>
        </w:rPr>
        <w:t>вищій</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color w:val="000000"/>
          <w:kern w:val="0"/>
          <w:sz w:val="24"/>
          <w:szCs w:val="24"/>
          <w:lang w:val="ru-RU"/>
          <w14:ligatures w14:val="none"/>
        </w:rPr>
        <w:t>освіті</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color w:val="000000"/>
          <w:kern w:val="0"/>
          <w:sz w:val="24"/>
          <w:szCs w:val="24"/>
          <w:lang w:val="ru-RU"/>
          <w14:ligatures w14:val="none"/>
        </w:rPr>
        <w:t>вплив</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color w:val="000000"/>
          <w:kern w:val="0"/>
          <w:sz w:val="24"/>
          <w:szCs w:val="24"/>
          <w:lang w:val="ru-RU"/>
          <w14:ligatures w14:val="none"/>
        </w:rPr>
        <w:t>інноваційних</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color w:val="000000"/>
          <w:kern w:val="0"/>
          <w:sz w:val="24"/>
          <w:szCs w:val="24"/>
          <w:lang w:val="ru-RU"/>
          <w14:ligatures w14:val="none"/>
        </w:rPr>
        <w:t>технологій</w:t>
      </w:r>
      <w:r w:rsidRPr="002A5031">
        <w:rPr>
          <w:rFonts w:ascii="Times New Roman" w:eastAsia="Times New Roman" w:hAnsi="Times New Roman" w:cs="Times New Roman"/>
          <w:color w:val="000000"/>
          <w:kern w:val="0"/>
          <w:sz w:val="24"/>
          <w:szCs w:val="24"/>
          <w:lang w:val="ru-RU"/>
          <w14:ligatures w14:val="none"/>
        </w:rPr>
        <w:t xml:space="preserve">. </w:t>
      </w:r>
      <w:r w:rsidRPr="00DD0E8B">
        <w:rPr>
          <w:rFonts w:ascii="Times New Roman" w:eastAsia="Times New Roman" w:hAnsi="Times New Roman" w:cs="Times New Roman"/>
          <w:i/>
          <w:iCs/>
          <w:color w:val="000000"/>
          <w:kern w:val="0"/>
          <w:sz w:val="24"/>
          <w:szCs w:val="24"/>
          <w:lang w:val="ru-RU"/>
          <w14:ligatures w14:val="none"/>
        </w:rPr>
        <w:t>Український журнал прикладної економіки та техніки.</w:t>
      </w:r>
      <w:r w:rsidRPr="00DD0E8B">
        <w:rPr>
          <w:rFonts w:ascii="Times New Roman" w:eastAsia="Times New Roman" w:hAnsi="Times New Roman" w:cs="Times New Roman"/>
          <w:color w:val="000000"/>
          <w:kern w:val="0"/>
          <w:sz w:val="24"/>
          <w:szCs w:val="24"/>
          <w:lang w:val="ru-RU"/>
          <w14:ligatures w14:val="none"/>
        </w:rPr>
        <w:t xml:space="preserve"> 2024. Т. 9. № 3. С. 10–15. </w:t>
      </w:r>
      <w:hyperlink r:id="rId46" w:history="1">
        <w:r w:rsidRPr="00DD0E8B">
          <w:rPr>
            <w:rFonts w:ascii="Times New Roman" w:eastAsia="Times New Roman" w:hAnsi="Times New Roman" w:cs="Times New Roman"/>
            <w:color w:val="000000"/>
            <w:kern w:val="0"/>
            <w:sz w:val="24"/>
            <w:szCs w:val="24"/>
            <w:u w:val="single"/>
            <w:lang w:val="ru-RU"/>
            <w14:ligatures w14:val="none"/>
          </w:rPr>
          <w:t>https://doi.org/10.36887/2415-8453-2024-3-1</w:t>
        </w:r>
      </w:hyperlink>
      <w:r w:rsidRPr="00DD0E8B">
        <w:rPr>
          <w:rFonts w:ascii="Times New Roman" w:eastAsia="Times New Roman" w:hAnsi="Times New Roman" w:cs="Times New Roman"/>
          <w:color w:val="000000"/>
          <w:kern w:val="0"/>
          <w:sz w:val="24"/>
          <w:szCs w:val="24"/>
          <w:lang w:val="ru-RU"/>
          <w14:ligatures w14:val="none"/>
        </w:rPr>
        <w:t xml:space="preserve"> </w:t>
      </w:r>
    </w:p>
    <w:p w14:paraId="0687EFED"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i/>
          <w:iCs/>
          <w:color w:val="000000"/>
          <w:kern w:val="0"/>
          <w:sz w:val="24"/>
          <w:szCs w:val="24"/>
          <w:lang w:val="ru-RU"/>
          <w14:ligatures w14:val="none"/>
        </w:rPr>
        <w:t>Варава І. М. Проблема академічної доброчесності у сучасному суспільно-освітньому середовищі. Науковий часопис НПУ імені М.П. Драгомирова. Серія 5. Педагогічні науки: реалії та перспективи. 2019. Вип. 66. С. 22</w:t>
      </w:r>
      <w:r w:rsidRPr="00545909">
        <w:rPr>
          <w:rFonts w:ascii="Times New Roman" w:eastAsia="Times New Roman" w:hAnsi="Times New Roman" w:cs="Times New Roman"/>
          <w:i/>
          <w:iCs/>
          <w:color w:val="000000"/>
          <w:kern w:val="0"/>
          <w:sz w:val="24"/>
          <w:szCs w:val="24"/>
          <w:shd w:val="clear" w:color="auto" w:fill="FFFFFF"/>
          <w:lang w:val="ru-RU"/>
          <w14:ligatures w14:val="none"/>
        </w:rPr>
        <w:t>–26.</w:t>
      </w:r>
    </w:p>
    <w:p w14:paraId="30A27C4B"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lang w:val="ru-RU"/>
          <w14:ligatures w14:val="none"/>
        </w:rPr>
        <w:t xml:space="preserve">Вінарчук Н. М., Шоловій М.-Т. І., Денисяк Ю. В. Академічна доброчесність в закладах вищої освіти. </w:t>
      </w:r>
      <w:r w:rsidRPr="00545909">
        <w:rPr>
          <w:rFonts w:ascii="Times New Roman" w:eastAsia="Times New Roman" w:hAnsi="Times New Roman" w:cs="Times New Roman"/>
          <w:i/>
          <w:iCs/>
          <w:color w:val="000000"/>
          <w:kern w:val="0"/>
          <w:sz w:val="24"/>
          <w:szCs w:val="24"/>
          <w:lang w:val="ru-RU"/>
          <w14:ligatures w14:val="none"/>
        </w:rPr>
        <w:t>Теорія і методика професійної освіти</w:t>
      </w:r>
      <w:r w:rsidRPr="00545909">
        <w:rPr>
          <w:rFonts w:ascii="Times New Roman" w:eastAsia="Times New Roman" w:hAnsi="Times New Roman" w:cs="Times New Roman"/>
          <w:color w:val="000000"/>
          <w:kern w:val="0"/>
          <w:sz w:val="24"/>
          <w:szCs w:val="24"/>
          <w:lang w:val="ru-RU"/>
          <w14:ligatures w14:val="none"/>
        </w:rPr>
        <w:t>. 2025. Вип. 85. Т. 1. С. 99–102.</w:t>
      </w:r>
    </w:p>
    <w:p w14:paraId="5EE70B21"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shd w:val="clear" w:color="auto" w:fill="FFFFFF"/>
          <w:lang w:val="ru-RU"/>
          <w14:ligatures w14:val="none"/>
        </w:rPr>
        <w:t xml:space="preserve">Козинець А. О. Ягодзінський С. М. Академічна культура та доброчесність здобувачів як компетентнісна складова їх професійного розвитку. </w:t>
      </w:r>
      <w:r w:rsidRPr="00545909">
        <w:rPr>
          <w:rFonts w:ascii="Times New Roman" w:eastAsia="Times New Roman" w:hAnsi="Times New Roman" w:cs="Times New Roman"/>
          <w:i/>
          <w:iCs/>
          <w:color w:val="000000"/>
          <w:kern w:val="0"/>
          <w:sz w:val="24"/>
          <w:szCs w:val="24"/>
          <w:shd w:val="clear" w:color="auto" w:fill="FFFFFF"/>
          <w:lang w:val="ru-RU"/>
          <w14:ligatures w14:val="none"/>
        </w:rPr>
        <w:t>Інноваційна педагогіка</w:t>
      </w:r>
      <w:r w:rsidRPr="00545909">
        <w:rPr>
          <w:rFonts w:ascii="Times New Roman" w:eastAsia="Times New Roman" w:hAnsi="Times New Roman" w:cs="Times New Roman"/>
          <w:color w:val="000000"/>
          <w:kern w:val="0"/>
          <w:sz w:val="24"/>
          <w:szCs w:val="24"/>
          <w:shd w:val="clear" w:color="auto" w:fill="FFFFFF"/>
          <w:lang w:val="ru-RU"/>
          <w14:ligatures w14:val="none"/>
        </w:rPr>
        <w:t xml:space="preserve">. 2024. Вип. 77. С. 17–22. </w:t>
      </w:r>
      <w:hyperlink r:id="rId47" w:history="1">
        <w:r w:rsidRPr="00545909">
          <w:rPr>
            <w:rFonts w:ascii="Times New Roman" w:eastAsia="Times New Roman" w:hAnsi="Times New Roman" w:cs="Times New Roman"/>
            <w:color w:val="000000"/>
            <w:kern w:val="0"/>
            <w:sz w:val="24"/>
            <w:szCs w:val="24"/>
            <w:u w:val="single"/>
            <w:lang w:val="ru-RU"/>
            <w14:ligatures w14:val="none"/>
          </w:rPr>
          <w:t>https://doi.org/10.32782/2663-6085/2024/77.2</w:t>
        </w:r>
      </w:hyperlink>
      <w:r w:rsidRPr="00545909">
        <w:rPr>
          <w:rFonts w:ascii="Times New Roman" w:eastAsia="Times New Roman" w:hAnsi="Times New Roman" w:cs="Times New Roman"/>
          <w:color w:val="000000"/>
          <w:kern w:val="0"/>
          <w:sz w:val="24"/>
          <w:szCs w:val="24"/>
          <w:lang w:val="ru-RU"/>
          <w14:ligatures w14:val="none"/>
        </w:rPr>
        <w:t xml:space="preserve"> </w:t>
      </w:r>
    </w:p>
    <w:p w14:paraId="0E2EB496"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shd w:val="clear" w:color="auto" w:fill="FFFFFF"/>
          <w:lang w:val="ru-RU"/>
          <w14:ligatures w14:val="none"/>
        </w:rPr>
        <w:t xml:space="preserve">Педченко Н. С., Гасій О. В., Сарапин В. В., Туль С. І., Власенко В. А. Академічна доброчесність як дієвий інструмент посилення якості вищої освіти в ПУЕТ. </w:t>
      </w:r>
      <w:r w:rsidRPr="00545909">
        <w:rPr>
          <w:rFonts w:ascii="Times New Roman" w:eastAsia="Times New Roman" w:hAnsi="Times New Roman" w:cs="Times New Roman"/>
          <w:i/>
          <w:iCs/>
          <w:color w:val="000000"/>
          <w:kern w:val="0"/>
          <w:sz w:val="24"/>
          <w:szCs w:val="24"/>
          <w:shd w:val="clear" w:color="auto" w:fill="FFFFFF"/>
          <w:lang w:val="ru-RU"/>
          <w14:ligatures w14:val="none"/>
        </w:rPr>
        <w:t>Науковий вісник Полтавського університету економіки і торгівлі.</w:t>
      </w:r>
      <w:r w:rsidRPr="00545909">
        <w:rPr>
          <w:rFonts w:ascii="Times New Roman" w:eastAsia="Times New Roman" w:hAnsi="Times New Roman" w:cs="Times New Roman"/>
          <w:color w:val="000000"/>
          <w:kern w:val="0"/>
          <w:sz w:val="24"/>
          <w:szCs w:val="24"/>
          <w:shd w:val="clear" w:color="auto" w:fill="FFFFFF"/>
          <w:lang w:val="ru-RU"/>
          <w14:ligatures w14:val="none"/>
        </w:rPr>
        <w:t xml:space="preserve"> 2023. Вип. 3 (109). С. 73–78. </w:t>
      </w:r>
      <w:hyperlink r:id="rId48" w:history="1">
        <w:r w:rsidRPr="00545909">
          <w:rPr>
            <w:rFonts w:ascii="Times New Roman" w:eastAsia="Times New Roman" w:hAnsi="Times New Roman" w:cs="Times New Roman"/>
            <w:color w:val="000000"/>
            <w:kern w:val="0"/>
            <w:sz w:val="24"/>
            <w:szCs w:val="24"/>
            <w:u w:val="single"/>
            <w:shd w:val="clear" w:color="auto" w:fill="FFFFFF"/>
            <w:lang w:val="ru-RU"/>
            <w14:ligatures w14:val="none"/>
          </w:rPr>
          <w:t>https://doi.org/10.37734/2409-6873-2023-3-11</w:t>
        </w:r>
      </w:hyperlink>
      <w:r w:rsidRPr="00545909">
        <w:rPr>
          <w:rFonts w:ascii="Times New Roman" w:eastAsia="Times New Roman" w:hAnsi="Times New Roman" w:cs="Times New Roman"/>
          <w:color w:val="000000"/>
          <w:kern w:val="0"/>
          <w:sz w:val="24"/>
          <w:szCs w:val="24"/>
          <w:shd w:val="clear" w:color="auto" w:fill="FFFFFF"/>
          <w:lang w:val="ru-RU"/>
          <w14:ligatures w14:val="none"/>
        </w:rPr>
        <w:t xml:space="preserve"> </w:t>
      </w:r>
    </w:p>
    <w:p w14:paraId="10F750C2"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lang w:val="ru-RU"/>
          <w14:ligatures w14:val="none"/>
        </w:rPr>
        <w:t xml:space="preserve">Покотило К. М., Силкіна С. О. Академічна культура та доброчесність в освітньому процесі в умовах воєнних реалій (на прикладі архітектурного факультету київського національного університету будівництва і архітектури). </w:t>
      </w:r>
      <w:r w:rsidRPr="00545909">
        <w:rPr>
          <w:rFonts w:ascii="Times New Roman" w:eastAsia="Times New Roman" w:hAnsi="Times New Roman" w:cs="Times New Roman"/>
          <w:i/>
          <w:iCs/>
          <w:color w:val="000000"/>
          <w:kern w:val="0"/>
          <w:sz w:val="24"/>
          <w:szCs w:val="24"/>
          <w:lang w:val="ru-RU"/>
          <w14:ligatures w14:val="none"/>
        </w:rPr>
        <w:t>Слобожанський науковий вісник</w:t>
      </w:r>
      <w:r w:rsidRPr="00545909">
        <w:rPr>
          <w:rFonts w:ascii="Times New Roman" w:eastAsia="Times New Roman" w:hAnsi="Times New Roman" w:cs="Times New Roman"/>
          <w:color w:val="000000"/>
          <w:kern w:val="0"/>
          <w:sz w:val="24"/>
          <w:szCs w:val="24"/>
          <w:lang w:val="ru-RU"/>
          <w14:ligatures w14:val="none"/>
        </w:rPr>
        <w:t xml:space="preserve">. Серія: Філологія. 2023. Вип. 3. С. 144–149. </w:t>
      </w:r>
      <w:hyperlink r:id="rId49" w:history="1">
        <w:r w:rsidRPr="00545909">
          <w:rPr>
            <w:rFonts w:ascii="Times New Roman" w:eastAsia="Times New Roman" w:hAnsi="Times New Roman" w:cs="Times New Roman"/>
            <w:color w:val="000000"/>
            <w:kern w:val="0"/>
            <w:sz w:val="24"/>
            <w:szCs w:val="24"/>
            <w:u w:val="single"/>
            <w:lang w:val="ru-RU"/>
            <w14:ligatures w14:val="none"/>
          </w:rPr>
          <w:t>https://doi.org/10.32782/philspu/2023.3.26</w:t>
        </w:r>
      </w:hyperlink>
      <w:r w:rsidRPr="00545909">
        <w:rPr>
          <w:rFonts w:ascii="Times New Roman" w:eastAsia="Times New Roman" w:hAnsi="Times New Roman" w:cs="Times New Roman"/>
          <w:color w:val="000000"/>
          <w:kern w:val="0"/>
          <w:sz w:val="24"/>
          <w:szCs w:val="24"/>
          <w:lang w:val="ru-RU"/>
          <w14:ligatures w14:val="none"/>
        </w:rPr>
        <w:t xml:space="preserve"> </w:t>
      </w:r>
    </w:p>
    <w:p w14:paraId="3A2FF6F2"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lang w:val="ru-RU"/>
          <w14:ligatures w14:val="none"/>
        </w:rPr>
        <w:t xml:space="preserve">Поліщук Л. О., Гайдукевич К. А. Академічна культура закладів вищої освіти України. </w:t>
      </w:r>
      <w:r w:rsidRPr="00545909">
        <w:rPr>
          <w:rFonts w:ascii="Times New Roman" w:eastAsia="Times New Roman" w:hAnsi="Times New Roman" w:cs="Times New Roman"/>
          <w:i/>
          <w:iCs/>
          <w:color w:val="000000"/>
          <w:kern w:val="0"/>
          <w:sz w:val="24"/>
          <w:szCs w:val="24"/>
          <w:lang w:val="ru-RU"/>
          <w14:ligatures w14:val="none"/>
        </w:rPr>
        <w:t>Вісник Національної академії керівних кадрів культури і мистецтв</w:t>
      </w:r>
      <w:r w:rsidRPr="00545909">
        <w:rPr>
          <w:rFonts w:ascii="Times New Roman" w:eastAsia="Times New Roman" w:hAnsi="Times New Roman" w:cs="Times New Roman"/>
          <w:color w:val="000000"/>
          <w:kern w:val="0"/>
          <w:sz w:val="24"/>
          <w:szCs w:val="24"/>
          <w:lang w:val="ru-RU"/>
          <w14:ligatures w14:val="none"/>
        </w:rPr>
        <w:t xml:space="preserve">. 2023. № 2. С. 28–35. </w:t>
      </w:r>
      <w:hyperlink r:id="rId50" w:history="1">
        <w:r w:rsidRPr="00545909">
          <w:rPr>
            <w:rFonts w:ascii="Times New Roman" w:eastAsia="Times New Roman" w:hAnsi="Times New Roman" w:cs="Times New Roman"/>
            <w:color w:val="000000"/>
            <w:kern w:val="0"/>
            <w:sz w:val="24"/>
            <w:szCs w:val="24"/>
            <w:u w:val="single"/>
            <w:lang w:val="ru-RU"/>
            <w14:ligatures w14:val="none"/>
          </w:rPr>
          <w:t>https://doi.org/10.32461/2226-3209.2.2023.286871</w:t>
        </w:r>
      </w:hyperlink>
    </w:p>
    <w:p w14:paraId="2ED8A848"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lang w:val="ru-RU"/>
          <w14:ligatures w14:val="none"/>
        </w:rPr>
        <w:t xml:space="preserve">Про академічну доброчесність : Закон України від 18.12.2025 № 4742-IX. URL: </w:t>
      </w:r>
      <w:hyperlink r:id="rId51" w:anchor="Text" w:history="1">
        <w:r w:rsidRPr="00545909">
          <w:rPr>
            <w:rFonts w:ascii="Times New Roman" w:eastAsia="Times New Roman" w:hAnsi="Times New Roman" w:cs="Times New Roman"/>
            <w:color w:val="000000"/>
            <w:kern w:val="0"/>
            <w:sz w:val="24"/>
            <w:szCs w:val="24"/>
            <w:u w:val="single"/>
            <w:lang w:val="ru-RU"/>
            <w14:ligatures w14:val="none"/>
          </w:rPr>
          <w:t>https://zakon.rada.gov.ua/laws/show/4742-20#Text</w:t>
        </w:r>
      </w:hyperlink>
      <w:r w:rsidRPr="00545909">
        <w:rPr>
          <w:rFonts w:ascii="Times New Roman" w:eastAsia="Times New Roman" w:hAnsi="Times New Roman" w:cs="Times New Roman"/>
          <w:color w:val="000000"/>
          <w:kern w:val="0"/>
          <w:sz w:val="24"/>
          <w:szCs w:val="24"/>
          <w:lang w:val="ru-RU"/>
          <w14:ligatures w14:val="none"/>
        </w:rPr>
        <w:t xml:space="preserve"> (дата звернення: 20.02.2026).</w:t>
      </w:r>
    </w:p>
    <w:p w14:paraId="795E4172"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lang w:val="ru-RU"/>
          <w14:ligatures w14:val="none"/>
        </w:rPr>
        <w:t xml:space="preserve">Про вищу освіту : Закон України від 01.07.2014 № 1556-VII. </w:t>
      </w:r>
      <w:r w:rsidRPr="00545909">
        <w:rPr>
          <w:rFonts w:ascii="Times New Roman" w:eastAsia="Times New Roman" w:hAnsi="Times New Roman" w:cs="Times New Roman"/>
          <w:color w:val="000000"/>
          <w:kern w:val="0"/>
          <w:sz w:val="24"/>
          <w:szCs w:val="24"/>
          <w14:ligatures w14:val="none"/>
        </w:rPr>
        <w:t>URL</w:t>
      </w:r>
      <w:r w:rsidRPr="00545909">
        <w:rPr>
          <w:rFonts w:ascii="Times New Roman" w:eastAsia="Times New Roman" w:hAnsi="Times New Roman" w:cs="Times New Roman"/>
          <w:color w:val="000000"/>
          <w:kern w:val="0"/>
          <w:sz w:val="24"/>
          <w:szCs w:val="24"/>
          <w:lang w:val="ru-RU"/>
          <w14:ligatures w14:val="none"/>
        </w:rPr>
        <w:t xml:space="preserve">: </w:t>
      </w:r>
      <w:hyperlink r:id="rId52" w:anchor="Text" w:history="1">
        <w:r w:rsidRPr="00545909">
          <w:rPr>
            <w:rFonts w:ascii="Times New Roman" w:eastAsia="Times New Roman" w:hAnsi="Times New Roman" w:cs="Times New Roman"/>
            <w:color w:val="000000"/>
            <w:kern w:val="0"/>
            <w:sz w:val="24"/>
            <w:szCs w:val="24"/>
            <w:u w:val="single"/>
            <w:lang w:val="ru-RU"/>
            <w14:ligatures w14:val="none"/>
          </w:rPr>
          <w:t>https://zakon.rada.gov.ua/laws/show/1556-18#Text</w:t>
        </w:r>
      </w:hyperlink>
      <w:r w:rsidRPr="00545909">
        <w:rPr>
          <w:rFonts w:ascii="Times New Roman" w:eastAsia="Times New Roman" w:hAnsi="Times New Roman" w:cs="Times New Roman"/>
          <w:color w:val="000000"/>
          <w:kern w:val="0"/>
          <w:sz w:val="24"/>
          <w:szCs w:val="24"/>
          <w:lang w:val="ru-RU"/>
          <w14:ligatures w14:val="none"/>
        </w:rPr>
        <w:t xml:space="preserve"> (дата звернення: 20.02.2026).</w:t>
      </w:r>
    </w:p>
    <w:p w14:paraId="6ADB9628"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lang w:val="ru-RU"/>
          <w14:ligatures w14:val="none"/>
        </w:rPr>
        <w:t xml:space="preserve">Про освіту : Закон України від 05.09.2017 № 2145-VIII. URL: </w:t>
      </w:r>
      <w:hyperlink r:id="rId53" w:anchor="Text" w:history="1">
        <w:r w:rsidRPr="00545909">
          <w:rPr>
            <w:rFonts w:ascii="Times New Roman" w:eastAsia="Times New Roman" w:hAnsi="Times New Roman" w:cs="Times New Roman"/>
            <w:color w:val="000000"/>
            <w:kern w:val="0"/>
            <w:sz w:val="24"/>
            <w:szCs w:val="24"/>
            <w:u w:val="single"/>
            <w:lang w:val="ru-RU"/>
            <w14:ligatures w14:val="none"/>
          </w:rPr>
          <w:t>https://zakon.rada.gov.ua/laws/show/2145-19#Text</w:t>
        </w:r>
      </w:hyperlink>
      <w:r w:rsidRPr="00545909">
        <w:rPr>
          <w:rFonts w:ascii="Times New Roman" w:eastAsia="Times New Roman" w:hAnsi="Times New Roman" w:cs="Times New Roman"/>
          <w:color w:val="000000"/>
          <w:kern w:val="0"/>
          <w:sz w:val="24"/>
          <w:szCs w:val="24"/>
          <w:lang w:val="ru-RU"/>
          <w14:ligatures w14:val="none"/>
        </w:rPr>
        <w:t xml:space="preserve"> (дата звернення: 20.02.2026).</w:t>
      </w:r>
    </w:p>
    <w:p w14:paraId="74B3586B"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lang w:val="ru-RU"/>
          <w14:ligatures w14:val="none"/>
        </w:rPr>
        <w:t xml:space="preserve">Про схвалення Стратегії розвитку вищої освіти в Україні на 2022-2032 роки: Розпорядження Кабінету Міністрів України від 23.02.2022 № 286-р. </w:t>
      </w:r>
      <w:r w:rsidRPr="00545909">
        <w:rPr>
          <w:rFonts w:ascii="Times New Roman" w:eastAsia="Times New Roman" w:hAnsi="Times New Roman" w:cs="Times New Roman"/>
          <w:color w:val="000000"/>
          <w:kern w:val="0"/>
          <w:sz w:val="24"/>
          <w:szCs w:val="24"/>
          <w14:ligatures w14:val="none"/>
        </w:rPr>
        <w:t>URL</w:t>
      </w:r>
      <w:r w:rsidRPr="00545909">
        <w:rPr>
          <w:rFonts w:ascii="Times New Roman" w:eastAsia="Times New Roman" w:hAnsi="Times New Roman" w:cs="Times New Roman"/>
          <w:color w:val="000000"/>
          <w:kern w:val="0"/>
          <w:sz w:val="24"/>
          <w:szCs w:val="24"/>
          <w:lang w:val="ru-RU"/>
          <w14:ligatures w14:val="none"/>
        </w:rPr>
        <w:t xml:space="preserve">: </w:t>
      </w:r>
      <w:hyperlink r:id="rId54" w:anchor="Text" w:history="1">
        <w:r w:rsidRPr="00545909">
          <w:rPr>
            <w:rFonts w:ascii="Times New Roman" w:eastAsia="Times New Roman" w:hAnsi="Times New Roman" w:cs="Times New Roman"/>
            <w:color w:val="000000"/>
            <w:kern w:val="0"/>
            <w:sz w:val="24"/>
            <w:szCs w:val="24"/>
            <w:u w:val="single"/>
            <w:lang w:val="ru-RU"/>
            <w14:ligatures w14:val="none"/>
          </w:rPr>
          <w:t>https://zakon.rada.gov.ua/laws/show/286-2022-%D1%80#Text</w:t>
        </w:r>
      </w:hyperlink>
      <w:r w:rsidRPr="00545909">
        <w:rPr>
          <w:rFonts w:ascii="Times New Roman" w:eastAsia="Times New Roman" w:hAnsi="Times New Roman" w:cs="Times New Roman"/>
          <w:color w:val="000000"/>
          <w:kern w:val="0"/>
          <w:sz w:val="24"/>
          <w:szCs w:val="24"/>
          <w:lang w:val="ru-RU"/>
          <w14:ligatures w14:val="none"/>
        </w:rPr>
        <w:t xml:space="preserve"> (дата звернення: 04.02.2026).</w:t>
      </w:r>
    </w:p>
    <w:p w14:paraId="241AC5DC"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lang w:val="ru-RU"/>
          <w14:ligatures w14:val="none"/>
        </w:rPr>
        <w:t xml:space="preserve">Розман І. І. Академічна доброчесність як важлива складова якісної освіти. </w:t>
      </w:r>
      <w:r w:rsidRPr="00545909">
        <w:rPr>
          <w:rFonts w:ascii="Times New Roman" w:eastAsia="Times New Roman" w:hAnsi="Times New Roman" w:cs="Times New Roman"/>
          <w:i/>
          <w:iCs/>
          <w:color w:val="000000"/>
          <w:kern w:val="0"/>
          <w:sz w:val="24"/>
          <w:szCs w:val="24"/>
          <w:lang w:val="ru-RU"/>
          <w14:ligatures w14:val="none"/>
        </w:rPr>
        <w:t>Наукові інновації та передові технології.</w:t>
      </w:r>
      <w:r w:rsidRPr="00545909">
        <w:rPr>
          <w:rFonts w:ascii="Times New Roman" w:eastAsia="Times New Roman" w:hAnsi="Times New Roman" w:cs="Times New Roman"/>
          <w:color w:val="000000"/>
          <w:kern w:val="0"/>
          <w:sz w:val="24"/>
          <w:szCs w:val="24"/>
          <w:lang w:val="ru-RU"/>
          <w14:ligatures w14:val="none"/>
        </w:rPr>
        <w:t xml:space="preserve"> 2022. Вип. 2 (4). С. 368–376. </w:t>
      </w:r>
      <w:hyperlink r:id="rId55" w:history="1">
        <w:r w:rsidRPr="00545909">
          <w:rPr>
            <w:rFonts w:ascii="Times New Roman" w:eastAsia="Times New Roman" w:hAnsi="Times New Roman" w:cs="Times New Roman"/>
            <w:color w:val="000000"/>
            <w:kern w:val="0"/>
            <w:sz w:val="24"/>
            <w:szCs w:val="24"/>
            <w:u w:val="single"/>
            <w:lang w:val="ru-RU"/>
            <w14:ligatures w14:val="none"/>
          </w:rPr>
          <w:t>https://doi.org/10.52058/2786-5274-2022-2(4)-368-376</w:t>
        </w:r>
      </w:hyperlink>
    </w:p>
    <w:p w14:paraId="441C8D0F"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lang w:val="ru-RU"/>
          <w14:ligatures w14:val="none"/>
        </w:rPr>
        <w:t xml:space="preserve">Сурніна-Далекорей О. А. Культура академічної доброчесності в Ужгородському національному університеті: основні чинники формування та розвитку. </w:t>
      </w:r>
      <w:r w:rsidRPr="00545909">
        <w:rPr>
          <w:rFonts w:ascii="Times New Roman" w:eastAsia="Times New Roman" w:hAnsi="Times New Roman" w:cs="Times New Roman"/>
          <w:i/>
          <w:iCs/>
          <w:color w:val="000000"/>
          <w:kern w:val="0"/>
          <w:sz w:val="24"/>
          <w:szCs w:val="24"/>
          <w:lang w:val="ru-RU"/>
          <w14:ligatures w14:val="none"/>
        </w:rPr>
        <w:t>Вища освіта України у контексті інтеграції до європейського освітнього простору</w:t>
      </w:r>
      <w:r w:rsidRPr="00545909">
        <w:rPr>
          <w:rFonts w:ascii="Times New Roman" w:eastAsia="Times New Roman" w:hAnsi="Times New Roman" w:cs="Times New Roman"/>
          <w:color w:val="000000"/>
          <w:kern w:val="0"/>
          <w:sz w:val="24"/>
          <w:szCs w:val="24"/>
          <w:lang w:val="ru-RU"/>
          <w14:ligatures w14:val="none"/>
        </w:rPr>
        <w:t xml:space="preserve">. 2024. № 2. Т. ІI (94). С. 85–93. </w:t>
      </w:r>
      <w:hyperlink r:id="rId56" w:history="1">
        <w:r w:rsidRPr="00545909">
          <w:rPr>
            <w:rFonts w:ascii="Times New Roman" w:eastAsia="Times New Roman" w:hAnsi="Times New Roman" w:cs="Times New Roman"/>
            <w:color w:val="000000"/>
            <w:kern w:val="0"/>
            <w:sz w:val="24"/>
            <w:szCs w:val="24"/>
            <w:u w:val="single"/>
            <w:lang w:val="ru-RU"/>
            <w14:ligatures w14:val="none"/>
          </w:rPr>
          <w:t>https://doi.org/10.38014/osvita.2024.94.07</w:t>
        </w:r>
      </w:hyperlink>
    </w:p>
    <w:p w14:paraId="26E07282"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lang w:val="ru-RU"/>
          <w14:ligatures w14:val="none"/>
        </w:rPr>
        <w:t xml:space="preserve">Уманець О. Академічна доброчесність як маркер сучасної освіти: світовий та національний виміри. </w:t>
      </w:r>
      <w:r w:rsidRPr="00545909">
        <w:rPr>
          <w:rFonts w:ascii="Times New Roman" w:eastAsia="Times New Roman" w:hAnsi="Times New Roman" w:cs="Times New Roman"/>
          <w:i/>
          <w:iCs/>
          <w:color w:val="000000"/>
          <w:kern w:val="0"/>
          <w:sz w:val="24"/>
          <w:szCs w:val="24"/>
          <w:lang w:val="ru-RU"/>
          <w14:ligatures w14:val="none"/>
        </w:rPr>
        <w:t>Актуальнi питання гуманiтарних наук</w:t>
      </w:r>
      <w:r w:rsidRPr="00545909">
        <w:rPr>
          <w:rFonts w:ascii="Times New Roman" w:eastAsia="Times New Roman" w:hAnsi="Times New Roman" w:cs="Times New Roman"/>
          <w:color w:val="000000"/>
          <w:kern w:val="0"/>
          <w:sz w:val="24"/>
          <w:szCs w:val="24"/>
          <w:lang w:val="ru-RU"/>
          <w14:ligatures w14:val="none"/>
        </w:rPr>
        <w:t xml:space="preserve">. 2024. Вип. 71. Т. 3. С. 89–96. </w:t>
      </w:r>
      <w:hyperlink r:id="rId57" w:history="1">
        <w:r w:rsidRPr="00545909">
          <w:rPr>
            <w:rFonts w:ascii="Times New Roman" w:eastAsia="Times New Roman" w:hAnsi="Times New Roman" w:cs="Times New Roman"/>
            <w:color w:val="000000"/>
            <w:kern w:val="0"/>
            <w:sz w:val="24"/>
            <w:szCs w:val="24"/>
            <w:u w:val="single"/>
            <w:lang w:val="ru-RU"/>
            <w14:ligatures w14:val="none"/>
          </w:rPr>
          <w:t>https://doi.org/10.24919/2308-4863/71-3-14</w:t>
        </w:r>
      </w:hyperlink>
      <w:r w:rsidRPr="00545909">
        <w:rPr>
          <w:rFonts w:ascii="Times New Roman" w:eastAsia="Times New Roman" w:hAnsi="Times New Roman" w:cs="Times New Roman"/>
          <w:color w:val="000000"/>
          <w:kern w:val="0"/>
          <w:sz w:val="24"/>
          <w:szCs w:val="24"/>
          <w:lang w:val="ru-RU"/>
          <w14:ligatures w14:val="none"/>
        </w:rPr>
        <w:t xml:space="preserve"> </w:t>
      </w:r>
    </w:p>
    <w:p w14:paraId="03B9A116"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lang w:val="ru-RU"/>
          <w14:ligatures w14:val="none"/>
        </w:rPr>
        <w:t>Філіпенко Л.</w:t>
      </w:r>
      <w:r w:rsidRPr="00545909">
        <w:rPr>
          <w:rFonts w:ascii="Times New Roman" w:eastAsia="Times New Roman" w:hAnsi="Times New Roman" w:cs="Times New Roman"/>
          <w:color w:val="000000"/>
          <w:kern w:val="0"/>
          <w:sz w:val="24"/>
          <w:szCs w:val="24"/>
          <w14:ligatures w14:val="none"/>
        </w:rPr>
        <w:t> </w:t>
      </w:r>
      <w:r w:rsidRPr="00545909">
        <w:rPr>
          <w:rFonts w:ascii="Times New Roman" w:eastAsia="Times New Roman" w:hAnsi="Times New Roman" w:cs="Times New Roman"/>
          <w:color w:val="000000"/>
          <w:kern w:val="0"/>
          <w:sz w:val="24"/>
          <w:szCs w:val="24"/>
          <w:lang w:val="ru-RU"/>
          <w14:ligatures w14:val="none"/>
        </w:rPr>
        <w:t>В., Думанський О.</w:t>
      </w:r>
      <w:r w:rsidRPr="00545909">
        <w:rPr>
          <w:rFonts w:ascii="Times New Roman" w:eastAsia="Times New Roman" w:hAnsi="Times New Roman" w:cs="Times New Roman"/>
          <w:color w:val="000000"/>
          <w:kern w:val="0"/>
          <w:sz w:val="24"/>
          <w:szCs w:val="24"/>
          <w14:ligatures w14:val="none"/>
        </w:rPr>
        <w:t> </w:t>
      </w:r>
      <w:r w:rsidRPr="00545909">
        <w:rPr>
          <w:rFonts w:ascii="Times New Roman" w:eastAsia="Times New Roman" w:hAnsi="Times New Roman" w:cs="Times New Roman"/>
          <w:color w:val="000000"/>
          <w:kern w:val="0"/>
          <w:sz w:val="24"/>
          <w:szCs w:val="24"/>
          <w:lang w:val="ru-RU"/>
          <w14:ligatures w14:val="none"/>
        </w:rPr>
        <w:t>В., Козак О.</w:t>
      </w:r>
      <w:r w:rsidRPr="00545909">
        <w:rPr>
          <w:rFonts w:ascii="Times New Roman" w:eastAsia="Times New Roman" w:hAnsi="Times New Roman" w:cs="Times New Roman"/>
          <w:color w:val="000000"/>
          <w:kern w:val="0"/>
          <w:sz w:val="24"/>
          <w:szCs w:val="24"/>
          <w14:ligatures w14:val="none"/>
        </w:rPr>
        <w:t> </w:t>
      </w:r>
      <w:r w:rsidRPr="00545909">
        <w:rPr>
          <w:rFonts w:ascii="Times New Roman" w:eastAsia="Times New Roman" w:hAnsi="Times New Roman" w:cs="Times New Roman"/>
          <w:color w:val="000000"/>
          <w:kern w:val="0"/>
          <w:sz w:val="24"/>
          <w:szCs w:val="24"/>
          <w:lang w:val="ru-RU"/>
          <w14:ligatures w14:val="none"/>
        </w:rPr>
        <w:t xml:space="preserve">В. Академічна доброчесність в науковому та освітньому середовищі закладів освіти України: погляд крізь призму наявності штучного інтелекту. </w:t>
      </w:r>
      <w:r w:rsidRPr="00545909">
        <w:rPr>
          <w:rFonts w:ascii="Times New Roman" w:eastAsia="Times New Roman" w:hAnsi="Times New Roman" w:cs="Times New Roman"/>
          <w:i/>
          <w:iCs/>
          <w:color w:val="000000"/>
          <w:kern w:val="0"/>
          <w:sz w:val="24"/>
          <w:szCs w:val="24"/>
          <w:lang w:val="ru-RU"/>
          <w14:ligatures w14:val="none"/>
        </w:rPr>
        <w:t>Академічні візії.</w:t>
      </w:r>
      <w:r w:rsidRPr="00545909">
        <w:rPr>
          <w:rFonts w:ascii="Times New Roman" w:eastAsia="Times New Roman" w:hAnsi="Times New Roman" w:cs="Times New Roman"/>
          <w:color w:val="000000"/>
          <w:kern w:val="0"/>
          <w:sz w:val="24"/>
          <w:szCs w:val="24"/>
          <w:lang w:val="ru-RU"/>
          <w14:ligatures w14:val="none"/>
        </w:rPr>
        <w:t xml:space="preserve"> 2023. Вип. 19. </w:t>
      </w:r>
      <w:hyperlink r:id="rId58" w:history="1">
        <w:r w:rsidRPr="00545909">
          <w:rPr>
            <w:rFonts w:ascii="Times New Roman" w:eastAsia="Times New Roman" w:hAnsi="Times New Roman" w:cs="Times New Roman"/>
            <w:color w:val="000000"/>
            <w:kern w:val="0"/>
            <w:sz w:val="24"/>
            <w:szCs w:val="24"/>
            <w:u w:val="single"/>
            <w:lang w:val="ru-RU"/>
            <w14:ligatures w14:val="none"/>
          </w:rPr>
          <w:t>http://dx.doi.org/10.5281/zenodo.7966703</w:t>
        </w:r>
      </w:hyperlink>
      <w:r w:rsidRPr="00545909">
        <w:rPr>
          <w:rFonts w:ascii="Times New Roman" w:eastAsia="Times New Roman" w:hAnsi="Times New Roman" w:cs="Times New Roman"/>
          <w:color w:val="000000"/>
          <w:kern w:val="0"/>
          <w:sz w:val="24"/>
          <w:szCs w:val="24"/>
          <w14:ligatures w14:val="none"/>
        </w:rPr>
        <w:t xml:space="preserve"> </w:t>
      </w:r>
    </w:p>
    <w:p w14:paraId="531FDFED"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lang w:val="ru-RU"/>
          <w14:ligatures w14:val="none"/>
        </w:rPr>
        <w:t>Чумак</w:t>
      </w:r>
      <w:r w:rsidRPr="00545909">
        <w:rPr>
          <w:rFonts w:ascii="Times New Roman" w:eastAsia="Times New Roman" w:hAnsi="Times New Roman" w:cs="Times New Roman"/>
          <w:color w:val="000000"/>
          <w:kern w:val="0"/>
          <w:sz w:val="24"/>
          <w:szCs w:val="24"/>
          <w:shd w:val="clear" w:color="auto" w:fill="FFFFFF"/>
          <w:lang w:val="ru-RU"/>
          <w14:ligatures w14:val="none"/>
        </w:rPr>
        <w:t xml:space="preserve"> О. В. Концепт категорії академічної доброчесності у вищій освіті. </w:t>
      </w:r>
      <w:r w:rsidRPr="00545909">
        <w:rPr>
          <w:rFonts w:ascii="Times New Roman" w:eastAsia="Times New Roman" w:hAnsi="Times New Roman" w:cs="Times New Roman"/>
          <w:i/>
          <w:iCs/>
          <w:color w:val="000000"/>
          <w:kern w:val="0"/>
          <w:sz w:val="24"/>
          <w:szCs w:val="24"/>
          <w:shd w:val="clear" w:color="auto" w:fill="FFFFFF"/>
          <w14:ligatures w14:val="none"/>
        </w:rPr>
        <w:t xml:space="preserve">Theory and methods of educational management. </w:t>
      </w:r>
      <w:r w:rsidRPr="00545909">
        <w:rPr>
          <w:rFonts w:ascii="Times New Roman" w:eastAsia="Times New Roman" w:hAnsi="Times New Roman" w:cs="Times New Roman"/>
          <w:color w:val="000000"/>
          <w:kern w:val="0"/>
          <w:sz w:val="24"/>
          <w:szCs w:val="24"/>
          <w:shd w:val="clear" w:color="auto" w:fill="FFFFFF"/>
          <w14:ligatures w14:val="none"/>
        </w:rPr>
        <w:t>2017. № 2 (20). URL</w:t>
      </w:r>
      <w:r w:rsidRPr="00545909">
        <w:rPr>
          <w:rFonts w:ascii="Times New Roman" w:eastAsia="Times New Roman" w:hAnsi="Times New Roman" w:cs="Times New Roman"/>
          <w:color w:val="000000"/>
          <w:kern w:val="0"/>
          <w:sz w:val="24"/>
          <w:szCs w:val="24"/>
          <w:shd w:val="clear" w:color="auto" w:fill="FFFFFF"/>
          <w:lang w:val="ru-RU"/>
          <w14:ligatures w14:val="none"/>
        </w:rPr>
        <w:t xml:space="preserve">: </w:t>
      </w:r>
      <w:hyperlink r:id="rId59" w:history="1">
        <w:r w:rsidRPr="00545909">
          <w:rPr>
            <w:rFonts w:ascii="Times New Roman" w:eastAsia="Times New Roman" w:hAnsi="Times New Roman" w:cs="Times New Roman"/>
            <w:color w:val="000000"/>
            <w:kern w:val="0"/>
            <w:sz w:val="24"/>
            <w:szCs w:val="24"/>
            <w:u w:val="single"/>
            <w:shd w:val="clear" w:color="auto" w:fill="FFFFFF"/>
            <w14:ligatures w14:val="none"/>
          </w:rPr>
          <w:t>http</w:t>
        </w:r>
        <w:r w:rsidRPr="00545909">
          <w:rPr>
            <w:rFonts w:ascii="Times New Roman" w:eastAsia="Times New Roman" w:hAnsi="Times New Roman" w:cs="Times New Roman"/>
            <w:color w:val="000000"/>
            <w:kern w:val="0"/>
            <w:sz w:val="24"/>
            <w:szCs w:val="24"/>
            <w:u w:val="single"/>
            <w:shd w:val="clear" w:color="auto" w:fill="FFFFFF"/>
            <w:lang w:val="ru-RU"/>
            <w14:ligatures w14:val="none"/>
          </w:rPr>
          <w:t>://</w:t>
        </w:r>
        <w:r w:rsidRPr="00545909">
          <w:rPr>
            <w:rFonts w:ascii="Times New Roman" w:eastAsia="Times New Roman" w:hAnsi="Times New Roman" w:cs="Times New Roman"/>
            <w:color w:val="000000"/>
            <w:kern w:val="0"/>
            <w:sz w:val="24"/>
            <w:szCs w:val="24"/>
            <w:u w:val="single"/>
            <w:shd w:val="clear" w:color="auto" w:fill="FFFFFF"/>
            <w14:ligatures w14:val="none"/>
          </w:rPr>
          <w:t>umo</w:t>
        </w:r>
        <w:r w:rsidRPr="00545909">
          <w:rPr>
            <w:rFonts w:ascii="Times New Roman" w:eastAsia="Times New Roman" w:hAnsi="Times New Roman" w:cs="Times New Roman"/>
            <w:color w:val="000000"/>
            <w:kern w:val="0"/>
            <w:sz w:val="24"/>
            <w:szCs w:val="24"/>
            <w:u w:val="single"/>
            <w:shd w:val="clear" w:color="auto" w:fill="FFFFFF"/>
            <w:lang w:val="ru-RU"/>
            <w14:ligatures w14:val="none"/>
          </w:rPr>
          <w:t>.</w:t>
        </w:r>
        <w:r w:rsidRPr="00545909">
          <w:rPr>
            <w:rFonts w:ascii="Times New Roman" w:eastAsia="Times New Roman" w:hAnsi="Times New Roman" w:cs="Times New Roman"/>
            <w:color w:val="000000"/>
            <w:kern w:val="0"/>
            <w:sz w:val="24"/>
            <w:szCs w:val="24"/>
            <w:u w:val="single"/>
            <w:shd w:val="clear" w:color="auto" w:fill="FFFFFF"/>
            <w14:ligatures w14:val="none"/>
          </w:rPr>
          <w:t>edu</w:t>
        </w:r>
        <w:r w:rsidRPr="00545909">
          <w:rPr>
            <w:rFonts w:ascii="Times New Roman" w:eastAsia="Times New Roman" w:hAnsi="Times New Roman" w:cs="Times New Roman"/>
            <w:color w:val="000000"/>
            <w:kern w:val="0"/>
            <w:sz w:val="24"/>
            <w:szCs w:val="24"/>
            <w:u w:val="single"/>
            <w:shd w:val="clear" w:color="auto" w:fill="FFFFFF"/>
            <w:lang w:val="ru-RU"/>
            <w14:ligatures w14:val="none"/>
          </w:rPr>
          <w:t>.</w:t>
        </w:r>
        <w:r w:rsidRPr="00545909">
          <w:rPr>
            <w:rFonts w:ascii="Times New Roman" w:eastAsia="Times New Roman" w:hAnsi="Times New Roman" w:cs="Times New Roman"/>
            <w:color w:val="000000"/>
            <w:kern w:val="0"/>
            <w:sz w:val="24"/>
            <w:szCs w:val="24"/>
            <w:u w:val="single"/>
            <w:shd w:val="clear" w:color="auto" w:fill="FFFFFF"/>
            <w14:ligatures w14:val="none"/>
          </w:rPr>
          <w:t>ua</w:t>
        </w:r>
        <w:r w:rsidRPr="00545909">
          <w:rPr>
            <w:rFonts w:ascii="Times New Roman" w:eastAsia="Times New Roman" w:hAnsi="Times New Roman" w:cs="Times New Roman"/>
            <w:color w:val="000000"/>
            <w:kern w:val="0"/>
            <w:sz w:val="24"/>
            <w:szCs w:val="24"/>
            <w:u w:val="single"/>
            <w:shd w:val="clear" w:color="auto" w:fill="FFFFFF"/>
            <w:lang w:val="ru-RU"/>
            <w14:ligatures w14:val="none"/>
          </w:rPr>
          <w:t>/</w:t>
        </w:r>
        <w:r w:rsidRPr="00545909">
          <w:rPr>
            <w:rFonts w:ascii="Times New Roman" w:eastAsia="Times New Roman" w:hAnsi="Times New Roman" w:cs="Times New Roman"/>
            <w:color w:val="000000"/>
            <w:kern w:val="0"/>
            <w:sz w:val="24"/>
            <w:szCs w:val="24"/>
            <w:u w:val="single"/>
            <w:shd w:val="clear" w:color="auto" w:fill="FFFFFF"/>
            <w14:ligatures w14:val="none"/>
          </w:rPr>
          <w:t>images</w:t>
        </w:r>
        <w:r w:rsidRPr="00545909">
          <w:rPr>
            <w:rFonts w:ascii="Times New Roman" w:eastAsia="Times New Roman" w:hAnsi="Times New Roman" w:cs="Times New Roman"/>
            <w:color w:val="000000"/>
            <w:kern w:val="0"/>
            <w:sz w:val="24"/>
            <w:szCs w:val="24"/>
            <w:u w:val="single"/>
            <w:shd w:val="clear" w:color="auto" w:fill="FFFFFF"/>
            <w:lang w:val="ru-RU"/>
            <w14:ligatures w14:val="none"/>
          </w:rPr>
          <w:t>/</w:t>
        </w:r>
        <w:r w:rsidRPr="00545909">
          <w:rPr>
            <w:rFonts w:ascii="Times New Roman" w:eastAsia="Times New Roman" w:hAnsi="Times New Roman" w:cs="Times New Roman"/>
            <w:color w:val="000000"/>
            <w:kern w:val="0"/>
            <w:sz w:val="24"/>
            <w:szCs w:val="24"/>
            <w:u w:val="single"/>
            <w:shd w:val="clear" w:color="auto" w:fill="FFFFFF"/>
            <w14:ligatures w14:val="none"/>
          </w:rPr>
          <w:t>content</w:t>
        </w:r>
        <w:r w:rsidRPr="00545909">
          <w:rPr>
            <w:rFonts w:ascii="Times New Roman" w:eastAsia="Times New Roman" w:hAnsi="Times New Roman" w:cs="Times New Roman"/>
            <w:color w:val="000000"/>
            <w:kern w:val="0"/>
            <w:sz w:val="24"/>
            <w:szCs w:val="24"/>
            <w:u w:val="single"/>
            <w:shd w:val="clear" w:color="auto" w:fill="FFFFFF"/>
            <w:lang w:val="ru-RU"/>
            <w14:ligatures w14:val="none"/>
          </w:rPr>
          <w:t>/</w:t>
        </w:r>
        <w:r w:rsidRPr="00545909">
          <w:rPr>
            <w:rFonts w:ascii="Times New Roman" w:eastAsia="Times New Roman" w:hAnsi="Times New Roman" w:cs="Times New Roman"/>
            <w:color w:val="000000"/>
            <w:kern w:val="0"/>
            <w:sz w:val="24"/>
            <w:szCs w:val="24"/>
            <w:u w:val="single"/>
            <w:shd w:val="clear" w:color="auto" w:fill="FFFFFF"/>
            <w14:ligatures w14:val="none"/>
          </w:rPr>
          <w:t>nashi</w:t>
        </w:r>
        <w:r w:rsidRPr="00545909">
          <w:rPr>
            <w:rFonts w:ascii="Times New Roman" w:eastAsia="Times New Roman" w:hAnsi="Times New Roman" w:cs="Times New Roman"/>
            <w:color w:val="000000"/>
            <w:kern w:val="0"/>
            <w:sz w:val="24"/>
            <w:szCs w:val="24"/>
            <w:u w:val="single"/>
            <w:shd w:val="clear" w:color="auto" w:fill="FFFFFF"/>
            <w:lang w:val="ru-RU"/>
            <w14:ligatures w14:val="none"/>
          </w:rPr>
          <w:t>_</w:t>
        </w:r>
        <w:r w:rsidRPr="00545909">
          <w:rPr>
            <w:rFonts w:ascii="Times New Roman" w:eastAsia="Times New Roman" w:hAnsi="Times New Roman" w:cs="Times New Roman"/>
            <w:color w:val="000000"/>
            <w:kern w:val="0"/>
            <w:sz w:val="24"/>
            <w:szCs w:val="24"/>
            <w:u w:val="single"/>
            <w:shd w:val="clear" w:color="auto" w:fill="FFFFFF"/>
            <w14:ligatures w14:val="none"/>
          </w:rPr>
          <w:t>vydanya</w:t>
        </w:r>
        <w:r w:rsidRPr="00545909">
          <w:rPr>
            <w:rFonts w:ascii="Times New Roman" w:eastAsia="Times New Roman" w:hAnsi="Times New Roman" w:cs="Times New Roman"/>
            <w:color w:val="000000"/>
            <w:kern w:val="0"/>
            <w:sz w:val="24"/>
            <w:szCs w:val="24"/>
            <w:u w:val="single"/>
            <w:shd w:val="clear" w:color="auto" w:fill="FFFFFF"/>
            <w:lang w:val="ru-RU"/>
            <w14:ligatures w14:val="none"/>
          </w:rPr>
          <w:t>/</w:t>
        </w:r>
        <w:r w:rsidRPr="00545909">
          <w:rPr>
            <w:rFonts w:ascii="Times New Roman" w:eastAsia="Times New Roman" w:hAnsi="Times New Roman" w:cs="Times New Roman"/>
            <w:color w:val="000000"/>
            <w:kern w:val="0"/>
            <w:sz w:val="24"/>
            <w:szCs w:val="24"/>
            <w:u w:val="single"/>
            <w:shd w:val="clear" w:color="auto" w:fill="FFFFFF"/>
            <w14:ligatures w14:val="none"/>
          </w:rPr>
          <w:t>metod</w:t>
        </w:r>
        <w:r w:rsidRPr="00545909">
          <w:rPr>
            <w:rFonts w:ascii="Times New Roman" w:eastAsia="Times New Roman" w:hAnsi="Times New Roman" w:cs="Times New Roman"/>
            <w:color w:val="000000"/>
            <w:kern w:val="0"/>
            <w:sz w:val="24"/>
            <w:szCs w:val="24"/>
            <w:u w:val="single"/>
            <w:shd w:val="clear" w:color="auto" w:fill="FFFFFF"/>
            <w:lang w:val="ru-RU"/>
            <w14:ligatures w14:val="none"/>
          </w:rPr>
          <w:t>_</w:t>
        </w:r>
        <w:r w:rsidRPr="00545909">
          <w:rPr>
            <w:rFonts w:ascii="Times New Roman" w:eastAsia="Times New Roman" w:hAnsi="Times New Roman" w:cs="Times New Roman"/>
            <w:color w:val="000000"/>
            <w:kern w:val="0"/>
            <w:sz w:val="24"/>
            <w:szCs w:val="24"/>
            <w:u w:val="single"/>
            <w:shd w:val="clear" w:color="auto" w:fill="FFFFFF"/>
            <w14:ligatures w14:val="none"/>
          </w:rPr>
          <w:t>upr</w:t>
        </w:r>
        <w:r w:rsidRPr="00545909">
          <w:rPr>
            <w:rFonts w:ascii="Times New Roman" w:eastAsia="Times New Roman" w:hAnsi="Times New Roman" w:cs="Times New Roman"/>
            <w:color w:val="000000"/>
            <w:kern w:val="0"/>
            <w:sz w:val="24"/>
            <w:szCs w:val="24"/>
            <w:u w:val="single"/>
            <w:shd w:val="clear" w:color="auto" w:fill="FFFFFF"/>
            <w:lang w:val="ru-RU"/>
            <w14:ligatures w14:val="none"/>
          </w:rPr>
          <w:t>_</w:t>
        </w:r>
        <w:r w:rsidRPr="00545909">
          <w:rPr>
            <w:rFonts w:ascii="Times New Roman" w:eastAsia="Times New Roman" w:hAnsi="Times New Roman" w:cs="Times New Roman"/>
            <w:color w:val="000000"/>
            <w:kern w:val="0"/>
            <w:sz w:val="24"/>
            <w:szCs w:val="24"/>
            <w:u w:val="single"/>
            <w:shd w:val="clear" w:color="auto" w:fill="FFFFFF"/>
            <w14:ligatures w14:val="none"/>
          </w:rPr>
          <w:t>osvit</w:t>
        </w:r>
        <w:r w:rsidRPr="00545909">
          <w:rPr>
            <w:rFonts w:ascii="Times New Roman" w:eastAsia="Times New Roman" w:hAnsi="Times New Roman" w:cs="Times New Roman"/>
            <w:color w:val="000000"/>
            <w:kern w:val="0"/>
            <w:sz w:val="24"/>
            <w:szCs w:val="24"/>
            <w:u w:val="single"/>
            <w:shd w:val="clear" w:color="auto" w:fill="FFFFFF"/>
            <w:lang w:val="ru-RU"/>
            <w14:ligatures w14:val="none"/>
          </w:rPr>
          <w:t>/</w:t>
        </w:r>
        <w:r w:rsidRPr="00545909">
          <w:rPr>
            <w:rFonts w:ascii="Times New Roman" w:eastAsia="Times New Roman" w:hAnsi="Times New Roman" w:cs="Times New Roman"/>
            <w:color w:val="000000"/>
            <w:kern w:val="0"/>
            <w:sz w:val="24"/>
            <w:szCs w:val="24"/>
            <w:u w:val="single"/>
            <w:shd w:val="clear" w:color="auto" w:fill="FFFFFF"/>
            <w14:ligatures w14:val="none"/>
          </w:rPr>
          <w:t>v</w:t>
        </w:r>
        <w:r w:rsidRPr="00545909">
          <w:rPr>
            <w:rFonts w:ascii="Times New Roman" w:eastAsia="Times New Roman" w:hAnsi="Times New Roman" w:cs="Times New Roman"/>
            <w:color w:val="000000"/>
            <w:kern w:val="0"/>
            <w:sz w:val="24"/>
            <w:szCs w:val="24"/>
            <w:u w:val="single"/>
            <w:shd w:val="clear" w:color="auto" w:fill="FFFFFF"/>
            <w:lang w:val="ru-RU"/>
            <w14:ligatures w14:val="none"/>
          </w:rPr>
          <w:t>2_17/Чумак.</w:t>
        </w:r>
        <w:r w:rsidRPr="00545909">
          <w:rPr>
            <w:rFonts w:ascii="Times New Roman" w:eastAsia="Times New Roman" w:hAnsi="Times New Roman" w:cs="Times New Roman"/>
            <w:color w:val="000000"/>
            <w:kern w:val="0"/>
            <w:sz w:val="24"/>
            <w:szCs w:val="24"/>
            <w:u w:val="single"/>
            <w:shd w:val="clear" w:color="auto" w:fill="FFFFFF"/>
            <w14:ligatures w14:val="none"/>
          </w:rPr>
          <w:t>pdf</w:t>
        </w:r>
      </w:hyperlink>
      <w:r w:rsidRPr="00545909">
        <w:rPr>
          <w:rFonts w:ascii="Times New Roman" w:eastAsia="Times New Roman" w:hAnsi="Times New Roman" w:cs="Times New Roman"/>
          <w:color w:val="000000"/>
          <w:kern w:val="0"/>
          <w:sz w:val="24"/>
          <w:szCs w:val="24"/>
          <w:shd w:val="clear" w:color="auto" w:fill="FFFFFF"/>
          <w:lang w:val="ru-RU"/>
          <w14:ligatures w14:val="none"/>
        </w:rPr>
        <w:t xml:space="preserve"> (дата звернення: 27.01.2026).</w:t>
      </w:r>
    </w:p>
    <w:p w14:paraId="5B1F6194"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lang w:val="ru-RU"/>
          <w14:ligatures w14:val="none"/>
        </w:rPr>
        <w:t xml:space="preserve">Шинкарук О. Академічна доброчесність як складова академічної  культури учасників освітнього і наукового процесу. </w:t>
      </w:r>
      <w:r w:rsidRPr="00545909">
        <w:rPr>
          <w:rFonts w:ascii="Times New Roman" w:eastAsia="Times New Roman" w:hAnsi="Times New Roman" w:cs="Times New Roman"/>
          <w:i/>
          <w:iCs/>
          <w:color w:val="000000"/>
          <w:kern w:val="0"/>
          <w:sz w:val="24"/>
          <w:szCs w:val="24"/>
          <w:lang w:val="ru-RU"/>
          <w14:ligatures w14:val="none"/>
        </w:rPr>
        <w:t>Педагогічні науки: теорія, історія, інноваційні технології.</w:t>
      </w:r>
      <w:r w:rsidRPr="00545909">
        <w:rPr>
          <w:rFonts w:ascii="Times New Roman" w:eastAsia="Times New Roman" w:hAnsi="Times New Roman" w:cs="Times New Roman"/>
          <w:color w:val="000000"/>
          <w:kern w:val="0"/>
          <w:sz w:val="24"/>
          <w:szCs w:val="24"/>
          <w:lang w:val="ru-RU"/>
          <w14:ligatures w14:val="none"/>
        </w:rPr>
        <w:t xml:space="preserve"> 2023. № 4 (128). С. 338–347. </w:t>
      </w:r>
      <w:hyperlink r:id="rId60" w:history="1">
        <w:r w:rsidRPr="00545909">
          <w:rPr>
            <w:rFonts w:ascii="Times New Roman" w:eastAsia="Times New Roman" w:hAnsi="Times New Roman" w:cs="Times New Roman"/>
            <w:color w:val="000000"/>
            <w:kern w:val="0"/>
            <w:sz w:val="24"/>
            <w:szCs w:val="24"/>
            <w:u w:val="single"/>
            <w:lang w:val="ru-RU"/>
            <w14:ligatures w14:val="none"/>
          </w:rPr>
          <w:t>https://doi.org/10.24139/2312‐5993/2023.04/338‐347</w:t>
        </w:r>
      </w:hyperlink>
      <w:r w:rsidRPr="00545909">
        <w:rPr>
          <w:rFonts w:ascii="Times New Roman" w:eastAsia="Times New Roman" w:hAnsi="Times New Roman" w:cs="Times New Roman"/>
          <w:color w:val="000000"/>
          <w:kern w:val="0"/>
          <w:sz w:val="24"/>
          <w:szCs w:val="24"/>
          <w:lang w:val="ru-RU"/>
          <w14:ligatures w14:val="none"/>
        </w:rPr>
        <w:t xml:space="preserve"> </w:t>
      </w:r>
    </w:p>
    <w:p w14:paraId="2AA15030"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14:ligatures w14:val="none"/>
        </w:rPr>
        <w:t xml:space="preserve">Amrane-Cooper L., Hatzipanagos, S., &amp; Tait, A. Developing Student Behaviours that Support Academic Integrity in Distance Learning. </w:t>
      </w:r>
      <w:r w:rsidRPr="00545909">
        <w:rPr>
          <w:rFonts w:ascii="Times New Roman" w:eastAsia="Times New Roman" w:hAnsi="Times New Roman" w:cs="Times New Roman"/>
          <w:i/>
          <w:iCs/>
          <w:color w:val="000000"/>
          <w:kern w:val="0"/>
          <w:sz w:val="24"/>
          <w:szCs w:val="24"/>
          <w14:ligatures w14:val="none"/>
        </w:rPr>
        <w:t xml:space="preserve">Open Praxis. </w:t>
      </w:r>
      <w:r w:rsidRPr="00545909">
        <w:rPr>
          <w:rFonts w:ascii="Times New Roman" w:eastAsia="Times New Roman" w:hAnsi="Times New Roman" w:cs="Times New Roman"/>
          <w:color w:val="000000"/>
          <w:kern w:val="0"/>
          <w:sz w:val="24"/>
          <w:szCs w:val="24"/>
          <w14:ligatures w14:val="none"/>
        </w:rPr>
        <w:t>2021.</w:t>
      </w:r>
      <w:r w:rsidRPr="00545909">
        <w:rPr>
          <w:rFonts w:ascii="Times New Roman" w:eastAsia="Times New Roman" w:hAnsi="Times New Roman" w:cs="Times New Roman"/>
          <w:i/>
          <w:iCs/>
          <w:color w:val="000000"/>
          <w:kern w:val="0"/>
          <w:sz w:val="24"/>
          <w:szCs w:val="24"/>
          <w14:ligatures w14:val="none"/>
        </w:rPr>
        <w:t xml:space="preserve"> </w:t>
      </w:r>
      <w:r w:rsidRPr="00545909">
        <w:rPr>
          <w:rFonts w:ascii="Times New Roman" w:eastAsia="Times New Roman" w:hAnsi="Times New Roman" w:cs="Times New Roman"/>
          <w:color w:val="000000"/>
          <w:kern w:val="0"/>
          <w:sz w:val="24"/>
          <w:szCs w:val="24"/>
          <w14:ligatures w14:val="none"/>
        </w:rPr>
        <w:t xml:space="preserve">Vol. 13, Issue 4. P. 378–384. </w:t>
      </w:r>
      <w:hyperlink r:id="rId61" w:history="1">
        <w:r w:rsidRPr="00545909">
          <w:rPr>
            <w:rFonts w:ascii="Times New Roman" w:eastAsia="Times New Roman" w:hAnsi="Times New Roman" w:cs="Times New Roman"/>
            <w:color w:val="000000"/>
            <w:kern w:val="0"/>
            <w:sz w:val="24"/>
            <w:szCs w:val="24"/>
            <w:u w:val="single"/>
            <w14:ligatures w14:val="none"/>
          </w:rPr>
          <w:t>https://doi.org/10.55982/openpraxis.13.4.461</w:t>
        </w:r>
      </w:hyperlink>
      <w:r w:rsidRPr="00545909">
        <w:rPr>
          <w:rFonts w:ascii="Times New Roman" w:eastAsia="Times New Roman" w:hAnsi="Times New Roman" w:cs="Times New Roman"/>
          <w:color w:val="000000"/>
          <w:kern w:val="0"/>
          <w:sz w:val="24"/>
          <w:szCs w:val="24"/>
          <w14:ligatures w14:val="none"/>
        </w:rPr>
        <w:t xml:space="preserve"> </w:t>
      </w:r>
    </w:p>
    <w:p w14:paraId="426B6911"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14:ligatures w14:val="none"/>
        </w:rPr>
        <w:t xml:space="preserve">Alsharefeen R., &amp; Al Sayari N. Examining Academic Integrity Policy and Practice in the Era of AI: A Case Study of Faculty Perspectives. </w:t>
      </w:r>
      <w:r w:rsidRPr="00545909">
        <w:rPr>
          <w:rFonts w:ascii="Times New Roman" w:eastAsia="Times New Roman" w:hAnsi="Times New Roman" w:cs="Times New Roman"/>
          <w:i/>
          <w:iCs/>
          <w:color w:val="000000"/>
          <w:kern w:val="0"/>
          <w:sz w:val="24"/>
          <w:szCs w:val="24"/>
          <w14:ligatures w14:val="none"/>
        </w:rPr>
        <w:t xml:space="preserve">Front. Educ. </w:t>
      </w:r>
      <w:r w:rsidRPr="00545909">
        <w:rPr>
          <w:rFonts w:ascii="Times New Roman" w:eastAsia="Times New Roman" w:hAnsi="Times New Roman" w:cs="Times New Roman"/>
          <w:color w:val="000000"/>
          <w:kern w:val="0"/>
          <w:sz w:val="24"/>
          <w:szCs w:val="24"/>
          <w14:ligatures w14:val="none"/>
        </w:rPr>
        <w:t>2025</w:t>
      </w:r>
      <w:r w:rsidRPr="00545909">
        <w:rPr>
          <w:rFonts w:ascii="Times New Roman" w:eastAsia="Times New Roman" w:hAnsi="Times New Roman" w:cs="Times New Roman"/>
          <w:i/>
          <w:iCs/>
          <w:color w:val="000000"/>
          <w:kern w:val="0"/>
          <w:sz w:val="24"/>
          <w:szCs w:val="24"/>
          <w14:ligatures w14:val="none"/>
        </w:rPr>
        <w:t>,</w:t>
      </w:r>
      <w:r w:rsidRPr="00545909">
        <w:rPr>
          <w:rFonts w:ascii="Times New Roman" w:eastAsia="Times New Roman" w:hAnsi="Times New Roman" w:cs="Times New Roman"/>
          <w:color w:val="000000"/>
          <w:kern w:val="0"/>
          <w:sz w:val="24"/>
          <w:szCs w:val="24"/>
          <w14:ligatures w14:val="none"/>
        </w:rPr>
        <w:t xml:space="preserve"> 10:1621743. </w:t>
      </w:r>
      <w:hyperlink r:id="rId62" w:history="1">
        <w:r w:rsidRPr="00545909">
          <w:rPr>
            <w:rFonts w:ascii="Times New Roman" w:eastAsia="Times New Roman" w:hAnsi="Times New Roman" w:cs="Times New Roman"/>
            <w:color w:val="000000"/>
            <w:kern w:val="0"/>
            <w:sz w:val="24"/>
            <w:szCs w:val="24"/>
            <w:u w:val="single"/>
            <w14:ligatures w14:val="none"/>
          </w:rPr>
          <w:t>https://doi.org/10.3389/feduc.2025.1621743</w:t>
        </w:r>
      </w:hyperlink>
      <w:r w:rsidRPr="00545909">
        <w:rPr>
          <w:rFonts w:ascii="Times New Roman" w:eastAsia="Times New Roman" w:hAnsi="Times New Roman" w:cs="Times New Roman"/>
          <w:color w:val="000000"/>
          <w:kern w:val="0"/>
          <w:sz w:val="24"/>
          <w:szCs w:val="24"/>
          <w14:ligatures w14:val="none"/>
        </w:rPr>
        <w:t xml:space="preserve"> </w:t>
      </w:r>
    </w:p>
    <w:p w14:paraId="02D24A6E"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14:ligatures w14:val="none"/>
        </w:rPr>
        <w:t>Balalle</w:t>
      </w:r>
      <w:r w:rsidRPr="00545909">
        <w:rPr>
          <w:rFonts w:ascii="Times New Roman" w:eastAsia="Times New Roman" w:hAnsi="Times New Roman" w:cs="Times New Roman"/>
          <w:color w:val="000000"/>
          <w:kern w:val="0"/>
          <w:sz w:val="24"/>
          <w:szCs w:val="24"/>
          <w:shd w:val="clear" w:color="auto" w:fill="FFFFFF"/>
          <w14:ligatures w14:val="none"/>
        </w:rPr>
        <w:t xml:space="preserve"> H., Pannilage S. Reassessing Academic Integrity in the Age of AI: A Systematic Literature Review on AI and Academic Integrity. </w:t>
      </w:r>
      <w:r w:rsidRPr="00545909">
        <w:rPr>
          <w:rFonts w:ascii="Times New Roman" w:eastAsia="Times New Roman" w:hAnsi="Times New Roman" w:cs="Times New Roman"/>
          <w:i/>
          <w:iCs/>
          <w:color w:val="000000"/>
          <w:kern w:val="0"/>
          <w:sz w:val="24"/>
          <w:szCs w:val="24"/>
          <w:shd w:val="clear" w:color="auto" w:fill="FFFFFF"/>
          <w14:ligatures w14:val="none"/>
        </w:rPr>
        <w:t>Soc Sci Hum Open</w:t>
      </w:r>
      <w:r w:rsidRPr="00545909">
        <w:rPr>
          <w:rFonts w:ascii="Times New Roman" w:eastAsia="Times New Roman" w:hAnsi="Times New Roman" w:cs="Times New Roman"/>
          <w:color w:val="000000"/>
          <w:kern w:val="0"/>
          <w:sz w:val="24"/>
          <w:szCs w:val="24"/>
          <w:shd w:val="clear" w:color="auto" w:fill="FFFFFF"/>
          <w14:ligatures w14:val="none"/>
        </w:rPr>
        <w:t xml:space="preserve">. 2025. </w:t>
      </w:r>
      <w:r w:rsidRPr="00545909">
        <w:rPr>
          <w:rFonts w:ascii="Times New Roman" w:eastAsia="Times New Roman" w:hAnsi="Times New Roman" w:cs="Times New Roman"/>
          <w:color w:val="000000"/>
          <w:kern w:val="0"/>
          <w:sz w:val="24"/>
          <w:szCs w:val="24"/>
          <w14:ligatures w14:val="none"/>
        </w:rPr>
        <w:t>Vol. </w:t>
      </w:r>
      <w:r w:rsidRPr="00545909">
        <w:rPr>
          <w:rFonts w:ascii="Times New Roman" w:eastAsia="Times New Roman" w:hAnsi="Times New Roman" w:cs="Times New Roman"/>
          <w:color w:val="000000"/>
          <w:kern w:val="0"/>
          <w:sz w:val="24"/>
          <w:szCs w:val="24"/>
          <w:shd w:val="clear" w:color="auto" w:fill="FFFFFF"/>
          <w14:ligatures w14:val="none"/>
        </w:rPr>
        <w:t xml:space="preserve">11, </w:t>
      </w:r>
      <w:r w:rsidRPr="00545909">
        <w:rPr>
          <w:rFonts w:ascii="Times New Roman" w:eastAsia="Times New Roman" w:hAnsi="Times New Roman" w:cs="Times New Roman"/>
          <w:color w:val="000000"/>
          <w:kern w:val="0"/>
          <w:sz w:val="24"/>
          <w:szCs w:val="24"/>
          <w14:ligatures w14:val="none"/>
        </w:rPr>
        <w:t>Issue </w:t>
      </w:r>
      <w:r w:rsidRPr="00545909">
        <w:rPr>
          <w:rFonts w:ascii="Times New Roman" w:eastAsia="Times New Roman" w:hAnsi="Times New Roman" w:cs="Times New Roman"/>
          <w:color w:val="000000"/>
          <w:kern w:val="0"/>
          <w:sz w:val="24"/>
          <w:szCs w:val="24"/>
          <w:shd w:val="clear" w:color="auto" w:fill="FFFFFF"/>
          <w14:ligatures w14:val="none"/>
        </w:rPr>
        <w:t>1. </w:t>
      </w:r>
      <w:hyperlink r:id="rId63" w:history="1">
        <w:r w:rsidRPr="00545909">
          <w:rPr>
            <w:rFonts w:ascii="Times New Roman" w:eastAsia="Times New Roman" w:hAnsi="Times New Roman" w:cs="Times New Roman"/>
            <w:color w:val="000000"/>
            <w:kern w:val="0"/>
            <w:sz w:val="24"/>
            <w:szCs w:val="24"/>
            <w:u w:val="single"/>
            <w:shd w:val="clear" w:color="auto" w:fill="FFFFFF"/>
            <w14:ligatures w14:val="none"/>
          </w:rPr>
          <w:t>https://doi.org/10.1016/j.ssaho.2025.101299</w:t>
        </w:r>
      </w:hyperlink>
    </w:p>
    <w:p w14:paraId="6C1082BC"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14:ligatures w14:val="none"/>
        </w:rPr>
        <w:t xml:space="preserve">Bittle K., El-Gayar O. Generative AI and Academic Integrity in Higher Education: A Systematic Review and Research Agenda. </w:t>
      </w:r>
      <w:r w:rsidRPr="00545909">
        <w:rPr>
          <w:rFonts w:ascii="Times New Roman" w:eastAsia="Times New Roman" w:hAnsi="Times New Roman" w:cs="Times New Roman"/>
          <w:i/>
          <w:iCs/>
          <w:color w:val="000000"/>
          <w:kern w:val="0"/>
          <w:sz w:val="24"/>
          <w:szCs w:val="24"/>
          <w14:ligatures w14:val="none"/>
        </w:rPr>
        <w:t>Information</w:t>
      </w:r>
      <w:r w:rsidRPr="00545909">
        <w:rPr>
          <w:rFonts w:ascii="Times New Roman" w:eastAsia="Times New Roman" w:hAnsi="Times New Roman" w:cs="Times New Roman"/>
          <w:color w:val="000000"/>
          <w:kern w:val="0"/>
          <w:sz w:val="24"/>
          <w:szCs w:val="24"/>
          <w14:ligatures w14:val="none"/>
        </w:rPr>
        <w:t xml:space="preserve">. 2025. Vol. 16, 296. </w:t>
      </w:r>
      <w:hyperlink r:id="rId64" w:history="1">
        <w:r w:rsidRPr="00545909">
          <w:rPr>
            <w:rFonts w:ascii="Times New Roman" w:eastAsia="Times New Roman" w:hAnsi="Times New Roman" w:cs="Times New Roman"/>
            <w:color w:val="000000"/>
            <w:kern w:val="0"/>
            <w:sz w:val="24"/>
            <w:szCs w:val="24"/>
            <w:u w:val="single"/>
            <w14:ligatures w14:val="none"/>
          </w:rPr>
          <w:t>https://doi.org/10.3390/info16040296</w:t>
        </w:r>
      </w:hyperlink>
      <w:r w:rsidRPr="00545909">
        <w:rPr>
          <w:rFonts w:ascii="Times New Roman" w:eastAsia="Times New Roman" w:hAnsi="Times New Roman" w:cs="Times New Roman"/>
          <w:color w:val="000000"/>
          <w:kern w:val="0"/>
          <w:sz w:val="24"/>
          <w:szCs w:val="24"/>
          <w14:ligatures w14:val="none"/>
        </w:rPr>
        <w:t xml:space="preserve"> </w:t>
      </w:r>
    </w:p>
    <w:p w14:paraId="268A2E9D"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14:ligatures w14:val="none"/>
        </w:rPr>
        <w:t xml:space="preserve">Bozkurt A. GenAI et al.: Cocreation, Authorship, Ownership, Academic Ethics and Integrity in a Time of Generative AI. </w:t>
      </w:r>
      <w:r w:rsidRPr="00545909">
        <w:rPr>
          <w:rFonts w:ascii="Times New Roman" w:eastAsia="Times New Roman" w:hAnsi="Times New Roman" w:cs="Times New Roman"/>
          <w:i/>
          <w:iCs/>
          <w:color w:val="000000"/>
          <w:kern w:val="0"/>
          <w:sz w:val="24"/>
          <w:szCs w:val="24"/>
          <w:lang w:val="ru-RU"/>
          <w14:ligatures w14:val="none"/>
        </w:rPr>
        <w:t>Open Praxis</w:t>
      </w:r>
      <w:r w:rsidRPr="00545909">
        <w:rPr>
          <w:rFonts w:ascii="Times New Roman" w:eastAsia="Times New Roman" w:hAnsi="Times New Roman" w:cs="Times New Roman"/>
          <w:color w:val="000000"/>
          <w:kern w:val="0"/>
          <w:sz w:val="24"/>
          <w:szCs w:val="24"/>
          <w14:ligatures w14:val="none"/>
        </w:rPr>
        <w:t>. 2024. Vol. </w:t>
      </w:r>
      <w:r w:rsidRPr="00545909">
        <w:rPr>
          <w:rFonts w:ascii="Times New Roman" w:eastAsia="Times New Roman" w:hAnsi="Times New Roman" w:cs="Times New Roman"/>
          <w:color w:val="000000"/>
          <w:kern w:val="0"/>
          <w:sz w:val="24"/>
          <w:szCs w:val="24"/>
          <w:lang w:val="ru-RU"/>
          <w14:ligatures w14:val="none"/>
        </w:rPr>
        <w:t>16</w:t>
      </w:r>
      <w:r w:rsidRPr="00545909">
        <w:rPr>
          <w:rFonts w:ascii="Times New Roman" w:eastAsia="Times New Roman" w:hAnsi="Times New Roman" w:cs="Times New Roman"/>
          <w:color w:val="000000"/>
          <w:kern w:val="0"/>
          <w:sz w:val="24"/>
          <w:szCs w:val="24"/>
          <w14:ligatures w14:val="none"/>
        </w:rPr>
        <w:t xml:space="preserve">, Issue </w:t>
      </w:r>
      <w:r w:rsidRPr="00545909">
        <w:rPr>
          <w:rFonts w:ascii="Times New Roman" w:eastAsia="Times New Roman" w:hAnsi="Times New Roman" w:cs="Times New Roman"/>
          <w:color w:val="000000"/>
          <w:kern w:val="0"/>
          <w:sz w:val="24"/>
          <w:szCs w:val="24"/>
          <w:lang w:val="ru-RU"/>
          <w14:ligatures w14:val="none"/>
        </w:rPr>
        <w:t>1</w:t>
      </w:r>
      <w:r w:rsidRPr="00545909">
        <w:rPr>
          <w:rFonts w:ascii="Times New Roman" w:eastAsia="Times New Roman" w:hAnsi="Times New Roman" w:cs="Times New Roman"/>
          <w:color w:val="000000"/>
          <w:kern w:val="0"/>
          <w:sz w:val="24"/>
          <w:szCs w:val="24"/>
          <w14:ligatures w14:val="none"/>
        </w:rPr>
        <w:t>. P. </w:t>
      </w:r>
      <w:r w:rsidRPr="00545909">
        <w:rPr>
          <w:rFonts w:ascii="Times New Roman" w:eastAsia="Times New Roman" w:hAnsi="Times New Roman" w:cs="Times New Roman"/>
          <w:color w:val="000000"/>
          <w:kern w:val="0"/>
          <w:sz w:val="24"/>
          <w:szCs w:val="24"/>
          <w:lang w:val="ru-RU"/>
          <w14:ligatures w14:val="none"/>
        </w:rPr>
        <w:t xml:space="preserve">1–10. </w:t>
      </w:r>
      <w:hyperlink r:id="rId65" w:history="1">
        <w:r w:rsidRPr="00545909">
          <w:rPr>
            <w:rFonts w:ascii="Times New Roman" w:eastAsia="Times New Roman" w:hAnsi="Times New Roman" w:cs="Times New Roman"/>
            <w:color w:val="000000"/>
            <w:kern w:val="0"/>
            <w:sz w:val="24"/>
            <w:szCs w:val="24"/>
            <w:u w:val="single"/>
            <w:lang w:val="ru-RU"/>
            <w14:ligatures w14:val="none"/>
          </w:rPr>
          <w:t>https://doi.org/10.55982/openpraxis.16.1.654</w:t>
        </w:r>
      </w:hyperlink>
    </w:p>
    <w:p w14:paraId="29E1EA15"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14:ligatures w14:val="none"/>
        </w:rPr>
        <w:t>Campbell</w:t>
      </w:r>
      <w:r w:rsidRPr="00545909">
        <w:rPr>
          <w:rFonts w:ascii="Times New Roman" w:eastAsia="Times New Roman" w:hAnsi="Times New Roman" w:cs="Times New Roman"/>
          <w:color w:val="000000"/>
          <w:kern w:val="0"/>
          <w:sz w:val="24"/>
          <w:szCs w:val="24"/>
          <w:shd w:val="clear" w:color="auto" w:fill="FFFFFF"/>
          <w14:ligatures w14:val="none"/>
        </w:rPr>
        <w:t xml:space="preserve"> C., Waddington L. Academic Integrity Strategies: Student Insights. </w:t>
      </w:r>
      <w:r w:rsidRPr="00545909">
        <w:rPr>
          <w:rFonts w:ascii="Times New Roman" w:eastAsia="Times New Roman" w:hAnsi="Times New Roman" w:cs="Times New Roman"/>
          <w:i/>
          <w:iCs/>
          <w:color w:val="000000"/>
          <w:kern w:val="0"/>
          <w:sz w:val="24"/>
          <w:szCs w:val="24"/>
          <w:shd w:val="clear" w:color="auto" w:fill="FFFFFF"/>
          <w:lang w:val="ru-RU"/>
          <w14:ligatures w14:val="none"/>
        </w:rPr>
        <w:t>J Acad Ethics</w:t>
      </w:r>
      <w:r w:rsidRPr="00545909">
        <w:rPr>
          <w:rFonts w:ascii="Times New Roman" w:eastAsia="Times New Roman" w:hAnsi="Times New Roman" w:cs="Times New Roman"/>
          <w:color w:val="000000"/>
          <w:kern w:val="0"/>
          <w:sz w:val="24"/>
          <w:szCs w:val="24"/>
          <w:shd w:val="clear" w:color="auto" w:fill="FFFFFF"/>
          <w14:ligatures w14:val="none"/>
        </w:rPr>
        <w:t xml:space="preserve">. 2024. </w:t>
      </w:r>
      <w:r w:rsidRPr="00545909">
        <w:rPr>
          <w:rFonts w:ascii="Times New Roman" w:eastAsia="Times New Roman" w:hAnsi="Times New Roman" w:cs="Times New Roman"/>
          <w:color w:val="000000"/>
          <w:kern w:val="0"/>
          <w:sz w:val="24"/>
          <w:szCs w:val="24"/>
          <w14:ligatures w14:val="none"/>
        </w:rPr>
        <w:t>Vol. </w:t>
      </w:r>
      <w:r w:rsidRPr="00545909">
        <w:rPr>
          <w:rFonts w:ascii="Times New Roman" w:eastAsia="Times New Roman" w:hAnsi="Times New Roman" w:cs="Times New Roman"/>
          <w:color w:val="000000"/>
          <w:kern w:val="0"/>
          <w:sz w:val="24"/>
          <w:szCs w:val="24"/>
          <w:shd w:val="clear" w:color="auto" w:fill="FFFFFF"/>
          <w:lang w:val="ru-RU"/>
          <w14:ligatures w14:val="none"/>
        </w:rPr>
        <w:t>22</w:t>
      </w:r>
      <w:r w:rsidRPr="00545909">
        <w:rPr>
          <w:rFonts w:ascii="Times New Roman" w:eastAsia="Times New Roman" w:hAnsi="Times New Roman" w:cs="Times New Roman"/>
          <w:color w:val="000000"/>
          <w:kern w:val="0"/>
          <w:sz w:val="24"/>
          <w:szCs w:val="24"/>
          <w:shd w:val="clear" w:color="auto" w:fill="FFFFFF"/>
          <w14:ligatures w14:val="none"/>
        </w:rPr>
        <w:t>. P. </w:t>
      </w:r>
      <w:r w:rsidRPr="00545909">
        <w:rPr>
          <w:rFonts w:ascii="Times New Roman" w:eastAsia="Times New Roman" w:hAnsi="Times New Roman" w:cs="Times New Roman"/>
          <w:color w:val="000000"/>
          <w:kern w:val="0"/>
          <w:sz w:val="24"/>
          <w:szCs w:val="24"/>
          <w:shd w:val="clear" w:color="auto" w:fill="FFFFFF"/>
          <w:lang w:val="ru-RU"/>
          <w14:ligatures w14:val="none"/>
        </w:rPr>
        <w:t xml:space="preserve">33–50. </w:t>
      </w:r>
      <w:hyperlink r:id="rId66" w:history="1">
        <w:r w:rsidRPr="00545909">
          <w:rPr>
            <w:rFonts w:ascii="Times New Roman" w:eastAsia="Times New Roman" w:hAnsi="Times New Roman" w:cs="Times New Roman"/>
            <w:color w:val="000000"/>
            <w:kern w:val="0"/>
            <w:sz w:val="24"/>
            <w:szCs w:val="24"/>
            <w:u w:val="single"/>
            <w:shd w:val="clear" w:color="auto" w:fill="FFFFFF"/>
            <w:lang w:val="ru-RU"/>
            <w14:ligatures w14:val="none"/>
          </w:rPr>
          <w:t>https://doi.org/10.1007/s10805-024-09510-1</w:t>
        </w:r>
      </w:hyperlink>
    </w:p>
    <w:p w14:paraId="32EA94FB"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14:ligatures w14:val="none"/>
        </w:rPr>
        <w:t>Coates</w:t>
      </w:r>
      <w:r w:rsidRPr="00545909">
        <w:rPr>
          <w:rFonts w:ascii="Times New Roman" w:eastAsia="Times New Roman" w:hAnsi="Times New Roman" w:cs="Times New Roman"/>
          <w:color w:val="000000"/>
          <w:kern w:val="0"/>
          <w:sz w:val="24"/>
          <w:szCs w:val="24"/>
          <w:shd w:val="clear" w:color="auto" w:fill="FFFFFF"/>
          <w14:ligatures w14:val="none"/>
        </w:rPr>
        <w:t xml:space="preserve"> H., Croucher G., &amp; Calderon A. Governing Academic Integrity: Ensuring the Authenticity of Higher Thinking in the Era of Generative Artificial Intelligence. </w:t>
      </w:r>
      <w:r w:rsidRPr="00545909">
        <w:rPr>
          <w:rFonts w:ascii="Times New Roman" w:eastAsia="Times New Roman" w:hAnsi="Times New Roman" w:cs="Times New Roman"/>
          <w:i/>
          <w:iCs/>
          <w:color w:val="000000"/>
          <w:kern w:val="0"/>
          <w:sz w:val="24"/>
          <w:szCs w:val="24"/>
          <w:shd w:val="clear" w:color="auto" w:fill="FFFFFF"/>
          <w14:ligatures w14:val="none"/>
        </w:rPr>
        <w:t>J Acad Ethics</w:t>
      </w:r>
      <w:r w:rsidRPr="00545909">
        <w:rPr>
          <w:rFonts w:ascii="Times New Roman" w:eastAsia="Times New Roman" w:hAnsi="Times New Roman" w:cs="Times New Roman"/>
          <w:color w:val="000000"/>
          <w:kern w:val="0"/>
          <w:sz w:val="24"/>
          <w:szCs w:val="24"/>
          <w:shd w:val="clear" w:color="auto" w:fill="FFFFFF"/>
          <w14:ligatures w14:val="none"/>
        </w:rPr>
        <w:t xml:space="preserve">. 2025. </w:t>
      </w:r>
      <w:r w:rsidRPr="00545909">
        <w:rPr>
          <w:rFonts w:ascii="Times New Roman" w:eastAsia="Times New Roman" w:hAnsi="Times New Roman" w:cs="Times New Roman"/>
          <w:color w:val="000000"/>
          <w:kern w:val="0"/>
          <w:sz w:val="24"/>
          <w:szCs w:val="24"/>
          <w14:ligatures w14:val="none"/>
        </w:rPr>
        <w:t>Vol. </w:t>
      </w:r>
      <w:r w:rsidRPr="00545909">
        <w:rPr>
          <w:rFonts w:ascii="Times New Roman" w:eastAsia="Times New Roman" w:hAnsi="Times New Roman" w:cs="Times New Roman"/>
          <w:color w:val="000000"/>
          <w:kern w:val="0"/>
          <w:sz w:val="24"/>
          <w:szCs w:val="24"/>
          <w:shd w:val="clear" w:color="auto" w:fill="FFFFFF"/>
          <w14:ligatures w14:val="none"/>
        </w:rPr>
        <w:t xml:space="preserve">23. P. 2015–2028. </w:t>
      </w:r>
      <w:hyperlink r:id="rId67" w:history="1">
        <w:r w:rsidRPr="00545909">
          <w:rPr>
            <w:rFonts w:ascii="Times New Roman" w:eastAsia="Times New Roman" w:hAnsi="Times New Roman" w:cs="Times New Roman"/>
            <w:color w:val="000000"/>
            <w:kern w:val="0"/>
            <w:sz w:val="24"/>
            <w:szCs w:val="24"/>
            <w:u w:val="single"/>
            <w:shd w:val="clear" w:color="auto" w:fill="FFFFFF"/>
            <w14:ligatures w14:val="none"/>
          </w:rPr>
          <w:t>https://doi.org/10.1007/s10805-025-09639-7</w:t>
        </w:r>
      </w:hyperlink>
    </w:p>
    <w:p w14:paraId="34999330"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14:ligatures w14:val="none"/>
        </w:rPr>
        <w:t xml:space="preserve">Davis A. Academic Integrity in the Time of Contradictions. </w:t>
      </w:r>
      <w:r w:rsidRPr="00545909">
        <w:rPr>
          <w:rFonts w:ascii="Times New Roman" w:eastAsia="Times New Roman" w:hAnsi="Times New Roman" w:cs="Times New Roman"/>
          <w:i/>
          <w:iCs/>
          <w:color w:val="000000"/>
          <w:kern w:val="0"/>
          <w:sz w:val="24"/>
          <w:szCs w:val="24"/>
          <w14:ligatures w14:val="none"/>
        </w:rPr>
        <w:t xml:space="preserve">Cogent Education. </w:t>
      </w:r>
      <w:r w:rsidRPr="00545909">
        <w:rPr>
          <w:rFonts w:ascii="Times New Roman" w:eastAsia="Times New Roman" w:hAnsi="Times New Roman" w:cs="Times New Roman"/>
          <w:color w:val="000000"/>
          <w:kern w:val="0"/>
          <w:sz w:val="24"/>
          <w:szCs w:val="24"/>
          <w14:ligatures w14:val="none"/>
        </w:rPr>
        <w:t xml:space="preserve">2023. Vol. 10, Issue 2: 2289307. </w:t>
      </w:r>
      <w:hyperlink r:id="rId68" w:history="1">
        <w:r w:rsidRPr="00545909">
          <w:rPr>
            <w:rFonts w:ascii="Times New Roman" w:eastAsia="Times New Roman" w:hAnsi="Times New Roman" w:cs="Times New Roman"/>
            <w:color w:val="000000"/>
            <w:kern w:val="0"/>
            <w:sz w:val="24"/>
            <w:szCs w:val="24"/>
            <w:u w:val="single"/>
            <w14:ligatures w14:val="none"/>
          </w:rPr>
          <w:t>https://doi.org/10.1080/2331186X.2023.2289307</w:t>
        </w:r>
      </w:hyperlink>
      <w:r w:rsidRPr="00545909">
        <w:rPr>
          <w:rFonts w:ascii="Times New Roman" w:eastAsia="Times New Roman" w:hAnsi="Times New Roman" w:cs="Times New Roman"/>
          <w:color w:val="000000"/>
          <w:kern w:val="0"/>
          <w:sz w:val="24"/>
          <w:szCs w:val="24"/>
          <w14:ligatures w14:val="none"/>
        </w:rPr>
        <w:t xml:space="preserve"> </w:t>
      </w:r>
    </w:p>
    <w:p w14:paraId="46AF73BF"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lang w:eastAsia="uk-UA"/>
          <w14:ligatures w14:val="none"/>
        </w:rPr>
        <w:t xml:space="preserve">Duliba Y., Petroye O., Pletsan P., Havryliuk A., Antonenko V., &amp; </w:t>
      </w:r>
      <w:r w:rsidRPr="00545909">
        <w:rPr>
          <w:rFonts w:ascii="Times New Roman" w:eastAsia="Times New Roman" w:hAnsi="Times New Roman" w:cs="Times New Roman"/>
          <w:color w:val="000000"/>
          <w:kern w:val="0"/>
          <w:sz w:val="24"/>
          <w:szCs w:val="24"/>
          <w14:ligatures w14:val="none"/>
        </w:rPr>
        <w:t>Antonova</w:t>
      </w:r>
      <w:r w:rsidRPr="00545909">
        <w:rPr>
          <w:rFonts w:ascii="Times New Roman" w:eastAsia="Times New Roman" w:hAnsi="Times New Roman" w:cs="Times New Roman"/>
          <w:color w:val="000000"/>
          <w:kern w:val="0"/>
          <w:sz w:val="24"/>
          <w:szCs w:val="24"/>
          <w:lang w:eastAsia="uk-UA"/>
          <w14:ligatures w14:val="none"/>
        </w:rPr>
        <w:t xml:space="preserve"> O. Academic Integrity in Higher Educational Institutions in Times of the Covid-19 Pandemic: World Experience and Ukrainian Realities. </w:t>
      </w:r>
      <w:r w:rsidRPr="00545909">
        <w:rPr>
          <w:rFonts w:ascii="Times New Roman" w:eastAsia="Times New Roman" w:hAnsi="Times New Roman" w:cs="Times New Roman"/>
          <w:i/>
          <w:iCs/>
          <w:color w:val="000000"/>
          <w:kern w:val="0"/>
          <w:sz w:val="24"/>
          <w:szCs w:val="24"/>
          <w:lang w:eastAsia="uk-UA"/>
          <w14:ligatures w14:val="none"/>
        </w:rPr>
        <w:t xml:space="preserve">Revista Românească pentru Educaţie Multidimensională. </w:t>
      </w:r>
      <w:r w:rsidRPr="00545909">
        <w:rPr>
          <w:rFonts w:ascii="Times New Roman" w:eastAsia="Times New Roman" w:hAnsi="Times New Roman" w:cs="Times New Roman"/>
          <w:color w:val="000000"/>
          <w:kern w:val="0"/>
          <w:sz w:val="24"/>
          <w:szCs w:val="24"/>
          <w:lang w:eastAsia="uk-UA"/>
          <w14:ligatures w14:val="none"/>
        </w:rPr>
        <w:t xml:space="preserve">2022. </w:t>
      </w:r>
      <w:r w:rsidRPr="00545909">
        <w:rPr>
          <w:rFonts w:ascii="Times New Roman" w:eastAsia="Times New Roman" w:hAnsi="Times New Roman" w:cs="Times New Roman"/>
          <w:color w:val="000000"/>
          <w:kern w:val="0"/>
          <w:sz w:val="24"/>
          <w:szCs w:val="24"/>
          <w14:ligatures w14:val="none"/>
        </w:rPr>
        <w:t>Vol. </w:t>
      </w:r>
      <w:r w:rsidRPr="00545909">
        <w:rPr>
          <w:rFonts w:ascii="Times New Roman" w:eastAsia="Times New Roman" w:hAnsi="Times New Roman" w:cs="Times New Roman"/>
          <w:color w:val="000000"/>
          <w:kern w:val="0"/>
          <w:sz w:val="24"/>
          <w:szCs w:val="24"/>
          <w:lang w:eastAsia="uk-UA"/>
          <w14:ligatures w14:val="none"/>
        </w:rPr>
        <w:t>14, 4Sup1. P. 1</w:t>
      </w:r>
      <w:r w:rsidRPr="00545909">
        <w:rPr>
          <w:rFonts w:ascii="Times New Roman" w:eastAsia="Times New Roman" w:hAnsi="Times New Roman" w:cs="Times New Roman"/>
          <w:color w:val="000000"/>
          <w:kern w:val="0"/>
          <w:sz w:val="24"/>
          <w:szCs w:val="24"/>
          <w:shd w:val="clear" w:color="auto" w:fill="FFFFFF"/>
          <w14:ligatures w14:val="none"/>
        </w:rPr>
        <w:t>–</w:t>
      </w:r>
      <w:r w:rsidRPr="00545909">
        <w:rPr>
          <w:rFonts w:ascii="Times New Roman" w:eastAsia="Times New Roman" w:hAnsi="Times New Roman" w:cs="Times New Roman"/>
          <w:color w:val="000000"/>
          <w:kern w:val="0"/>
          <w:sz w:val="24"/>
          <w:szCs w:val="24"/>
          <w:lang w:eastAsia="uk-UA"/>
          <w14:ligatures w14:val="none"/>
        </w:rPr>
        <w:t xml:space="preserve">17. </w:t>
      </w:r>
      <w:hyperlink r:id="rId69" w:history="1">
        <w:r w:rsidRPr="00545909">
          <w:rPr>
            <w:rFonts w:ascii="Times New Roman" w:eastAsia="Times New Roman" w:hAnsi="Times New Roman" w:cs="Times New Roman"/>
            <w:color w:val="000000"/>
            <w:kern w:val="0"/>
            <w:sz w:val="24"/>
            <w:szCs w:val="24"/>
            <w:u w:val="single"/>
            <w:lang w:eastAsia="uk-UA"/>
            <w14:ligatures w14:val="none"/>
          </w:rPr>
          <w:t>https://doi.org/10.18662/rrem/14.4Sup1/656</w:t>
        </w:r>
      </w:hyperlink>
      <w:r w:rsidRPr="00545909">
        <w:rPr>
          <w:rFonts w:ascii="Times New Roman" w:eastAsia="Times New Roman" w:hAnsi="Times New Roman" w:cs="Times New Roman"/>
          <w:color w:val="000000"/>
          <w:kern w:val="0"/>
          <w:sz w:val="24"/>
          <w:szCs w:val="24"/>
          <w:lang w:eastAsia="uk-UA"/>
          <w14:ligatures w14:val="none"/>
        </w:rPr>
        <w:t xml:space="preserve"> </w:t>
      </w:r>
    </w:p>
    <w:p w14:paraId="419419C7"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14:ligatures w14:val="none"/>
        </w:rPr>
        <w:t xml:space="preserve">Eaton S. E. The academic integrity technological arms race and its impact on learning, teaching, and assessment. </w:t>
      </w:r>
      <w:r w:rsidRPr="00545909">
        <w:rPr>
          <w:rFonts w:ascii="Times New Roman" w:eastAsia="Times New Roman" w:hAnsi="Times New Roman" w:cs="Times New Roman"/>
          <w:i/>
          <w:iCs/>
          <w:color w:val="000000"/>
          <w:kern w:val="0"/>
          <w:sz w:val="24"/>
          <w:szCs w:val="24"/>
          <w14:ligatures w14:val="none"/>
        </w:rPr>
        <w:t>Canadian Journal of Learning and Technology</w:t>
      </w:r>
      <w:r w:rsidRPr="00545909">
        <w:rPr>
          <w:rFonts w:ascii="Times New Roman" w:eastAsia="Times New Roman" w:hAnsi="Times New Roman" w:cs="Times New Roman"/>
          <w:color w:val="000000"/>
          <w:kern w:val="0"/>
          <w:sz w:val="24"/>
          <w:szCs w:val="24"/>
          <w14:ligatures w14:val="none"/>
        </w:rPr>
        <w:t xml:space="preserve">. 2023. Vol. 48, Issue 2. </w:t>
      </w:r>
      <w:hyperlink r:id="rId70" w:history="1">
        <w:r w:rsidRPr="00545909">
          <w:rPr>
            <w:rFonts w:ascii="Times New Roman" w:eastAsia="Times New Roman" w:hAnsi="Times New Roman" w:cs="Times New Roman"/>
            <w:color w:val="000000"/>
            <w:kern w:val="0"/>
            <w:sz w:val="24"/>
            <w:szCs w:val="24"/>
            <w:u w:val="single"/>
            <w14:ligatures w14:val="none"/>
          </w:rPr>
          <w:t>https://doi.org/10.21432/cjlt28388</w:t>
        </w:r>
      </w:hyperlink>
      <w:r w:rsidRPr="00545909">
        <w:rPr>
          <w:rFonts w:ascii="Times New Roman" w:eastAsia="Times New Roman" w:hAnsi="Times New Roman" w:cs="Times New Roman"/>
          <w:color w:val="000000"/>
          <w:kern w:val="0"/>
          <w:sz w:val="24"/>
          <w:szCs w:val="24"/>
          <w14:ligatures w14:val="none"/>
        </w:rPr>
        <w:t xml:space="preserve"> </w:t>
      </w:r>
    </w:p>
    <w:p w14:paraId="0584B39D"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14:ligatures w14:val="none"/>
        </w:rPr>
        <w:t>Harrad R., Keasley R., &amp; Jefferies L. Academic Integrity or Academic Misconduct? Conceptual Difficulties in Higher Education and the Potential Contribution of Student Demographic Factors. </w:t>
      </w:r>
      <w:r w:rsidRPr="00545909">
        <w:rPr>
          <w:rFonts w:ascii="Times New Roman" w:eastAsia="Times New Roman" w:hAnsi="Times New Roman" w:cs="Times New Roman"/>
          <w:i/>
          <w:iCs/>
          <w:color w:val="000000"/>
          <w:kern w:val="0"/>
          <w:sz w:val="24"/>
          <w:szCs w:val="24"/>
          <w14:ligatures w14:val="none"/>
        </w:rPr>
        <w:t>Higher Education Research &amp; Development</w:t>
      </w:r>
      <w:r w:rsidRPr="00545909">
        <w:rPr>
          <w:rFonts w:ascii="Times New Roman" w:eastAsia="Times New Roman" w:hAnsi="Times New Roman" w:cs="Times New Roman"/>
          <w:color w:val="000000"/>
          <w:kern w:val="0"/>
          <w:sz w:val="24"/>
          <w:szCs w:val="24"/>
          <w14:ligatures w14:val="none"/>
        </w:rPr>
        <w:t xml:space="preserve">. 2024. Vol. 43, Issue 7. P. 1556–1570. </w:t>
      </w:r>
      <w:hyperlink r:id="rId71" w:history="1">
        <w:r w:rsidRPr="00545909">
          <w:rPr>
            <w:rFonts w:ascii="Times New Roman" w:eastAsia="Times New Roman" w:hAnsi="Times New Roman" w:cs="Times New Roman"/>
            <w:color w:val="000000"/>
            <w:kern w:val="0"/>
            <w:sz w:val="24"/>
            <w:szCs w:val="24"/>
            <w:u w:val="single"/>
            <w14:ligatures w14:val="none"/>
          </w:rPr>
          <w:t>https://doi.org/10.1080/07294360.2024.2339833</w:t>
        </w:r>
      </w:hyperlink>
      <w:r w:rsidRPr="00545909">
        <w:rPr>
          <w:rFonts w:ascii="Calibri" w:eastAsia="Calibri" w:hAnsi="Calibri" w:cs="Times New Roman"/>
          <w:kern w:val="0"/>
          <w:sz w:val="24"/>
          <w:szCs w:val="24"/>
          <w:lang w:val="uk-UA"/>
          <w14:ligatures w14:val="none"/>
        </w:rPr>
        <w:t>.</w:t>
      </w:r>
      <w:r w:rsidRPr="00545909">
        <w:rPr>
          <w:rFonts w:ascii="Times New Roman" w:eastAsia="Times New Roman" w:hAnsi="Times New Roman" w:cs="Times New Roman"/>
          <w:color w:val="000000"/>
          <w:kern w:val="0"/>
          <w:sz w:val="24"/>
          <w:szCs w:val="24"/>
          <w14:ligatures w14:val="none"/>
        </w:rPr>
        <w:t xml:space="preserve"> </w:t>
      </w:r>
    </w:p>
    <w:p w14:paraId="28F949ED"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14:ligatures w14:val="none"/>
        </w:rPr>
        <w:t>Mejía</w:t>
      </w:r>
      <w:r w:rsidRPr="00545909">
        <w:rPr>
          <w:rFonts w:ascii="Times New Roman" w:eastAsia="Times New Roman" w:hAnsi="Times New Roman" w:cs="Times New Roman"/>
          <w:color w:val="000000"/>
          <w:kern w:val="0"/>
          <w:sz w:val="24"/>
          <w:szCs w:val="24"/>
          <w:shd w:val="clear" w:color="auto" w:fill="FFFFFF"/>
          <w14:ligatures w14:val="none"/>
        </w:rPr>
        <w:t xml:space="preserve"> A., Garcés-Flórez M. F. What Do We Mean By Academic Integrity? </w:t>
      </w:r>
      <w:r w:rsidRPr="00545909">
        <w:rPr>
          <w:rFonts w:ascii="Times New Roman" w:eastAsia="Times New Roman" w:hAnsi="Times New Roman" w:cs="Times New Roman"/>
          <w:i/>
          <w:iCs/>
          <w:color w:val="000000"/>
          <w:kern w:val="0"/>
          <w:sz w:val="24"/>
          <w:szCs w:val="24"/>
          <w:shd w:val="clear" w:color="auto" w:fill="FFFFFF"/>
          <w14:ligatures w14:val="none"/>
        </w:rPr>
        <w:t xml:space="preserve">Int J Educ Integr. </w:t>
      </w:r>
      <w:r w:rsidRPr="00545909">
        <w:rPr>
          <w:rFonts w:ascii="Times New Roman" w:eastAsia="Times New Roman" w:hAnsi="Times New Roman" w:cs="Times New Roman"/>
          <w:color w:val="000000"/>
          <w:kern w:val="0"/>
          <w:sz w:val="24"/>
          <w:szCs w:val="24"/>
          <w:shd w:val="clear" w:color="auto" w:fill="FFFFFF"/>
          <w14:ligatures w14:val="none"/>
        </w:rPr>
        <w:t>2025.</w:t>
      </w:r>
      <w:r w:rsidRPr="00545909">
        <w:rPr>
          <w:rFonts w:ascii="Times New Roman" w:eastAsia="Times New Roman" w:hAnsi="Times New Roman" w:cs="Times New Roman"/>
          <w:i/>
          <w:iCs/>
          <w:color w:val="000000"/>
          <w:kern w:val="0"/>
          <w:sz w:val="24"/>
          <w:szCs w:val="24"/>
          <w:shd w:val="clear" w:color="auto" w:fill="FFFFFF"/>
          <w14:ligatures w14:val="none"/>
        </w:rPr>
        <w:t xml:space="preserve"> </w:t>
      </w:r>
      <w:r w:rsidRPr="00545909">
        <w:rPr>
          <w:rFonts w:ascii="Times New Roman" w:eastAsia="Times New Roman" w:hAnsi="Times New Roman" w:cs="Times New Roman"/>
          <w:color w:val="000000"/>
          <w:kern w:val="0"/>
          <w:sz w:val="24"/>
          <w:szCs w:val="24"/>
          <w14:ligatures w14:val="none"/>
        </w:rPr>
        <w:t>Vol.</w:t>
      </w:r>
      <w:r w:rsidRPr="00545909">
        <w:rPr>
          <w:rFonts w:ascii="Times New Roman" w:eastAsia="Times New Roman" w:hAnsi="Times New Roman" w:cs="Times New Roman"/>
          <w:color w:val="000000"/>
          <w:kern w:val="0"/>
          <w:sz w:val="24"/>
          <w:szCs w:val="24"/>
          <w:shd w:val="clear" w:color="auto" w:fill="FFFFFF"/>
          <w14:ligatures w14:val="none"/>
        </w:rPr>
        <w:t xml:space="preserve"> 21, </w:t>
      </w:r>
      <w:r w:rsidRPr="00545909">
        <w:rPr>
          <w:rFonts w:ascii="Times New Roman" w:eastAsia="Times New Roman" w:hAnsi="Times New Roman" w:cs="Times New Roman"/>
          <w:color w:val="000000"/>
          <w:kern w:val="0"/>
          <w:sz w:val="24"/>
          <w:szCs w:val="24"/>
          <w14:ligatures w14:val="none"/>
        </w:rPr>
        <w:t>Issue </w:t>
      </w:r>
      <w:r w:rsidRPr="00545909">
        <w:rPr>
          <w:rFonts w:ascii="Times New Roman" w:eastAsia="Times New Roman" w:hAnsi="Times New Roman" w:cs="Times New Roman"/>
          <w:color w:val="000000"/>
          <w:kern w:val="0"/>
          <w:sz w:val="24"/>
          <w:szCs w:val="24"/>
          <w:shd w:val="clear" w:color="auto" w:fill="FFFFFF"/>
          <w14:ligatures w14:val="none"/>
        </w:rPr>
        <w:t xml:space="preserve">1. </w:t>
      </w:r>
      <w:hyperlink r:id="rId72" w:history="1">
        <w:r w:rsidRPr="00545909">
          <w:rPr>
            <w:rFonts w:ascii="Times New Roman" w:eastAsia="Times New Roman" w:hAnsi="Times New Roman" w:cs="Times New Roman"/>
            <w:color w:val="000000"/>
            <w:kern w:val="0"/>
            <w:sz w:val="24"/>
            <w:szCs w:val="24"/>
            <w:u w:val="single"/>
            <w:shd w:val="clear" w:color="auto" w:fill="FFFFFF"/>
            <w14:ligatures w14:val="none"/>
          </w:rPr>
          <w:t>https://doi.org/10.1007/s40979-024-00176-1</w:t>
        </w:r>
      </w:hyperlink>
      <w:r w:rsidRPr="00545909">
        <w:rPr>
          <w:rFonts w:ascii="Times New Roman" w:eastAsia="Times New Roman" w:hAnsi="Times New Roman" w:cs="Times New Roman"/>
          <w:color w:val="000000"/>
          <w:kern w:val="0"/>
          <w:sz w:val="24"/>
          <w:szCs w:val="24"/>
          <w:shd w:val="clear" w:color="auto" w:fill="FFFFFF"/>
          <w14:ligatures w14:val="none"/>
        </w:rPr>
        <w:t xml:space="preserve"> </w:t>
      </w:r>
    </w:p>
    <w:p w14:paraId="6E3CE8A2"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14:ligatures w14:val="none"/>
        </w:rPr>
        <w:t xml:space="preserve">Moya B., Eaton S., Pethrick H., Hayden A., Brennan R., Wiens J., &amp; McDermott B. Academic Integrity and Artificial Intelligence in Higher Education (HE) Contexts: A Rapid Scoping Review. </w:t>
      </w:r>
      <w:r w:rsidRPr="00545909">
        <w:rPr>
          <w:rFonts w:ascii="Times New Roman" w:eastAsia="Times New Roman" w:hAnsi="Times New Roman" w:cs="Times New Roman"/>
          <w:i/>
          <w:iCs/>
          <w:color w:val="000000"/>
          <w:kern w:val="0"/>
          <w:sz w:val="24"/>
          <w:szCs w:val="24"/>
          <w14:ligatures w14:val="none"/>
        </w:rPr>
        <w:t>Canadian Perspectives on Academic Integrity</w:t>
      </w:r>
      <w:r w:rsidRPr="00545909">
        <w:rPr>
          <w:rFonts w:ascii="Times New Roman" w:eastAsia="Times New Roman" w:hAnsi="Times New Roman" w:cs="Times New Roman"/>
          <w:color w:val="000000"/>
          <w:kern w:val="0"/>
          <w:sz w:val="24"/>
          <w:szCs w:val="24"/>
          <w14:ligatures w14:val="none"/>
        </w:rPr>
        <w:t xml:space="preserve">. 2024. Vol. 7, Issue 3. </w:t>
      </w:r>
      <w:hyperlink r:id="rId73" w:history="1">
        <w:r w:rsidRPr="00545909">
          <w:rPr>
            <w:rFonts w:ascii="Times New Roman" w:eastAsia="Times New Roman" w:hAnsi="Times New Roman" w:cs="Times New Roman"/>
            <w:color w:val="000000"/>
            <w:kern w:val="0"/>
            <w:sz w:val="24"/>
            <w:szCs w:val="24"/>
            <w:u w:val="single"/>
            <w14:ligatures w14:val="none"/>
          </w:rPr>
          <w:t>https://doi.org/10.55016/ojs/cpai.v7i3.78123</w:t>
        </w:r>
      </w:hyperlink>
      <w:r w:rsidRPr="00545909">
        <w:rPr>
          <w:rFonts w:ascii="Calibri" w:eastAsia="Calibri" w:hAnsi="Calibri" w:cs="Times New Roman"/>
          <w:kern w:val="0"/>
          <w:sz w:val="24"/>
          <w:szCs w:val="24"/>
          <w:lang w:val="uk-UA"/>
          <w14:ligatures w14:val="none"/>
        </w:rPr>
        <w:t>.</w:t>
      </w:r>
      <w:r w:rsidRPr="00545909">
        <w:rPr>
          <w:rFonts w:ascii="Times New Roman" w:eastAsia="Times New Roman" w:hAnsi="Times New Roman" w:cs="Times New Roman"/>
          <w:color w:val="000000"/>
          <w:kern w:val="0"/>
          <w:sz w:val="24"/>
          <w:szCs w:val="24"/>
          <w14:ligatures w14:val="none"/>
        </w:rPr>
        <w:t xml:space="preserve"> </w:t>
      </w:r>
    </w:p>
    <w:p w14:paraId="21CC276C"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14:ligatures w14:val="none"/>
        </w:rPr>
        <w:t xml:space="preserve">Sbaffi L., &amp; Zhao X. Evaluating a pedagogical approach to promoting academic integrity in higher education: An online induction program. </w:t>
      </w:r>
      <w:r w:rsidRPr="00545909">
        <w:rPr>
          <w:rFonts w:ascii="Times New Roman" w:eastAsia="Times New Roman" w:hAnsi="Times New Roman" w:cs="Times New Roman"/>
          <w:i/>
          <w:iCs/>
          <w:color w:val="000000"/>
          <w:kern w:val="0"/>
          <w:sz w:val="24"/>
          <w:szCs w:val="24"/>
          <w14:ligatures w14:val="none"/>
        </w:rPr>
        <w:t>Front. Psychol.</w:t>
      </w:r>
      <w:r w:rsidRPr="00545909">
        <w:rPr>
          <w:rFonts w:ascii="Times New Roman" w:eastAsia="Times New Roman" w:hAnsi="Times New Roman" w:cs="Times New Roman"/>
          <w:color w:val="000000"/>
          <w:kern w:val="0"/>
          <w:sz w:val="24"/>
          <w:szCs w:val="24"/>
          <w14:ligatures w14:val="none"/>
        </w:rPr>
        <w:t xml:space="preserve"> Vol. 13:1009305. </w:t>
      </w:r>
      <w:hyperlink r:id="rId74" w:history="1">
        <w:r w:rsidRPr="00545909">
          <w:rPr>
            <w:rFonts w:ascii="Times New Roman" w:eastAsia="Times New Roman" w:hAnsi="Times New Roman" w:cs="Times New Roman"/>
            <w:color w:val="000000"/>
            <w:kern w:val="0"/>
            <w:sz w:val="24"/>
            <w:szCs w:val="24"/>
            <w:u w:val="single"/>
            <w14:ligatures w14:val="none"/>
          </w:rPr>
          <w:t>https://doi.org/10.3389/fpsyg.2022.1009305</w:t>
        </w:r>
      </w:hyperlink>
      <w:r w:rsidRPr="00545909">
        <w:rPr>
          <w:rFonts w:ascii="Calibri" w:eastAsia="Calibri" w:hAnsi="Calibri" w:cs="Times New Roman"/>
          <w:kern w:val="0"/>
          <w:sz w:val="24"/>
          <w:szCs w:val="24"/>
          <w:lang w:val="uk-UA"/>
          <w14:ligatures w14:val="none"/>
        </w:rPr>
        <w:t>.</w:t>
      </w:r>
      <w:r w:rsidRPr="00545909">
        <w:rPr>
          <w:rFonts w:ascii="Times New Roman" w:eastAsia="Times New Roman" w:hAnsi="Times New Roman" w:cs="Times New Roman"/>
          <w:color w:val="000000"/>
          <w:kern w:val="0"/>
          <w:sz w:val="24"/>
          <w:szCs w:val="24"/>
          <w14:ligatures w14:val="none"/>
        </w:rPr>
        <w:t xml:space="preserve"> </w:t>
      </w:r>
    </w:p>
    <w:p w14:paraId="65562DC8"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14:ligatures w14:val="none"/>
        </w:rPr>
        <w:t>Tauginienė</w:t>
      </w:r>
      <w:r w:rsidRPr="00545909">
        <w:rPr>
          <w:rFonts w:ascii="Times New Roman" w:eastAsia="Times New Roman" w:hAnsi="Times New Roman" w:cs="Times New Roman"/>
          <w:color w:val="000000"/>
          <w:kern w:val="0"/>
          <w:sz w:val="24"/>
          <w:szCs w:val="24"/>
          <w:shd w:val="clear" w:color="auto" w:fill="FFFFFF"/>
          <w14:ligatures w14:val="none"/>
        </w:rPr>
        <w:t xml:space="preserve"> L., Gaižauskaitė I., Glendinning I., Kravjar J., Ojsteršek M., Ribeiro L., Odiņeca T., Marino F., Cosentino M., Sivasubramaniam S., &amp; Foltýnek T. Glossary for Academic </w:t>
      </w:r>
      <w:r w:rsidRPr="00545909">
        <w:rPr>
          <w:rFonts w:ascii="Times New Roman" w:eastAsia="Times New Roman" w:hAnsi="Times New Roman" w:cs="Times New Roman"/>
          <w:color w:val="000000"/>
          <w:kern w:val="0"/>
          <w:sz w:val="24"/>
          <w:szCs w:val="24"/>
          <w:shd w:val="clear" w:color="auto" w:fill="FFFFFF"/>
          <w14:ligatures w14:val="none"/>
        </w:rPr>
        <w:lastRenderedPageBreak/>
        <w:t>Integrity. Report. Revised version, October 2018. 50 p. URL: </w:t>
      </w:r>
      <w:hyperlink r:id="rId75" w:history="1">
        <w:r w:rsidRPr="00545909">
          <w:rPr>
            <w:rFonts w:ascii="Times New Roman" w:eastAsia="Times New Roman" w:hAnsi="Times New Roman" w:cs="Times New Roman"/>
            <w:color w:val="000000"/>
            <w:kern w:val="0"/>
            <w:sz w:val="24"/>
            <w:szCs w:val="24"/>
            <w:u w:val="single"/>
            <w:shd w:val="clear" w:color="auto" w:fill="FFFFFF"/>
            <w14:ligatures w14:val="none"/>
          </w:rPr>
          <w:t>https://academicintegrity.eu/wp/wp-content/uploads/2022/07/Glossary_revised_final.pdf</w:t>
        </w:r>
        <w:r w:rsidRPr="00545909">
          <w:rPr>
            <w:rFonts w:ascii="Times New Roman" w:eastAsia="Times New Roman" w:hAnsi="Times New Roman" w:cs="Times New Roman"/>
            <w:color w:val="000000"/>
            <w:kern w:val="0"/>
            <w:sz w:val="24"/>
            <w:szCs w:val="24"/>
            <w:u w:val="single"/>
            <w14:ligatures w14:val="none"/>
          </w:rPr>
          <w:t xml:space="preserve"> </w:t>
        </w:r>
      </w:hyperlink>
      <w:r w:rsidRPr="00545909">
        <w:rPr>
          <w:rFonts w:ascii="Times New Roman" w:eastAsia="Times New Roman" w:hAnsi="Times New Roman" w:cs="Times New Roman"/>
          <w:color w:val="000000"/>
          <w:kern w:val="0"/>
          <w:sz w:val="24"/>
          <w:szCs w:val="24"/>
          <w14:ligatures w14:val="none"/>
        </w:rPr>
        <w:t>(дата звернення: 21.01.2026).</w:t>
      </w:r>
    </w:p>
    <w:p w14:paraId="49A035C1" w14:textId="77777777" w:rsid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shd w:val="clear" w:color="auto" w:fill="FFFFFF"/>
          <w14:ligatures w14:val="none"/>
        </w:rPr>
        <w:t xml:space="preserve">The Fundamental Values of Academic Integrity. Third ed. </w:t>
      </w:r>
      <w:hyperlink r:id="rId76" w:history="1">
        <w:r w:rsidRPr="00545909">
          <w:rPr>
            <w:rFonts w:ascii="Times New Roman" w:eastAsia="Times New Roman" w:hAnsi="Times New Roman" w:cs="Times New Roman"/>
            <w:color w:val="000000"/>
            <w:kern w:val="0"/>
            <w:sz w:val="24"/>
            <w:szCs w:val="24"/>
            <w:u w:val="single"/>
            <w14:ligatures w14:val="none"/>
          </w:rPr>
          <w:t>https</w:t>
        </w:r>
        <w:r w:rsidRPr="00545909">
          <w:rPr>
            <w:rFonts w:ascii="Times New Roman" w:eastAsia="Times New Roman" w:hAnsi="Times New Roman" w:cs="Times New Roman"/>
            <w:color w:val="000000"/>
            <w:kern w:val="0"/>
            <w:sz w:val="24"/>
            <w:szCs w:val="24"/>
            <w:u w:val="single"/>
            <w:lang w:val="uk-UA"/>
            <w14:ligatures w14:val="none"/>
          </w:rPr>
          <w:t>://</w:t>
        </w:r>
        <w:r w:rsidRPr="00545909">
          <w:rPr>
            <w:rFonts w:ascii="Times New Roman" w:eastAsia="Times New Roman" w:hAnsi="Times New Roman" w:cs="Times New Roman"/>
            <w:color w:val="000000"/>
            <w:kern w:val="0"/>
            <w:sz w:val="24"/>
            <w:szCs w:val="24"/>
            <w:u w:val="single"/>
            <w14:ligatures w14:val="none"/>
          </w:rPr>
          <w:t>wordpress</w:t>
        </w:r>
        <w:r w:rsidRPr="00545909">
          <w:rPr>
            <w:rFonts w:ascii="Times New Roman" w:eastAsia="Times New Roman" w:hAnsi="Times New Roman" w:cs="Times New Roman"/>
            <w:color w:val="000000"/>
            <w:kern w:val="0"/>
            <w:sz w:val="24"/>
            <w:szCs w:val="24"/>
            <w:u w:val="single"/>
            <w:lang w:val="uk-UA"/>
            <w14:ligatures w14:val="none"/>
          </w:rPr>
          <w:t>.</w:t>
        </w:r>
        <w:r w:rsidRPr="00545909">
          <w:rPr>
            <w:rFonts w:ascii="Times New Roman" w:eastAsia="Times New Roman" w:hAnsi="Times New Roman" w:cs="Times New Roman"/>
            <w:color w:val="000000"/>
            <w:kern w:val="0"/>
            <w:sz w:val="24"/>
            <w:szCs w:val="24"/>
            <w:u w:val="single"/>
            <w14:ligatures w14:val="none"/>
          </w:rPr>
          <w:t>kpu</w:t>
        </w:r>
        <w:r w:rsidRPr="00545909">
          <w:rPr>
            <w:rFonts w:ascii="Times New Roman" w:eastAsia="Times New Roman" w:hAnsi="Times New Roman" w:cs="Times New Roman"/>
            <w:color w:val="000000"/>
            <w:kern w:val="0"/>
            <w:sz w:val="24"/>
            <w:szCs w:val="24"/>
            <w:u w:val="single"/>
            <w:lang w:val="uk-UA"/>
            <w14:ligatures w14:val="none"/>
          </w:rPr>
          <w:t>.</w:t>
        </w:r>
        <w:r w:rsidRPr="00545909">
          <w:rPr>
            <w:rFonts w:ascii="Times New Roman" w:eastAsia="Times New Roman" w:hAnsi="Times New Roman" w:cs="Times New Roman"/>
            <w:color w:val="000000"/>
            <w:kern w:val="0"/>
            <w:sz w:val="24"/>
            <w:szCs w:val="24"/>
            <w:u w:val="single"/>
            <w14:ligatures w14:val="none"/>
          </w:rPr>
          <w:t>ca</w:t>
        </w:r>
        <w:r w:rsidRPr="00545909">
          <w:rPr>
            <w:rFonts w:ascii="Times New Roman" w:eastAsia="Times New Roman" w:hAnsi="Times New Roman" w:cs="Times New Roman"/>
            <w:color w:val="000000"/>
            <w:kern w:val="0"/>
            <w:sz w:val="24"/>
            <w:szCs w:val="24"/>
            <w:u w:val="single"/>
            <w:lang w:val="uk-UA"/>
            <w14:ligatures w14:val="none"/>
          </w:rPr>
          <w:t>/</w:t>
        </w:r>
        <w:r w:rsidRPr="00545909">
          <w:rPr>
            <w:rFonts w:ascii="Times New Roman" w:eastAsia="Times New Roman" w:hAnsi="Times New Roman" w:cs="Times New Roman"/>
            <w:color w:val="000000"/>
            <w:kern w:val="0"/>
            <w:sz w:val="24"/>
            <w:szCs w:val="24"/>
            <w:u w:val="single"/>
            <w14:ligatures w14:val="none"/>
          </w:rPr>
          <w:t>authenticassessment</w:t>
        </w:r>
        <w:r w:rsidRPr="00545909">
          <w:rPr>
            <w:rFonts w:ascii="Times New Roman" w:eastAsia="Times New Roman" w:hAnsi="Times New Roman" w:cs="Times New Roman"/>
            <w:color w:val="000000"/>
            <w:kern w:val="0"/>
            <w:sz w:val="24"/>
            <w:szCs w:val="24"/>
            <w:u w:val="single"/>
            <w:lang w:val="uk-UA"/>
            <w14:ligatures w14:val="none"/>
          </w:rPr>
          <w:t>/</w:t>
        </w:r>
        <w:r w:rsidRPr="00545909">
          <w:rPr>
            <w:rFonts w:ascii="Times New Roman" w:eastAsia="Times New Roman" w:hAnsi="Times New Roman" w:cs="Times New Roman"/>
            <w:color w:val="000000"/>
            <w:kern w:val="0"/>
            <w:sz w:val="24"/>
            <w:szCs w:val="24"/>
            <w:u w:val="single"/>
            <w14:ligatures w14:val="none"/>
          </w:rPr>
          <w:t>files</w:t>
        </w:r>
        <w:r w:rsidRPr="00545909">
          <w:rPr>
            <w:rFonts w:ascii="Times New Roman" w:eastAsia="Times New Roman" w:hAnsi="Times New Roman" w:cs="Times New Roman"/>
            <w:color w:val="000000"/>
            <w:kern w:val="0"/>
            <w:sz w:val="24"/>
            <w:szCs w:val="24"/>
            <w:u w:val="single"/>
            <w:lang w:val="uk-UA"/>
            <w14:ligatures w14:val="none"/>
          </w:rPr>
          <w:t>/2022/05/20019_</w:t>
        </w:r>
        <w:r w:rsidRPr="00545909">
          <w:rPr>
            <w:rFonts w:ascii="Times New Roman" w:eastAsia="Times New Roman" w:hAnsi="Times New Roman" w:cs="Times New Roman"/>
            <w:color w:val="000000"/>
            <w:kern w:val="0"/>
            <w:sz w:val="24"/>
            <w:szCs w:val="24"/>
            <w:u w:val="single"/>
            <w14:ligatures w14:val="none"/>
          </w:rPr>
          <w:t>ICAI</w:t>
        </w:r>
        <w:r w:rsidRPr="00545909">
          <w:rPr>
            <w:rFonts w:ascii="Times New Roman" w:eastAsia="Times New Roman" w:hAnsi="Times New Roman" w:cs="Times New Roman"/>
            <w:color w:val="000000"/>
            <w:kern w:val="0"/>
            <w:sz w:val="24"/>
            <w:szCs w:val="24"/>
            <w:u w:val="single"/>
            <w:lang w:val="uk-UA"/>
            <w14:ligatures w14:val="none"/>
          </w:rPr>
          <w:t>-</w:t>
        </w:r>
        <w:r w:rsidRPr="00545909">
          <w:rPr>
            <w:rFonts w:ascii="Times New Roman" w:eastAsia="Times New Roman" w:hAnsi="Times New Roman" w:cs="Times New Roman"/>
            <w:color w:val="000000"/>
            <w:kern w:val="0"/>
            <w:sz w:val="24"/>
            <w:szCs w:val="24"/>
            <w:u w:val="single"/>
            <w14:ligatures w14:val="none"/>
          </w:rPr>
          <w:t>Fundamental</w:t>
        </w:r>
        <w:r w:rsidRPr="00545909">
          <w:rPr>
            <w:rFonts w:ascii="Times New Roman" w:eastAsia="Times New Roman" w:hAnsi="Times New Roman" w:cs="Times New Roman"/>
            <w:color w:val="000000"/>
            <w:kern w:val="0"/>
            <w:sz w:val="24"/>
            <w:szCs w:val="24"/>
            <w:u w:val="single"/>
            <w:lang w:val="uk-UA"/>
            <w14:ligatures w14:val="none"/>
          </w:rPr>
          <w:t>-</w:t>
        </w:r>
        <w:r w:rsidRPr="00545909">
          <w:rPr>
            <w:rFonts w:ascii="Times New Roman" w:eastAsia="Times New Roman" w:hAnsi="Times New Roman" w:cs="Times New Roman"/>
            <w:color w:val="000000"/>
            <w:kern w:val="0"/>
            <w:sz w:val="24"/>
            <w:szCs w:val="24"/>
            <w:u w:val="single"/>
            <w14:ligatures w14:val="none"/>
          </w:rPr>
          <w:t>Values</w:t>
        </w:r>
        <w:r w:rsidRPr="00545909">
          <w:rPr>
            <w:rFonts w:ascii="Times New Roman" w:eastAsia="Times New Roman" w:hAnsi="Times New Roman" w:cs="Times New Roman"/>
            <w:color w:val="000000"/>
            <w:kern w:val="0"/>
            <w:sz w:val="24"/>
            <w:szCs w:val="24"/>
            <w:u w:val="single"/>
            <w:lang w:val="uk-UA"/>
            <w14:ligatures w14:val="none"/>
          </w:rPr>
          <w:t>_</w:t>
        </w:r>
        <w:r w:rsidRPr="00545909">
          <w:rPr>
            <w:rFonts w:ascii="Times New Roman" w:eastAsia="Times New Roman" w:hAnsi="Times New Roman" w:cs="Times New Roman"/>
            <w:color w:val="000000"/>
            <w:kern w:val="0"/>
            <w:sz w:val="24"/>
            <w:szCs w:val="24"/>
            <w:u w:val="single"/>
            <w14:ligatures w14:val="none"/>
          </w:rPr>
          <w:t>R</w:t>
        </w:r>
        <w:r w:rsidRPr="00545909">
          <w:rPr>
            <w:rFonts w:ascii="Times New Roman" w:eastAsia="Times New Roman" w:hAnsi="Times New Roman" w:cs="Times New Roman"/>
            <w:color w:val="000000"/>
            <w:kern w:val="0"/>
            <w:sz w:val="24"/>
            <w:szCs w:val="24"/>
            <w:u w:val="single"/>
            <w:lang w:val="uk-UA"/>
            <w14:ligatures w14:val="none"/>
          </w:rPr>
          <w:t>11.</w:t>
        </w:r>
        <w:r w:rsidRPr="00545909">
          <w:rPr>
            <w:rFonts w:ascii="Times New Roman" w:eastAsia="Times New Roman" w:hAnsi="Times New Roman" w:cs="Times New Roman"/>
            <w:color w:val="000000"/>
            <w:kern w:val="0"/>
            <w:sz w:val="24"/>
            <w:szCs w:val="24"/>
            <w:u w:val="single"/>
            <w14:ligatures w14:val="none"/>
          </w:rPr>
          <w:t>pdf</w:t>
        </w:r>
      </w:hyperlink>
      <w:r w:rsidRPr="00545909">
        <w:rPr>
          <w:rFonts w:ascii="Calibri" w:eastAsia="Calibri" w:hAnsi="Calibri" w:cs="Times New Roman"/>
          <w:kern w:val="0"/>
          <w:sz w:val="24"/>
          <w:szCs w:val="24"/>
          <w:lang w:val="uk-UA"/>
          <w14:ligatures w14:val="none"/>
        </w:rPr>
        <w:t>.</w:t>
      </w:r>
      <w:r w:rsidRPr="00545909">
        <w:rPr>
          <w:rFonts w:ascii="Times New Roman" w:eastAsia="Times New Roman" w:hAnsi="Times New Roman" w:cs="Times New Roman"/>
          <w:color w:val="000000"/>
          <w:kern w:val="0"/>
          <w:sz w:val="24"/>
          <w:szCs w:val="24"/>
          <w:lang w:val="uk-UA"/>
          <w14:ligatures w14:val="none"/>
        </w:rPr>
        <w:t xml:space="preserve"> </w:t>
      </w:r>
      <w:r w:rsidRPr="00545909">
        <w:rPr>
          <w:rFonts w:ascii="Times New Roman" w:eastAsia="Times New Roman" w:hAnsi="Times New Roman" w:cs="Times New Roman"/>
          <w:color w:val="000000"/>
          <w:kern w:val="0"/>
          <w:sz w:val="24"/>
          <w:szCs w:val="24"/>
          <w:shd w:val="clear" w:color="auto" w:fill="FFFFFF"/>
          <w14:ligatures w14:val="none"/>
        </w:rPr>
        <w:t> </w:t>
      </w:r>
    </w:p>
    <w:p w14:paraId="69141C1C" w14:textId="53A7060E" w:rsidR="00B44B71" w:rsidRPr="00545909" w:rsidRDefault="00B44B71" w:rsidP="00545909">
      <w:pPr>
        <w:numPr>
          <w:ilvl w:val="0"/>
          <w:numId w:val="1"/>
        </w:numPr>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545909">
        <w:rPr>
          <w:rFonts w:ascii="Times New Roman" w:eastAsia="Times New Roman" w:hAnsi="Times New Roman" w:cs="Times New Roman"/>
          <w:color w:val="000000"/>
          <w:kern w:val="0"/>
          <w:sz w:val="24"/>
          <w:szCs w:val="24"/>
          <w:shd w:val="clear" w:color="auto" w:fill="FFFFFF"/>
          <w14:ligatures w14:val="none"/>
        </w:rPr>
        <w:t xml:space="preserve">Zhu W. The importance of promoting a culture of academic integrity in higher education institutions in China. </w:t>
      </w:r>
      <w:r w:rsidRPr="00545909">
        <w:rPr>
          <w:rFonts w:ascii="Times New Roman" w:eastAsia="Times New Roman" w:hAnsi="Times New Roman" w:cs="Times New Roman"/>
          <w:i/>
          <w:iCs/>
          <w:color w:val="000000"/>
          <w:kern w:val="0"/>
          <w:sz w:val="24"/>
          <w:szCs w:val="24"/>
          <w:shd w:val="clear" w:color="auto" w:fill="FFFFFF"/>
          <w14:ligatures w14:val="none"/>
        </w:rPr>
        <w:t xml:space="preserve">Psicol. Refl. Crít. </w:t>
      </w:r>
      <w:r w:rsidRPr="00545909">
        <w:rPr>
          <w:rFonts w:ascii="Times New Roman" w:eastAsia="Times New Roman" w:hAnsi="Times New Roman" w:cs="Times New Roman"/>
          <w:color w:val="000000"/>
          <w:kern w:val="0"/>
          <w:sz w:val="24"/>
          <w:szCs w:val="24"/>
          <w:shd w:val="clear" w:color="auto" w:fill="FFFFFF"/>
          <w14:ligatures w14:val="none"/>
        </w:rPr>
        <w:t>2025.</w:t>
      </w:r>
      <w:r w:rsidRPr="00545909">
        <w:rPr>
          <w:rFonts w:ascii="Times New Roman" w:eastAsia="Times New Roman" w:hAnsi="Times New Roman" w:cs="Times New Roman"/>
          <w:i/>
          <w:iCs/>
          <w:color w:val="000000"/>
          <w:kern w:val="0"/>
          <w:sz w:val="24"/>
          <w:szCs w:val="24"/>
          <w:shd w:val="clear" w:color="auto" w:fill="FFFFFF"/>
          <w:lang w:val="ru-RU"/>
          <w14:ligatures w14:val="none"/>
        </w:rPr>
        <w:t xml:space="preserve"> </w:t>
      </w:r>
      <w:r w:rsidRPr="00545909">
        <w:rPr>
          <w:rFonts w:ascii="Times New Roman" w:eastAsia="Times New Roman" w:hAnsi="Times New Roman" w:cs="Times New Roman"/>
          <w:color w:val="000000"/>
          <w:kern w:val="0"/>
          <w:sz w:val="24"/>
          <w:szCs w:val="24"/>
          <w14:ligatures w14:val="none"/>
        </w:rPr>
        <w:t>Vol. </w:t>
      </w:r>
      <w:r w:rsidRPr="00545909">
        <w:rPr>
          <w:rFonts w:ascii="Times New Roman" w:eastAsia="Times New Roman" w:hAnsi="Times New Roman" w:cs="Times New Roman"/>
          <w:color w:val="000000"/>
          <w:kern w:val="0"/>
          <w:sz w:val="24"/>
          <w:szCs w:val="24"/>
          <w:shd w:val="clear" w:color="auto" w:fill="FFFFFF"/>
          <w14:ligatures w14:val="none"/>
        </w:rPr>
        <w:t>38</w:t>
      </w:r>
      <w:r w:rsidRPr="00545909">
        <w:rPr>
          <w:rFonts w:ascii="Times New Roman" w:eastAsia="Times New Roman" w:hAnsi="Times New Roman" w:cs="Times New Roman"/>
          <w:color w:val="000000"/>
          <w:kern w:val="0"/>
          <w:sz w:val="24"/>
          <w:szCs w:val="24"/>
          <w:shd w:val="clear" w:color="auto" w:fill="FFFFFF"/>
          <w:lang w:val="ru-RU"/>
          <w14:ligatures w14:val="none"/>
        </w:rPr>
        <w:t>:</w:t>
      </w:r>
      <w:r w:rsidRPr="00545909">
        <w:rPr>
          <w:rFonts w:ascii="Times New Roman" w:eastAsia="Times New Roman" w:hAnsi="Times New Roman" w:cs="Times New Roman"/>
          <w:color w:val="000000"/>
          <w:kern w:val="0"/>
          <w:sz w:val="24"/>
          <w:szCs w:val="24"/>
          <w:shd w:val="clear" w:color="auto" w:fill="FFFFFF"/>
          <w14:ligatures w14:val="none"/>
        </w:rPr>
        <w:t xml:space="preserve">30. </w:t>
      </w:r>
      <w:hyperlink r:id="rId77" w:history="1">
        <w:r w:rsidRPr="00545909">
          <w:rPr>
            <w:rFonts w:ascii="Times New Roman" w:eastAsia="Times New Roman" w:hAnsi="Times New Roman" w:cs="Times New Roman"/>
            <w:color w:val="000000"/>
            <w:kern w:val="0"/>
            <w:sz w:val="24"/>
            <w:szCs w:val="24"/>
            <w:u w:val="single"/>
            <w:shd w:val="clear" w:color="auto" w:fill="FFFFFF"/>
            <w14:ligatures w14:val="none"/>
          </w:rPr>
          <w:t>https://doi.org/10.1186/s41155-025-00367-w</w:t>
        </w:r>
      </w:hyperlink>
      <w:r w:rsidRPr="00545909">
        <w:rPr>
          <w:rFonts w:ascii="Calibri" w:eastAsia="Calibri" w:hAnsi="Calibri" w:cs="Times New Roman"/>
          <w:kern w:val="0"/>
          <w:sz w:val="24"/>
          <w:szCs w:val="24"/>
          <w:lang w:val="uk-UA"/>
          <w14:ligatures w14:val="none"/>
        </w:rPr>
        <w:t>.</w:t>
      </w:r>
    </w:p>
    <w:p w14:paraId="438742F3" w14:textId="77777777" w:rsidR="00B44B71" w:rsidRPr="00955F7A" w:rsidRDefault="00B44B71" w:rsidP="00DD0E8B">
      <w:pPr>
        <w:tabs>
          <w:tab w:val="left" w:pos="9638"/>
        </w:tabs>
        <w:spacing w:after="0" w:line="240" w:lineRule="auto"/>
        <w:ind w:firstLine="709"/>
        <w:jc w:val="both"/>
        <w:rPr>
          <w:rFonts w:ascii="Times New Roman" w:eastAsia="Times New Roman" w:hAnsi="Times New Roman" w:cs="Times New Roman"/>
          <w:color w:val="333333"/>
          <w:kern w:val="0"/>
          <w:sz w:val="24"/>
          <w:szCs w:val="24"/>
          <w:shd w:val="clear" w:color="auto" w:fill="FFFFFF"/>
          <w:lang w:val="uk-UA"/>
          <w14:ligatures w14:val="none"/>
        </w:rPr>
      </w:pPr>
    </w:p>
    <w:p w14:paraId="372049E2" w14:textId="77777777" w:rsidR="00B44B71" w:rsidRPr="00955F7A" w:rsidRDefault="00B44B71" w:rsidP="00DD0E8B">
      <w:pPr>
        <w:widowControl w:val="0"/>
        <w:shd w:val="clear" w:color="auto" w:fill="FFFFFF"/>
        <w:tabs>
          <w:tab w:val="left" w:pos="9638"/>
        </w:tabs>
        <w:suppressAutoHyphens/>
        <w:spacing w:after="0" w:line="480" w:lineRule="auto"/>
        <w:ind w:firstLine="709"/>
        <w:jc w:val="center"/>
        <w:textAlignment w:val="baseline"/>
        <w:rPr>
          <w:rFonts w:ascii="Times New Roman" w:eastAsia="Times New Roman" w:hAnsi="Times New Roman" w:cs="Times New Roman"/>
          <w:kern w:val="0"/>
          <w:sz w:val="24"/>
          <w:szCs w:val="24"/>
          <w:lang w:eastAsia="ru-RU"/>
          <w14:ligatures w14:val="none"/>
        </w:rPr>
      </w:pPr>
      <w:r w:rsidRPr="00955F7A">
        <w:rPr>
          <w:rFonts w:ascii="Times New Roman" w:eastAsia="Times New Roman" w:hAnsi="Times New Roman" w:cs="Times New Roman"/>
          <w:b/>
          <w:kern w:val="0"/>
          <w:sz w:val="24"/>
          <w:szCs w:val="24"/>
          <w:lang w:val="uk-UA" w:eastAsia="ru-RU"/>
          <w14:ligatures w14:val="none"/>
        </w:rPr>
        <w:t>REFERENCES</w:t>
      </w:r>
    </w:p>
    <w:p w14:paraId="53C4576F" w14:textId="10B252A3" w:rsidR="00545909" w:rsidRPr="00545909" w:rsidRDefault="00B44B71" w:rsidP="00545909">
      <w:pPr>
        <w:pStyle w:val="ListParagraph"/>
        <w:numPr>
          <w:ilvl w:val="0"/>
          <w:numId w:val="32"/>
        </w:numPr>
        <w:tabs>
          <w:tab w:val="left" w:pos="1134"/>
          <w:tab w:val="left" w:pos="9638"/>
        </w:tabs>
        <w:spacing w:after="0" w:line="240" w:lineRule="auto"/>
        <w:ind w:left="0" w:firstLine="709"/>
        <w:jc w:val="both"/>
        <w:rPr>
          <w:rFonts w:ascii="Times New Roman" w:eastAsia="Times New Roman" w:hAnsi="Times New Roman" w:cs="Times New Roman"/>
          <w:kern w:val="0"/>
          <w:sz w:val="24"/>
          <w:szCs w:val="24"/>
          <w14:ligatures w14:val="none"/>
        </w:rPr>
      </w:pPr>
      <w:r w:rsidRPr="00545909">
        <w:rPr>
          <w:rFonts w:ascii="Times New Roman" w:eastAsia="Times New Roman" w:hAnsi="Times New Roman" w:cs="Times New Roman"/>
          <w:kern w:val="0"/>
          <w:sz w:val="24"/>
          <w:szCs w:val="24"/>
          <w14:ligatures w14:val="none"/>
        </w:rPr>
        <w:t xml:space="preserve">Antoniuk N., Pushkar N. Akademichna dobrochesnist u vitchyznianomu osvitnomu prostori: prychyny porushennia i shliakhy formuvannia. </w:t>
      </w:r>
      <w:r w:rsidRPr="00545909">
        <w:rPr>
          <w:rFonts w:ascii="Times New Roman" w:eastAsia="Times New Roman" w:hAnsi="Times New Roman" w:cs="Times New Roman"/>
          <w:i/>
          <w:iCs/>
          <w:kern w:val="0"/>
          <w:sz w:val="24"/>
          <w:szCs w:val="24"/>
          <w14:ligatures w14:val="none"/>
        </w:rPr>
        <w:t>Acta Paedagogica Volynienses</w:t>
      </w:r>
      <w:r w:rsidRPr="00545909">
        <w:rPr>
          <w:rFonts w:ascii="Times New Roman" w:eastAsia="Times New Roman" w:hAnsi="Times New Roman" w:cs="Times New Roman"/>
          <w:kern w:val="0"/>
          <w:sz w:val="24"/>
          <w:szCs w:val="24"/>
          <w14:ligatures w14:val="none"/>
        </w:rPr>
        <w:t xml:space="preserve">. 2022. Vyp. 1. T. 2. S. 10–16. </w:t>
      </w:r>
      <w:hyperlink r:id="rId78" w:history="1">
        <w:r w:rsidR="00545909" w:rsidRPr="007A740B">
          <w:rPr>
            <w:rStyle w:val="Hyperlink"/>
            <w:rFonts w:ascii="Times New Roman" w:eastAsia="Times New Roman" w:hAnsi="Times New Roman"/>
            <w:kern w:val="0"/>
            <w:sz w:val="24"/>
            <w:szCs w:val="24"/>
            <w14:ligatures w14:val="none"/>
          </w:rPr>
          <w:t>https://doi.org/10.32782/apv/2022.1.2.2</w:t>
        </w:r>
      </w:hyperlink>
    </w:p>
    <w:p w14:paraId="44A4615B" w14:textId="77777777" w:rsidR="00545909" w:rsidRPr="00545909" w:rsidRDefault="00B44B71" w:rsidP="00545909">
      <w:pPr>
        <w:pStyle w:val="ListParagraph"/>
        <w:numPr>
          <w:ilvl w:val="0"/>
          <w:numId w:val="32"/>
        </w:numPr>
        <w:tabs>
          <w:tab w:val="left" w:pos="1134"/>
          <w:tab w:val="left" w:pos="9638"/>
        </w:tabs>
        <w:spacing w:after="0" w:line="240" w:lineRule="auto"/>
        <w:ind w:left="0" w:firstLine="709"/>
        <w:jc w:val="both"/>
        <w:rPr>
          <w:rFonts w:ascii="Times New Roman" w:eastAsia="Times New Roman" w:hAnsi="Times New Roman" w:cs="Times New Roman"/>
          <w:kern w:val="0"/>
          <w:sz w:val="24"/>
          <w:szCs w:val="24"/>
          <w14:ligatures w14:val="none"/>
        </w:rPr>
      </w:pPr>
      <w:r w:rsidRPr="00545909">
        <w:rPr>
          <w:rFonts w:ascii="Times New Roman" w:eastAsia="Times New Roman" w:hAnsi="Times New Roman" w:cs="Times New Roman"/>
          <w:kern w:val="0"/>
          <w:sz w:val="24"/>
          <w:szCs w:val="24"/>
          <w14:ligatures w14:val="none"/>
        </w:rPr>
        <w:t xml:space="preserve">Bilyk V. V., Shpylova V. O., Kozynets A. O. Akademichna chesnist ta yii vazhlyvist u vyshchii osviti: vplyv innovatsiinykh tekhnolohii. </w:t>
      </w:r>
      <w:r w:rsidRPr="00545909">
        <w:rPr>
          <w:rFonts w:ascii="Times New Roman" w:eastAsia="Times New Roman" w:hAnsi="Times New Roman" w:cs="Times New Roman"/>
          <w:i/>
          <w:iCs/>
          <w:kern w:val="0"/>
          <w:sz w:val="24"/>
          <w:szCs w:val="24"/>
          <w14:ligatures w14:val="none"/>
        </w:rPr>
        <w:t>Ukrainskyi zhurnal prykladnoi ekonomiky ta tekhniky</w:t>
      </w:r>
      <w:r w:rsidRPr="00545909">
        <w:rPr>
          <w:rFonts w:ascii="Times New Roman" w:eastAsia="Times New Roman" w:hAnsi="Times New Roman" w:cs="Times New Roman"/>
          <w:kern w:val="0"/>
          <w:sz w:val="24"/>
          <w:szCs w:val="24"/>
          <w14:ligatures w14:val="none"/>
        </w:rPr>
        <w:t xml:space="preserve">. 2024. T. 9. № 3. S. 10–15. https://doi.org/10.36887/2415-8453-2024-3-1 </w:t>
      </w:r>
    </w:p>
    <w:p w14:paraId="3ADD122C" w14:textId="419678C8" w:rsidR="00B44B71" w:rsidRPr="00545909" w:rsidRDefault="00B44B71" w:rsidP="00545909">
      <w:pPr>
        <w:pStyle w:val="ListParagraph"/>
        <w:numPr>
          <w:ilvl w:val="0"/>
          <w:numId w:val="32"/>
        </w:numPr>
        <w:tabs>
          <w:tab w:val="left" w:pos="1134"/>
          <w:tab w:val="left" w:pos="9638"/>
        </w:tabs>
        <w:spacing w:after="0" w:line="240" w:lineRule="auto"/>
        <w:ind w:left="0" w:firstLine="709"/>
        <w:jc w:val="both"/>
        <w:rPr>
          <w:rFonts w:ascii="Times New Roman" w:eastAsia="Times New Roman" w:hAnsi="Times New Roman" w:cs="Times New Roman"/>
          <w:kern w:val="0"/>
          <w:sz w:val="24"/>
          <w:szCs w:val="24"/>
          <w14:ligatures w14:val="none"/>
        </w:rPr>
      </w:pPr>
      <w:r w:rsidRPr="00545909">
        <w:rPr>
          <w:rFonts w:ascii="Times New Roman" w:eastAsia="Times New Roman" w:hAnsi="Times New Roman" w:cs="Times New Roman"/>
          <w:kern w:val="0"/>
          <w:sz w:val="24"/>
          <w:szCs w:val="24"/>
          <w14:ligatures w14:val="none"/>
        </w:rPr>
        <w:t xml:space="preserve">Varava I. M. Problema akademichnoi dobrochesnosti u suchasnomu suspilno-osvitnomu seredovyshchi. </w:t>
      </w:r>
      <w:r w:rsidRPr="00545909">
        <w:rPr>
          <w:rFonts w:ascii="Times New Roman" w:eastAsia="Times New Roman" w:hAnsi="Times New Roman" w:cs="Times New Roman"/>
          <w:i/>
          <w:iCs/>
          <w:kern w:val="0"/>
          <w:sz w:val="24"/>
          <w:szCs w:val="24"/>
          <w14:ligatures w14:val="none"/>
        </w:rPr>
        <w:t>Naukovyi chasopys NPU imeni M.P. Drahomyrova</w:t>
      </w:r>
      <w:r w:rsidRPr="00545909">
        <w:rPr>
          <w:rFonts w:ascii="Times New Roman" w:eastAsia="Times New Roman" w:hAnsi="Times New Roman" w:cs="Times New Roman"/>
          <w:kern w:val="0"/>
          <w:sz w:val="24"/>
          <w:szCs w:val="24"/>
          <w14:ligatures w14:val="none"/>
        </w:rPr>
        <w:t>. Seriia 5. Pedahohichni nauky: realii ta perspektyvy. 2019. Vyp. 66. S. 22–26.</w:t>
      </w:r>
    </w:p>
    <w:p w14:paraId="4E0EEBF0"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14:ligatures w14:val="none"/>
        </w:rPr>
      </w:pPr>
      <w:r w:rsidRPr="00955F7A">
        <w:rPr>
          <w:rFonts w:ascii="Times New Roman" w:eastAsia="Times New Roman" w:hAnsi="Times New Roman" w:cs="Times New Roman"/>
          <w:kern w:val="0"/>
          <w:sz w:val="24"/>
          <w:szCs w:val="24"/>
          <w14:ligatures w14:val="none"/>
        </w:rPr>
        <w:t xml:space="preserve">Vinarchuk N. M., Sholovii M.-T. I., Denysiak Yu. V. Akademichna dobrochesnist v zakladakh vyshchoi osvity. </w:t>
      </w:r>
      <w:r w:rsidRPr="00955F7A">
        <w:rPr>
          <w:rFonts w:ascii="Times New Roman" w:eastAsia="Times New Roman" w:hAnsi="Times New Roman" w:cs="Times New Roman"/>
          <w:i/>
          <w:iCs/>
          <w:kern w:val="0"/>
          <w:sz w:val="24"/>
          <w:szCs w:val="24"/>
          <w14:ligatures w14:val="none"/>
        </w:rPr>
        <w:t>Teoriia i metodyka profesiinoi osvity</w:t>
      </w:r>
      <w:r w:rsidRPr="00955F7A">
        <w:rPr>
          <w:rFonts w:ascii="Times New Roman" w:eastAsia="Times New Roman" w:hAnsi="Times New Roman" w:cs="Times New Roman"/>
          <w:kern w:val="0"/>
          <w:sz w:val="24"/>
          <w:szCs w:val="24"/>
          <w14:ligatures w14:val="none"/>
        </w:rPr>
        <w:t>. 2025. Vyp. 85. T.</w:t>
      </w:r>
      <w:r w:rsidRPr="00955F7A">
        <w:rPr>
          <w:rFonts w:ascii="Times New Roman" w:eastAsia="Times New Roman" w:hAnsi="Times New Roman" w:cs="Times New Roman"/>
          <w:kern w:val="0"/>
          <w:sz w:val="24"/>
          <w:szCs w:val="24"/>
          <w:lang w:val="ru-RU"/>
          <w14:ligatures w14:val="none"/>
        </w:rPr>
        <w:t> </w:t>
      </w:r>
      <w:r w:rsidRPr="00955F7A">
        <w:rPr>
          <w:rFonts w:ascii="Times New Roman" w:eastAsia="Times New Roman" w:hAnsi="Times New Roman" w:cs="Times New Roman"/>
          <w:kern w:val="0"/>
          <w:sz w:val="24"/>
          <w:szCs w:val="24"/>
          <w14:ligatures w14:val="none"/>
        </w:rPr>
        <w:t>1. S.</w:t>
      </w:r>
      <w:r w:rsidRPr="00955F7A">
        <w:rPr>
          <w:rFonts w:ascii="Times New Roman" w:eastAsia="Times New Roman" w:hAnsi="Times New Roman" w:cs="Times New Roman"/>
          <w:kern w:val="0"/>
          <w:sz w:val="24"/>
          <w:szCs w:val="24"/>
          <w:lang w:val="ru-RU"/>
          <w14:ligatures w14:val="none"/>
        </w:rPr>
        <w:t> </w:t>
      </w:r>
      <w:r w:rsidRPr="00955F7A">
        <w:rPr>
          <w:rFonts w:ascii="Times New Roman" w:eastAsia="Times New Roman" w:hAnsi="Times New Roman" w:cs="Times New Roman"/>
          <w:kern w:val="0"/>
          <w:sz w:val="24"/>
          <w:szCs w:val="24"/>
          <w14:ligatures w14:val="none"/>
        </w:rPr>
        <w:t>99–102.</w:t>
      </w:r>
    </w:p>
    <w:p w14:paraId="2D7E3ABE"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14:ligatures w14:val="none"/>
        </w:rPr>
      </w:pPr>
      <w:r w:rsidRPr="00955F7A">
        <w:rPr>
          <w:rFonts w:ascii="Times New Roman" w:eastAsia="Times New Roman" w:hAnsi="Times New Roman" w:cs="Times New Roman"/>
          <w:kern w:val="0"/>
          <w:sz w:val="24"/>
          <w:szCs w:val="24"/>
          <w14:ligatures w14:val="none"/>
        </w:rPr>
        <w:t xml:space="preserve">Kozynets A. O. Yahodzinskyi S. M. Akademichna kultura ta dobrochesnist zdobuvachiv yak kompetentnisna skladova yikh profesiinoho rozvytku. </w:t>
      </w:r>
      <w:r w:rsidRPr="00955F7A">
        <w:rPr>
          <w:rFonts w:ascii="Times New Roman" w:eastAsia="Times New Roman" w:hAnsi="Times New Roman" w:cs="Times New Roman"/>
          <w:i/>
          <w:iCs/>
          <w:kern w:val="0"/>
          <w:sz w:val="24"/>
          <w:szCs w:val="24"/>
          <w14:ligatures w14:val="none"/>
        </w:rPr>
        <w:t>Innovatsiina pedahohika</w:t>
      </w:r>
      <w:r w:rsidRPr="00955F7A">
        <w:rPr>
          <w:rFonts w:ascii="Times New Roman" w:eastAsia="Times New Roman" w:hAnsi="Times New Roman" w:cs="Times New Roman"/>
          <w:kern w:val="0"/>
          <w:sz w:val="24"/>
          <w:szCs w:val="24"/>
          <w14:ligatures w14:val="none"/>
        </w:rPr>
        <w:t>. 2024. Vyp. 77. S. 17–22. https://doi.org/10.32782/2663-6085/2024/77.2</w:t>
      </w:r>
    </w:p>
    <w:p w14:paraId="5EA05BB8"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14:ligatures w14:val="none"/>
        </w:rPr>
      </w:pPr>
      <w:r w:rsidRPr="00955F7A">
        <w:rPr>
          <w:rFonts w:ascii="Times New Roman" w:eastAsia="Times New Roman" w:hAnsi="Times New Roman" w:cs="Times New Roman"/>
          <w:kern w:val="0"/>
          <w:sz w:val="24"/>
          <w:szCs w:val="24"/>
          <w14:ligatures w14:val="none"/>
        </w:rPr>
        <w:t xml:space="preserve">Pedchenko N. S., Hasii O. V., Sarapyn V. V., Tul S. I., Vlasenko V. A. Akademichna dobrochesnist yak diievyi instrument posylennia yakosti vyshchoi osvity v PUET. </w:t>
      </w:r>
      <w:r w:rsidRPr="00955F7A">
        <w:rPr>
          <w:rFonts w:ascii="Times New Roman" w:eastAsia="Times New Roman" w:hAnsi="Times New Roman" w:cs="Times New Roman"/>
          <w:i/>
          <w:iCs/>
          <w:kern w:val="0"/>
          <w:sz w:val="24"/>
          <w:szCs w:val="24"/>
          <w14:ligatures w14:val="none"/>
        </w:rPr>
        <w:t>Naukovyi visnyk Poltavskoho universytetu ekonomiky i torhivli</w:t>
      </w:r>
      <w:r w:rsidRPr="00955F7A">
        <w:rPr>
          <w:rFonts w:ascii="Times New Roman" w:eastAsia="Times New Roman" w:hAnsi="Times New Roman" w:cs="Times New Roman"/>
          <w:kern w:val="0"/>
          <w:sz w:val="24"/>
          <w:szCs w:val="24"/>
          <w14:ligatures w14:val="none"/>
        </w:rPr>
        <w:t xml:space="preserve">. 2023. Vyp. 3 (109). S. 73–78. https://doi.org/10.37734/2409-6873-2023-3-11 </w:t>
      </w:r>
    </w:p>
    <w:p w14:paraId="48EB93BC"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14:ligatures w14:val="none"/>
        </w:rPr>
      </w:pPr>
      <w:r w:rsidRPr="00955F7A">
        <w:rPr>
          <w:rFonts w:ascii="Times New Roman" w:eastAsia="Times New Roman" w:hAnsi="Times New Roman" w:cs="Times New Roman"/>
          <w:kern w:val="0"/>
          <w:sz w:val="24"/>
          <w:szCs w:val="24"/>
          <w14:ligatures w14:val="none"/>
        </w:rPr>
        <w:t xml:space="preserve">Pokotylo K. M., Sylkina S. O. Akademichna kultura ta dobrochesnist v osvitnomu protsesi v umovakh voiennykh realii (na prykladi arkhitekturnoho fakultetu kyivskoho natsionalnoho universytetu budivnytstva i arkhitektury). </w:t>
      </w:r>
      <w:r w:rsidRPr="00955F7A">
        <w:rPr>
          <w:rFonts w:ascii="Times New Roman" w:eastAsia="Times New Roman" w:hAnsi="Times New Roman" w:cs="Times New Roman"/>
          <w:i/>
          <w:iCs/>
          <w:kern w:val="0"/>
          <w:sz w:val="24"/>
          <w:szCs w:val="24"/>
          <w14:ligatures w14:val="none"/>
        </w:rPr>
        <w:t>Slobozhanskyi naukovyi visnyk.</w:t>
      </w:r>
      <w:r w:rsidRPr="00955F7A">
        <w:rPr>
          <w:rFonts w:ascii="Times New Roman" w:eastAsia="Times New Roman" w:hAnsi="Times New Roman" w:cs="Times New Roman"/>
          <w:kern w:val="0"/>
          <w:sz w:val="24"/>
          <w:szCs w:val="24"/>
          <w14:ligatures w14:val="none"/>
        </w:rPr>
        <w:t xml:space="preserve"> Seriia: Filolohiia. 2023. Vyp. 3. S. 144–149. https://doi.org/10.32782/philspu/2023.3.26 </w:t>
      </w:r>
    </w:p>
    <w:p w14:paraId="108F70BC"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14:ligatures w14:val="none"/>
        </w:rPr>
      </w:pPr>
      <w:r w:rsidRPr="00955F7A">
        <w:rPr>
          <w:rFonts w:ascii="Times New Roman" w:eastAsia="Times New Roman" w:hAnsi="Times New Roman" w:cs="Times New Roman"/>
          <w:kern w:val="0"/>
          <w:sz w:val="24"/>
          <w:szCs w:val="24"/>
          <w14:ligatures w14:val="none"/>
        </w:rPr>
        <w:t xml:space="preserve">Polishchuk L. O., Haidukevych K. A. Akademichna kultura zakladiv vyshchoi osvity Ukrainy. </w:t>
      </w:r>
      <w:r w:rsidRPr="00955F7A">
        <w:rPr>
          <w:rFonts w:ascii="Times New Roman" w:eastAsia="Times New Roman" w:hAnsi="Times New Roman" w:cs="Times New Roman"/>
          <w:i/>
          <w:iCs/>
          <w:kern w:val="0"/>
          <w:sz w:val="24"/>
          <w:szCs w:val="24"/>
          <w14:ligatures w14:val="none"/>
        </w:rPr>
        <w:t>Visnyk Natsionalnoi akademii kerivnykh kadriv kultury i mystetstv</w:t>
      </w:r>
      <w:r w:rsidRPr="00955F7A">
        <w:rPr>
          <w:rFonts w:ascii="Times New Roman" w:eastAsia="Times New Roman" w:hAnsi="Times New Roman" w:cs="Times New Roman"/>
          <w:kern w:val="0"/>
          <w:sz w:val="24"/>
          <w:szCs w:val="24"/>
          <w14:ligatures w14:val="none"/>
        </w:rPr>
        <w:t>. 2023. № 2. S. 28–35. https://doi.org/10.32461/2226-3209.2.2023.286871</w:t>
      </w:r>
    </w:p>
    <w:p w14:paraId="69E4A32D"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14:ligatures w14:val="none"/>
        </w:rPr>
      </w:pPr>
      <w:r w:rsidRPr="00955F7A">
        <w:rPr>
          <w:rFonts w:ascii="Times New Roman" w:eastAsia="Times New Roman" w:hAnsi="Times New Roman" w:cs="Times New Roman"/>
          <w:kern w:val="0"/>
          <w:sz w:val="24"/>
          <w:szCs w:val="24"/>
          <w14:ligatures w14:val="none"/>
        </w:rPr>
        <w:t>Pro akademichnu dobrochesnist : Zakon Ukrainy vid 18.12.2025 № 4742-IX. URL: https://zakon.rada.gov.ua/laws/show/4742-20#Text (data zvernennia: 20.02.2026).</w:t>
      </w:r>
    </w:p>
    <w:p w14:paraId="0354EF1C"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14:ligatures w14:val="none"/>
        </w:rPr>
      </w:pPr>
      <w:r w:rsidRPr="00955F7A">
        <w:rPr>
          <w:rFonts w:ascii="Times New Roman" w:eastAsia="Times New Roman" w:hAnsi="Times New Roman" w:cs="Times New Roman"/>
          <w:kern w:val="0"/>
          <w:sz w:val="24"/>
          <w:szCs w:val="24"/>
          <w14:ligatures w14:val="none"/>
        </w:rPr>
        <w:t>Pro vyshchu osvitu : Zakon Ukrainy vid 01.07.2014 № 1556-VII. URL: https://zakon.rada.gov.ua/laws/show/1556-18#Text (data zvernennia: 20.02.2026).</w:t>
      </w:r>
    </w:p>
    <w:p w14:paraId="6C65BF04"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14:ligatures w14:val="none"/>
        </w:rPr>
      </w:pPr>
      <w:r w:rsidRPr="00955F7A">
        <w:rPr>
          <w:rFonts w:ascii="Times New Roman" w:eastAsia="Times New Roman" w:hAnsi="Times New Roman" w:cs="Times New Roman"/>
          <w:kern w:val="0"/>
          <w:sz w:val="24"/>
          <w:szCs w:val="24"/>
          <w14:ligatures w14:val="none"/>
        </w:rPr>
        <w:t>Pro osvitu : Zakon Ukrainy vid 05.09.2017 № 2145-VIII. URL: https://zakon.rada.gov.ua/laws/show/2145-19#Text (data zvernennia: 20.02.2026).</w:t>
      </w:r>
    </w:p>
    <w:p w14:paraId="165DDEFD"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14:ligatures w14:val="none"/>
        </w:rPr>
      </w:pPr>
      <w:r w:rsidRPr="00955F7A">
        <w:rPr>
          <w:rFonts w:ascii="Times New Roman" w:eastAsia="Times New Roman" w:hAnsi="Times New Roman" w:cs="Times New Roman"/>
          <w:kern w:val="0"/>
          <w:sz w:val="24"/>
          <w:szCs w:val="24"/>
          <w14:ligatures w14:val="none"/>
        </w:rPr>
        <w:t>Pro skhvalennia Stratehii rozvytku vyshchoi osvity v Ukraini na 2022-2032 roky: Rozporiadzhennia Kabinetu Ministriv Ukrainy vid 23.02.2022 № 286-r. URL: https://zakon.rada.gov.ua/laws/show/286-2022-%D1%80#Text (data zvernennia: 04.02.2026).</w:t>
      </w:r>
    </w:p>
    <w:p w14:paraId="2A4054EC"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14:ligatures w14:val="none"/>
        </w:rPr>
      </w:pPr>
      <w:r w:rsidRPr="00955F7A">
        <w:rPr>
          <w:rFonts w:ascii="Times New Roman" w:eastAsia="Times New Roman" w:hAnsi="Times New Roman" w:cs="Times New Roman"/>
          <w:kern w:val="0"/>
          <w:sz w:val="24"/>
          <w:szCs w:val="24"/>
          <w14:ligatures w14:val="none"/>
        </w:rPr>
        <w:t xml:space="preserve">Rozman I. I. Akademichna dobrochesnist yak vazhlyva skladova yakisnoi osvity. </w:t>
      </w:r>
      <w:r w:rsidRPr="00955F7A">
        <w:rPr>
          <w:rFonts w:ascii="Times New Roman" w:eastAsia="Times New Roman" w:hAnsi="Times New Roman" w:cs="Times New Roman"/>
          <w:i/>
          <w:iCs/>
          <w:kern w:val="0"/>
          <w:sz w:val="24"/>
          <w:szCs w:val="24"/>
          <w14:ligatures w14:val="none"/>
        </w:rPr>
        <w:t>Naukovi innovatsii ta peredovi tekhnolohii.</w:t>
      </w:r>
      <w:r w:rsidRPr="00955F7A">
        <w:rPr>
          <w:rFonts w:ascii="Times New Roman" w:eastAsia="Times New Roman" w:hAnsi="Times New Roman" w:cs="Times New Roman"/>
          <w:kern w:val="0"/>
          <w:sz w:val="24"/>
          <w:szCs w:val="24"/>
          <w14:ligatures w14:val="none"/>
        </w:rPr>
        <w:t xml:space="preserve"> 2022. Vyp. 2 (4). S. 368–376. https://doi.org/10.52058/2786-5274-2022-2(4)-368-376</w:t>
      </w:r>
    </w:p>
    <w:p w14:paraId="0106A061"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14:ligatures w14:val="none"/>
        </w:rPr>
      </w:pPr>
      <w:r w:rsidRPr="00955F7A">
        <w:rPr>
          <w:rFonts w:ascii="Times New Roman" w:eastAsia="Times New Roman" w:hAnsi="Times New Roman" w:cs="Times New Roman"/>
          <w:kern w:val="0"/>
          <w:sz w:val="24"/>
          <w:szCs w:val="24"/>
          <w14:ligatures w14:val="none"/>
        </w:rPr>
        <w:t xml:space="preserve">Surnina-Dalekorei O. A. Kultura akademichnoi dobrochesnosti v Uzhhorodskomu natsionalnomu universyteti: osnovni chynnyky formuvannia ta rozvytku. </w:t>
      </w:r>
      <w:r w:rsidRPr="00955F7A">
        <w:rPr>
          <w:rFonts w:ascii="Times New Roman" w:eastAsia="Times New Roman" w:hAnsi="Times New Roman" w:cs="Times New Roman"/>
          <w:i/>
          <w:iCs/>
          <w:kern w:val="0"/>
          <w:sz w:val="24"/>
          <w:szCs w:val="24"/>
          <w14:ligatures w14:val="none"/>
        </w:rPr>
        <w:t xml:space="preserve">Vyshcha osvita Ukrainy u </w:t>
      </w:r>
      <w:r w:rsidRPr="00955F7A">
        <w:rPr>
          <w:rFonts w:ascii="Times New Roman" w:eastAsia="Times New Roman" w:hAnsi="Times New Roman" w:cs="Times New Roman"/>
          <w:i/>
          <w:iCs/>
          <w:kern w:val="0"/>
          <w:sz w:val="24"/>
          <w:szCs w:val="24"/>
          <w14:ligatures w14:val="none"/>
        </w:rPr>
        <w:lastRenderedPageBreak/>
        <w:t>konteksti intehratsii do yevropeiskoho osvitnoho prostoru</w:t>
      </w:r>
      <w:r w:rsidRPr="00955F7A">
        <w:rPr>
          <w:rFonts w:ascii="Times New Roman" w:eastAsia="Times New Roman" w:hAnsi="Times New Roman" w:cs="Times New Roman"/>
          <w:kern w:val="0"/>
          <w:sz w:val="24"/>
          <w:szCs w:val="24"/>
          <w14:ligatures w14:val="none"/>
        </w:rPr>
        <w:t xml:space="preserve">. 2024. № 2. T. II (94). S. 85–93. https://doi.org/10.38014/osvita.2024.94.07 </w:t>
      </w:r>
    </w:p>
    <w:p w14:paraId="76435704"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14:ligatures w14:val="none"/>
        </w:rPr>
      </w:pPr>
      <w:r w:rsidRPr="00955F7A">
        <w:rPr>
          <w:rFonts w:ascii="Times New Roman" w:eastAsia="Times New Roman" w:hAnsi="Times New Roman" w:cs="Times New Roman"/>
          <w:kern w:val="0"/>
          <w:sz w:val="24"/>
          <w:szCs w:val="24"/>
          <w14:ligatures w14:val="none"/>
        </w:rPr>
        <w:t xml:space="preserve">Umanets O. Akademichna dobrochesnist yak marker suchasnoi osvity: svitovyi ta natsionalnyi vymiry. </w:t>
      </w:r>
      <w:r w:rsidRPr="00955F7A">
        <w:rPr>
          <w:rFonts w:ascii="Times New Roman" w:eastAsia="Times New Roman" w:hAnsi="Times New Roman" w:cs="Times New Roman"/>
          <w:i/>
          <w:iCs/>
          <w:kern w:val="0"/>
          <w:sz w:val="24"/>
          <w:szCs w:val="24"/>
          <w14:ligatures w14:val="none"/>
        </w:rPr>
        <w:t>Aktualni pytannia humanitarnykh nauk</w:t>
      </w:r>
      <w:r w:rsidRPr="00955F7A">
        <w:rPr>
          <w:rFonts w:ascii="Times New Roman" w:eastAsia="Times New Roman" w:hAnsi="Times New Roman" w:cs="Times New Roman"/>
          <w:kern w:val="0"/>
          <w:sz w:val="24"/>
          <w:szCs w:val="24"/>
          <w14:ligatures w14:val="none"/>
        </w:rPr>
        <w:t xml:space="preserve">. 2024. Vyp. 71. T. 3. S. 89–96. https://doi.org/10.24919/2308-4863/71-3-14 </w:t>
      </w:r>
    </w:p>
    <w:p w14:paraId="106E33FC"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14:ligatures w14:val="none"/>
        </w:rPr>
      </w:pPr>
      <w:r w:rsidRPr="00955F7A">
        <w:rPr>
          <w:rFonts w:ascii="Times New Roman" w:eastAsia="Times New Roman" w:hAnsi="Times New Roman" w:cs="Times New Roman"/>
          <w:kern w:val="0"/>
          <w:sz w:val="24"/>
          <w:szCs w:val="24"/>
          <w14:ligatures w14:val="none"/>
        </w:rPr>
        <w:t xml:space="preserve">Filipenko L. V., Dumanskyi O. V., Kozak O. V. Akademichna dobrochesnist v naukovomu ta osvitnomu seredovyshchi zakladiv osvity Ukrainy: pohliad kriz pryzmu naiavnosti shtuchnoho intelektu. </w:t>
      </w:r>
      <w:r w:rsidRPr="00955F7A">
        <w:rPr>
          <w:rFonts w:ascii="Times New Roman" w:eastAsia="Times New Roman" w:hAnsi="Times New Roman" w:cs="Times New Roman"/>
          <w:i/>
          <w:iCs/>
          <w:kern w:val="0"/>
          <w:sz w:val="24"/>
          <w:szCs w:val="24"/>
          <w14:ligatures w14:val="none"/>
        </w:rPr>
        <w:t>Akademichni vizii.</w:t>
      </w:r>
      <w:r w:rsidRPr="00955F7A">
        <w:rPr>
          <w:rFonts w:ascii="Times New Roman" w:eastAsia="Times New Roman" w:hAnsi="Times New Roman" w:cs="Times New Roman"/>
          <w:kern w:val="0"/>
          <w:sz w:val="24"/>
          <w:szCs w:val="24"/>
          <w14:ligatures w14:val="none"/>
        </w:rPr>
        <w:t xml:space="preserve"> 2023. Vyp. 19. http://dx.doi.org/10.5281/zenodo.7966703 </w:t>
      </w:r>
    </w:p>
    <w:p w14:paraId="6ECD0F67"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14:ligatures w14:val="none"/>
        </w:rPr>
      </w:pPr>
      <w:r w:rsidRPr="00955F7A">
        <w:rPr>
          <w:rFonts w:ascii="Times New Roman" w:eastAsia="Times New Roman" w:hAnsi="Times New Roman" w:cs="Times New Roman"/>
          <w:kern w:val="0"/>
          <w:sz w:val="24"/>
          <w:szCs w:val="24"/>
          <w14:ligatures w14:val="none"/>
        </w:rPr>
        <w:t xml:space="preserve">Chumak O. V. Kontsept katehorii akademichnoi dobrochesnosti u vyshchii osviti. </w:t>
      </w:r>
      <w:r w:rsidRPr="00955F7A">
        <w:rPr>
          <w:rFonts w:ascii="Times New Roman" w:eastAsia="Times New Roman" w:hAnsi="Times New Roman" w:cs="Times New Roman"/>
          <w:i/>
          <w:iCs/>
          <w:kern w:val="0"/>
          <w:sz w:val="24"/>
          <w:szCs w:val="24"/>
          <w14:ligatures w14:val="none"/>
        </w:rPr>
        <w:t>Theory and methods of educational management.</w:t>
      </w:r>
      <w:r w:rsidRPr="00955F7A">
        <w:rPr>
          <w:rFonts w:ascii="Times New Roman" w:eastAsia="Times New Roman" w:hAnsi="Times New Roman" w:cs="Times New Roman"/>
          <w:kern w:val="0"/>
          <w:sz w:val="24"/>
          <w:szCs w:val="24"/>
          <w14:ligatures w14:val="none"/>
        </w:rPr>
        <w:t xml:space="preserve"> 2017. № 2 (20). URL: http://umo.edu.ua/images/content/nashi_vydanya/metod_upr_osvit/v2_17/Chumak.pdf (data zvernennia: 27.01.2026).</w:t>
      </w:r>
    </w:p>
    <w:p w14:paraId="4BD4DFD9"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14:ligatures w14:val="none"/>
        </w:rPr>
      </w:pPr>
      <w:r w:rsidRPr="00955F7A">
        <w:rPr>
          <w:rFonts w:ascii="Times New Roman" w:eastAsia="Times New Roman" w:hAnsi="Times New Roman" w:cs="Times New Roman"/>
          <w:kern w:val="0"/>
          <w:sz w:val="24"/>
          <w:szCs w:val="24"/>
          <w14:ligatures w14:val="none"/>
        </w:rPr>
        <w:t xml:space="preserve">Shynkaruk O. Akademichna dobrochesnist yak skladova akademichnoi  kultury uchasnykiv osvitnoho i naukovoho protsesu. </w:t>
      </w:r>
      <w:r w:rsidRPr="00955F7A">
        <w:rPr>
          <w:rFonts w:ascii="Times New Roman" w:eastAsia="Times New Roman" w:hAnsi="Times New Roman" w:cs="Times New Roman"/>
          <w:i/>
          <w:iCs/>
          <w:kern w:val="0"/>
          <w:sz w:val="24"/>
          <w:szCs w:val="24"/>
          <w14:ligatures w14:val="none"/>
        </w:rPr>
        <w:t xml:space="preserve">Pedahohichni nauky: teoriia, istoriia, innovatsiini tekhnolohii. </w:t>
      </w:r>
      <w:r w:rsidRPr="00955F7A">
        <w:rPr>
          <w:rFonts w:ascii="Times New Roman" w:eastAsia="Times New Roman" w:hAnsi="Times New Roman" w:cs="Times New Roman"/>
          <w:kern w:val="0"/>
          <w:sz w:val="24"/>
          <w:szCs w:val="24"/>
          <w14:ligatures w14:val="none"/>
        </w:rPr>
        <w:t>2023. № 4 (128). S. 338–347. https://doi.org/10.24139/2312‐5993/2023.04/338‐347</w:t>
      </w:r>
    </w:p>
    <w:p w14:paraId="409C645E"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color w:val="000000"/>
          <w:kern w:val="0"/>
          <w:sz w:val="24"/>
          <w:szCs w:val="24"/>
          <w14:ligatures w14:val="none"/>
        </w:rPr>
      </w:pPr>
      <w:r w:rsidRPr="00955F7A">
        <w:rPr>
          <w:rFonts w:ascii="Times New Roman" w:eastAsia="Times New Roman" w:hAnsi="Times New Roman" w:cs="Times New Roman"/>
          <w:color w:val="000000"/>
          <w:kern w:val="0"/>
          <w:sz w:val="24"/>
          <w:szCs w:val="24"/>
          <w14:ligatures w14:val="none"/>
        </w:rPr>
        <w:t xml:space="preserve">Amrane-Cooper L., Hatzipanagos, S., &amp; Tait, A. Developing Student Behaviours that Support Academic Integrity in Distance Learning. </w:t>
      </w:r>
      <w:r w:rsidRPr="00955F7A">
        <w:rPr>
          <w:rFonts w:ascii="Times New Roman" w:eastAsia="Times New Roman" w:hAnsi="Times New Roman" w:cs="Times New Roman"/>
          <w:i/>
          <w:iCs/>
          <w:color w:val="000000"/>
          <w:kern w:val="0"/>
          <w:sz w:val="24"/>
          <w:szCs w:val="24"/>
          <w14:ligatures w14:val="none"/>
        </w:rPr>
        <w:t xml:space="preserve">Open Praxis. </w:t>
      </w:r>
      <w:r w:rsidRPr="00955F7A">
        <w:rPr>
          <w:rFonts w:ascii="Times New Roman" w:eastAsia="Times New Roman" w:hAnsi="Times New Roman" w:cs="Times New Roman"/>
          <w:color w:val="000000"/>
          <w:kern w:val="0"/>
          <w:sz w:val="24"/>
          <w:szCs w:val="24"/>
          <w14:ligatures w14:val="none"/>
        </w:rPr>
        <w:t>2021.</w:t>
      </w:r>
      <w:r w:rsidRPr="00955F7A">
        <w:rPr>
          <w:rFonts w:ascii="Times New Roman" w:eastAsia="Times New Roman" w:hAnsi="Times New Roman" w:cs="Times New Roman"/>
          <w:i/>
          <w:iCs/>
          <w:color w:val="000000"/>
          <w:kern w:val="0"/>
          <w:sz w:val="24"/>
          <w:szCs w:val="24"/>
          <w14:ligatures w14:val="none"/>
        </w:rPr>
        <w:t xml:space="preserve"> </w:t>
      </w:r>
      <w:r w:rsidRPr="00955F7A">
        <w:rPr>
          <w:rFonts w:ascii="Times New Roman" w:eastAsia="Times New Roman" w:hAnsi="Times New Roman" w:cs="Times New Roman"/>
          <w:color w:val="000000"/>
          <w:kern w:val="0"/>
          <w:sz w:val="24"/>
          <w:szCs w:val="24"/>
          <w14:ligatures w14:val="none"/>
        </w:rPr>
        <w:t xml:space="preserve">Vol. 13, Issue 4. P. 378–384. </w:t>
      </w:r>
      <w:hyperlink r:id="rId79" w:history="1">
        <w:r w:rsidRPr="00955F7A">
          <w:rPr>
            <w:rFonts w:ascii="Times New Roman" w:eastAsia="Times New Roman" w:hAnsi="Times New Roman" w:cs="Times New Roman"/>
            <w:color w:val="000000"/>
            <w:kern w:val="0"/>
            <w:sz w:val="24"/>
            <w:szCs w:val="24"/>
            <w:u w:val="single"/>
            <w14:ligatures w14:val="none"/>
          </w:rPr>
          <w:t>https://doi.org/10.55982/openpraxis.13.4.461</w:t>
        </w:r>
      </w:hyperlink>
      <w:r w:rsidRPr="00955F7A">
        <w:rPr>
          <w:rFonts w:ascii="Times New Roman" w:eastAsia="Times New Roman" w:hAnsi="Times New Roman" w:cs="Times New Roman"/>
          <w:color w:val="000000"/>
          <w:kern w:val="0"/>
          <w:sz w:val="24"/>
          <w:szCs w:val="24"/>
          <w14:ligatures w14:val="none"/>
        </w:rPr>
        <w:t xml:space="preserve"> </w:t>
      </w:r>
    </w:p>
    <w:p w14:paraId="4AC35080"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color w:val="000000"/>
          <w:kern w:val="0"/>
          <w:sz w:val="24"/>
          <w:szCs w:val="24"/>
          <w14:ligatures w14:val="none"/>
        </w:rPr>
      </w:pPr>
      <w:r w:rsidRPr="00955F7A">
        <w:rPr>
          <w:rFonts w:ascii="Times New Roman" w:eastAsia="Times New Roman" w:hAnsi="Times New Roman" w:cs="Times New Roman"/>
          <w:color w:val="000000"/>
          <w:kern w:val="0"/>
          <w:sz w:val="24"/>
          <w:szCs w:val="24"/>
          <w14:ligatures w14:val="none"/>
        </w:rPr>
        <w:t xml:space="preserve">Alsharefeen R., &amp; Al Sayari N. Examining Academic Integrity Policy and Practice in the Era of AI: A Case Study of Faculty Perspectives. </w:t>
      </w:r>
      <w:r w:rsidRPr="00955F7A">
        <w:rPr>
          <w:rFonts w:ascii="Times New Roman" w:eastAsia="Times New Roman" w:hAnsi="Times New Roman" w:cs="Times New Roman"/>
          <w:i/>
          <w:iCs/>
          <w:color w:val="000000"/>
          <w:kern w:val="0"/>
          <w:sz w:val="24"/>
          <w:szCs w:val="24"/>
          <w14:ligatures w14:val="none"/>
        </w:rPr>
        <w:t xml:space="preserve">Front. Educ. </w:t>
      </w:r>
      <w:r w:rsidRPr="00955F7A">
        <w:rPr>
          <w:rFonts w:ascii="Times New Roman" w:eastAsia="Times New Roman" w:hAnsi="Times New Roman" w:cs="Times New Roman"/>
          <w:color w:val="000000"/>
          <w:kern w:val="0"/>
          <w:sz w:val="24"/>
          <w:szCs w:val="24"/>
          <w14:ligatures w14:val="none"/>
        </w:rPr>
        <w:t>2025</w:t>
      </w:r>
      <w:r w:rsidRPr="00955F7A">
        <w:rPr>
          <w:rFonts w:ascii="Times New Roman" w:eastAsia="Times New Roman" w:hAnsi="Times New Roman" w:cs="Times New Roman"/>
          <w:i/>
          <w:iCs/>
          <w:color w:val="000000"/>
          <w:kern w:val="0"/>
          <w:sz w:val="24"/>
          <w:szCs w:val="24"/>
          <w14:ligatures w14:val="none"/>
        </w:rPr>
        <w:t>,</w:t>
      </w:r>
      <w:r w:rsidRPr="00955F7A">
        <w:rPr>
          <w:rFonts w:ascii="Times New Roman" w:eastAsia="Times New Roman" w:hAnsi="Times New Roman" w:cs="Times New Roman"/>
          <w:color w:val="000000"/>
          <w:kern w:val="0"/>
          <w:sz w:val="24"/>
          <w:szCs w:val="24"/>
          <w14:ligatures w14:val="none"/>
        </w:rPr>
        <w:t xml:space="preserve"> 10:1621743. </w:t>
      </w:r>
      <w:hyperlink r:id="rId80" w:history="1">
        <w:r w:rsidRPr="00955F7A">
          <w:rPr>
            <w:rFonts w:ascii="Times New Roman" w:eastAsia="Times New Roman" w:hAnsi="Times New Roman" w:cs="Times New Roman"/>
            <w:color w:val="000000"/>
            <w:kern w:val="0"/>
            <w:sz w:val="24"/>
            <w:szCs w:val="24"/>
            <w:u w:val="single"/>
            <w14:ligatures w14:val="none"/>
          </w:rPr>
          <w:t>https://doi.org/10.3389/feduc.2025.1621743</w:t>
        </w:r>
      </w:hyperlink>
      <w:r w:rsidRPr="00955F7A">
        <w:rPr>
          <w:rFonts w:ascii="Times New Roman" w:eastAsia="Times New Roman" w:hAnsi="Times New Roman" w:cs="Times New Roman"/>
          <w:color w:val="000000"/>
          <w:kern w:val="0"/>
          <w:sz w:val="24"/>
          <w:szCs w:val="24"/>
          <w14:ligatures w14:val="none"/>
        </w:rPr>
        <w:t xml:space="preserve"> </w:t>
      </w:r>
    </w:p>
    <w:p w14:paraId="41F41CFC"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color w:val="000000"/>
          <w:kern w:val="0"/>
          <w:sz w:val="24"/>
          <w:szCs w:val="24"/>
          <w14:ligatures w14:val="none"/>
        </w:rPr>
      </w:pPr>
      <w:r w:rsidRPr="00955F7A">
        <w:rPr>
          <w:rFonts w:ascii="Times New Roman" w:eastAsia="Times New Roman" w:hAnsi="Times New Roman" w:cs="Times New Roman"/>
          <w:color w:val="000000"/>
          <w:kern w:val="0"/>
          <w:sz w:val="24"/>
          <w:szCs w:val="24"/>
          <w14:ligatures w14:val="none"/>
        </w:rPr>
        <w:t>Balalle</w:t>
      </w:r>
      <w:r w:rsidRPr="00955F7A">
        <w:rPr>
          <w:rFonts w:ascii="Times New Roman" w:eastAsia="Times New Roman" w:hAnsi="Times New Roman" w:cs="Times New Roman"/>
          <w:color w:val="000000"/>
          <w:kern w:val="0"/>
          <w:sz w:val="24"/>
          <w:szCs w:val="24"/>
          <w:shd w:val="clear" w:color="auto" w:fill="FFFFFF"/>
          <w14:ligatures w14:val="none"/>
        </w:rPr>
        <w:t xml:space="preserve"> H., Pannilage S. Reassessing Academic Integrity in the Age of AI: A Systematic Literature Review on AI and Academic Integrity. </w:t>
      </w:r>
      <w:r w:rsidRPr="00955F7A">
        <w:rPr>
          <w:rFonts w:ascii="Times New Roman" w:eastAsia="Times New Roman" w:hAnsi="Times New Roman" w:cs="Times New Roman"/>
          <w:i/>
          <w:iCs/>
          <w:color w:val="000000"/>
          <w:kern w:val="0"/>
          <w:sz w:val="24"/>
          <w:szCs w:val="24"/>
          <w:shd w:val="clear" w:color="auto" w:fill="FFFFFF"/>
          <w14:ligatures w14:val="none"/>
        </w:rPr>
        <w:t>Soc Sci Hum Open</w:t>
      </w:r>
      <w:r w:rsidRPr="00955F7A">
        <w:rPr>
          <w:rFonts w:ascii="Times New Roman" w:eastAsia="Times New Roman" w:hAnsi="Times New Roman" w:cs="Times New Roman"/>
          <w:color w:val="000000"/>
          <w:kern w:val="0"/>
          <w:sz w:val="24"/>
          <w:szCs w:val="24"/>
          <w:shd w:val="clear" w:color="auto" w:fill="FFFFFF"/>
          <w14:ligatures w14:val="none"/>
        </w:rPr>
        <w:t xml:space="preserve">. 2025. </w:t>
      </w:r>
      <w:r w:rsidRPr="00955F7A">
        <w:rPr>
          <w:rFonts w:ascii="Times New Roman" w:eastAsia="Times New Roman" w:hAnsi="Times New Roman" w:cs="Times New Roman"/>
          <w:color w:val="000000"/>
          <w:kern w:val="0"/>
          <w:sz w:val="24"/>
          <w:szCs w:val="24"/>
          <w14:ligatures w14:val="none"/>
        </w:rPr>
        <w:t>Vol. </w:t>
      </w:r>
      <w:r w:rsidRPr="00955F7A">
        <w:rPr>
          <w:rFonts w:ascii="Times New Roman" w:eastAsia="Times New Roman" w:hAnsi="Times New Roman" w:cs="Times New Roman"/>
          <w:color w:val="000000"/>
          <w:kern w:val="0"/>
          <w:sz w:val="24"/>
          <w:szCs w:val="24"/>
          <w:shd w:val="clear" w:color="auto" w:fill="FFFFFF"/>
          <w14:ligatures w14:val="none"/>
        </w:rPr>
        <w:t xml:space="preserve">11, </w:t>
      </w:r>
      <w:r w:rsidRPr="00955F7A">
        <w:rPr>
          <w:rFonts w:ascii="Times New Roman" w:eastAsia="Times New Roman" w:hAnsi="Times New Roman" w:cs="Times New Roman"/>
          <w:color w:val="000000"/>
          <w:kern w:val="0"/>
          <w:sz w:val="24"/>
          <w:szCs w:val="24"/>
          <w14:ligatures w14:val="none"/>
        </w:rPr>
        <w:t>Issue </w:t>
      </w:r>
      <w:r w:rsidRPr="00955F7A">
        <w:rPr>
          <w:rFonts w:ascii="Times New Roman" w:eastAsia="Times New Roman" w:hAnsi="Times New Roman" w:cs="Times New Roman"/>
          <w:color w:val="000000"/>
          <w:kern w:val="0"/>
          <w:sz w:val="24"/>
          <w:szCs w:val="24"/>
          <w:shd w:val="clear" w:color="auto" w:fill="FFFFFF"/>
          <w14:ligatures w14:val="none"/>
        </w:rPr>
        <w:t>1. </w:t>
      </w:r>
      <w:hyperlink r:id="rId81" w:history="1">
        <w:r w:rsidRPr="00955F7A">
          <w:rPr>
            <w:rFonts w:ascii="Times New Roman" w:eastAsia="Times New Roman" w:hAnsi="Times New Roman" w:cs="Times New Roman"/>
            <w:color w:val="000000"/>
            <w:kern w:val="0"/>
            <w:sz w:val="24"/>
            <w:szCs w:val="24"/>
            <w:u w:val="single"/>
            <w:shd w:val="clear" w:color="auto" w:fill="FFFFFF"/>
            <w14:ligatures w14:val="none"/>
          </w:rPr>
          <w:t>https://doi.org/10.1016/j.ssaho.2025.101299</w:t>
        </w:r>
      </w:hyperlink>
    </w:p>
    <w:p w14:paraId="4D08CB42"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color w:val="000000"/>
          <w:kern w:val="0"/>
          <w:sz w:val="24"/>
          <w:szCs w:val="24"/>
          <w14:ligatures w14:val="none"/>
        </w:rPr>
      </w:pPr>
      <w:r w:rsidRPr="00955F7A">
        <w:rPr>
          <w:rFonts w:ascii="Times New Roman" w:eastAsia="Times New Roman" w:hAnsi="Times New Roman" w:cs="Times New Roman"/>
          <w:color w:val="000000"/>
          <w:kern w:val="0"/>
          <w:sz w:val="24"/>
          <w:szCs w:val="24"/>
          <w14:ligatures w14:val="none"/>
        </w:rPr>
        <w:t xml:space="preserve">Bittle K., El-Gayar O. Generative AI and Academic Integrity in Higher Education: A Systematic Review and Research Agenda. </w:t>
      </w:r>
      <w:r w:rsidRPr="00955F7A">
        <w:rPr>
          <w:rFonts w:ascii="Times New Roman" w:eastAsia="Times New Roman" w:hAnsi="Times New Roman" w:cs="Times New Roman"/>
          <w:i/>
          <w:iCs/>
          <w:color w:val="000000"/>
          <w:kern w:val="0"/>
          <w:sz w:val="24"/>
          <w:szCs w:val="24"/>
          <w14:ligatures w14:val="none"/>
        </w:rPr>
        <w:t>Information</w:t>
      </w:r>
      <w:r w:rsidRPr="00955F7A">
        <w:rPr>
          <w:rFonts w:ascii="Times New Roman" w:eastAsia="Times New Roman" w:hAnsi="Times New Roman" w:cs="Times New Roman"/>
          <w:color w:val="000000"/>
          <w:kern w:val="0"/>
          <w:sz w:val="24"/>
          <w:szCs w:val="24"/>
          <w14:ligatures w14:val="none"/>
        </w:rPr>
        <w:t xml:space="preserve">. 2025. Vol. 16, 296. </w:t>
      </w:r>
      <w:hyperlink r:id="rId82" w:history="1">
        <w:r w:rsidRPr="00955F7A">
          <w:rPr>
            <w:rFonts w:ascii="Times New Roman" w:eastAsia="Times New Roman" w:hAnsi="Times New Roman" w:cs="Times New Roman"/>
            <w:color w:val="000000"/>
            <w:kern w:val="0"/>
            <w:sz w:val="24"/>
            <w:szCs w:val="24"/>
            <w:u w:val="single"/>
            <w14:ligatures w14:val="none"/>
          </w:rPr>
          <w:t>https://doi.org/10.3390/info16040296</w:t>
        </w:r>
      </w:hyperlink>
      <w:r w:rsidRPr="00955F7A">
        <w:rPr>
          <w:rFonts w:ascii="Times New Roman" w:eastAsia="Times New Roman" w:hAnsi="Times New Roman" w:cs="Times New Roman"/>
          <w:color w:val="000000"/>
          <w:kern w:val="0"/>
          <w:sz w:val="24"/>
          <w:szCs w:val="24"/>
          <w14:ligatures w14:val="none"/>
        </w:rPr>
        <w:t xml:space="preserve"> </w:t>
      </w:r>
    </w:p>
    <w:p w14:paraId="656A8967"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color w:val="000000"/>
          <w:kern w:val="0"/>
          <w:sz w:val="24"/>
          <w:szCs w:val="24"/>
          <w:lang w:val="ru-RU"/>
          <w14:ligatures w14:val="none"/>
        </w:rPr>
      </w:pPr>
      <w:r w:rsidRPr="00955F7A">
        <w:rPr>
          <w:rFonts w:ascii="Times New Roman" w:eastAsia="Times New Roman" w:hAnsi="Times New Roman" w:cs="Times New Roman"/>
          <w:color w:val="000000"/>
          <w:kern w:val="0"/>
          <w:sz w:val="24"/>
          <w:szCs w:val="24"/>
          <w14:ligatures w14:val="none"/>
        </w:rPr>
        <w:t xml:space="preserve">Bozkurt A. GenAI et al.: Cocreation, Authorship, Ownership, Academic Ethics and Integrity in a Time of Generative AI. </w:t>
      </w:r>
      <w:r w:rsidRPr="00955F7A">
        <w:rPr>
          <w:rFonts w:ascii="Times New Roman" w:eastAsia="Times New Roman" w:hAnsi="Times New Roman" w:cs="Times New Roman"/>
          <w:i/>
          <w:iCs/>
          <w:color w:val="000000"/>
          <w:kern w:val="0"/>
          <w:sz w:val="24"/>
          <w:szCs w:val="24"/>
          <w:lang w:val="ru-RU"/>
          <w14:ligatures w14:val="none"/>
        </w:rPr>
        <w:t>Open Praxis</w:t>
      </w:r>
      <w:r w:rsidRPr="00955F7A">
        <w:rPr>
          <w:rFonts w:ascii="Times New Roman" w:eastAsia="Times New Roman" w:hAnsi="Times New Roman" w:cs="Times New Roman"/>
          <w:color w:val="000000"/>
          <w:kern w:val="0"/>
          <w:sz w:val="24"/>
          <w:szCs w:val="24"/>
          <w14:ligatures w14:val="none"/>
        </w:rPr>
        <w:t>. 2024. Vol. </w:t>
      </w:r>
      <w:r w:rsidRPr="00955F7A">
        <w:rPr>
          <w:rFonts w:ascii="Times New Roman" w:eastAsia="Times New Roman" w:hAnsi="Times New Roman" w:cs="Times New Roman"/>
          <w:color w:val="000000"/>
          <w:kern w:val="0"/>
          <w:sz w:val="24"/>
          <w:szCs w:val="24"/>
          <w:lang w:val="ru-RU"/>
          <w14:ligatures w14:val="none"/>
        </w:rPr>
        <w:t>16</w:t>
      </w:r>
      <w:r w:rsidRPr="00955F7A">
        <w:rPr>
          <w:rFonts w:ascii="Times New Roman" w:eastAsia="Times New Roman" w:hAnsi="Times New Roman" w:cs="Times New Roman"/>
          <w:color w:val="000000"/>
          <w:kern w:val="0"/>
          <w:sz w:val="24"/>
          <w:szCs w:val="24"/>
          <w14:ligatures w14:val="none"/>
        </w:rPr>
        <w:t xml:space="preserve">, Issue </w:t>
      </w:r>
      <w:r w:rsidRPr="00955F7A">
        <w:rPr>
          <w:rFonts w:ascii="Times New Roman" w:eastAsia="Times New Roman" w:hAnsi="Times New Roman" w:cs="Times New Roman"/>
          <w:color w:val="000000"/>
          <w:kern w:val="0"/>
          <w:sz w:val="24"/>
          <w:szCs w:val="24"/>
          <w:lang w:val="ru-RU"/>
          <w14:ligatures w14:val="none"/>
        </w:rPr>
        <w:t>1</w:t>
      </w:r>
      <w:r w:rsidRPr="00955F7A">
        <w:rPr>
          <w:rFonts w:ascii="Times New Roman" w:eastAsia="Times New Roman" w:hAnsi="Times New Roman" w:cs="Times New Roman"/>
          <w:color w:val="000000"/>
          <w:kern w:val="0"/>
          <w:sz w:val="24"/>
          <w:szCs w:val="24"/>
          <w14:ligatures w14:val="none"/>
        </w:rPr>
        <w:t>. P. </w:t>
      </w:r>
      <w:r w:rsidRPr="00955F7A">
        <w:rPr>
          <w:rFonts w:ascii="Times New Roman" w:eastAsia="Times New Roman" w:hAnsi="Times New Roman" w:cs="Times New Roman"/>
          <w:color w:val="000000"/>
          <w:kern w:val="0"/>
          <w:sz w:val="24"/>
          <w:szCs w:val="24"/>
          <w:lang w:val="ru-RU"/>
          <w14:ligatures w14:val="none"/>
        </w:rPr>
        <w:t xml:space="preserve">1–10. </w:t>
      </w:r>
      <w:hyperlink r:id="rId83" w:history="1">
        <w:r w:rsidRPr="00955F7A">
          <w:rPr>
            <w:rFonts w:ascii="Times New Roman" w:eastAsia="Times New Roman" w:hAnsi="Times New Roman" w:cs="Times New Roman"/>
            <w:color w:val="000000"/>
            <w:kern w:val="0"/>
            <w:sz w:val="24"/>
            <w:szCs w:val="24"/>
            <w:u w:val="single"/>
            <w:lang w:val="ru-RU"/>
            <w14:ligatures w14:val="none"/>
          </w:rPr>
          <w:t>https://doi.org/10.55982/openpraxis.16.1.654</w:t>
        </w:r>
      </w:hyperlink>
    </w:p>
    <w:p w14:paraId="432619DF"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color w:val="000000"/>
          <w:kern w:val="0"/>
          <w:sz w:val="24"/>
          <w:szCs w:val="24"/>
          <w:lang w:val="ru-RU"/>
          <w14:ligatures w14:val="none"/>
        </w:rPr>
      </w:pPr>
      <w:r w:rsidRPr="00955F7A">
        <w:rPr>
          <w:rFonts w:ascii="Times New Roman" w:eastAsia="Times New Roman" w:hAnsi="Times New Roman" w:cs="Times New Roman"/>
          <w:color w:val="000000"/>
          <w:kern w:val="0"/>
          <w:sz w:val="24"/>
          <w:szCs w:val="24"/>
          <w14:ligatures w14:val="none"/>
        </w:rPr>
        <w:t>Campbell</w:t>
      </w:r>
      <w:r w:rsidRPr="00955F7A">
        <w:rPr>
          <w:rFonts w:ascii="Times New Roman" w:eastAsia="Times New Roman" w:hAnsi="Times New Roman" w:cs="Times New Roman"/>
          <w:color w:val="000000"/>
          <w:kern w:val="0"/>
          <w:sz w:val="24"/>
          <w:szCs w:val="24"/>
          <w:shd w:val="clear" w:color="auto" w:fill="FFFFFF"/>
          <w14:ligatures w14:val="none"/>
        </w:rPr>
        <w:t xml:space="preserve"> C., Waddington L. Academic Integrity Strategies: Student Insights. </w:t>
      </w:r>
      <w:r w:rsidRPr="00955F7A">
        <w:rPr>
          <w:rFonts w:ascii="Times New Roman" w:eastAsia="Times New Roman" w:hAnsi="Times New Roman" w:cs="Times New Roman"/>
          <w:i/>
          <w:iCs/>
          <w:color w:val="000000"/>
          <w:kern w:val="0"/>
          <w:sz w:val="24"/>
          <w:szCs w:val="24"/>
          <w:shd w:val="clear" w:color="auto" w:fill="FFFFFF"/>
          <w:lang w:val="ru-RU"/>
          <w14:ligatures w14:val="none"/>
        </w:rPr>
        <w:t>J Acad Ethics</w:t>
      </w:r>
      <w:r w:rsidRPr="00955F7A">
        <w:rPr>
          <w:rFonts w:ascii="Times New Roman" w:eastAsia="Times New Roman" w:hAnsi="Times New Roman" w:cs="Times New Roman"/>
          <w:color w:val="000000"/>
          <w:kern w:val="0"/>
          <w:sz w:val="24"/>
          <w:szCs w:val="24"/>
          <w:shd w:val="clear" w:color="auto" w:fill="FFFFFF"/>
          <w14:ligatures w14:val="none"/>
        </w:rPr>
        <w:t xml:space="preserve">. 2024. </w:t>
      </w:r>
      <w:r w:rsidRPr="00955F7A">
        <w:rPr>
          <w:rFonts w:ascii="Times New Roman" w:eastAsia="Times New Roman" w:hAnsi="Times New Roman" w:cs="Times New Roman"/>
          <w:color w:val="000000"/>
          <w:kern w:val="0"/>
          <w:sz w:val="24"/>
          <w:szCs w:val="24"/>
          <w14:ligatures w14:val="none"/>
        </w:rPr>
        <w:t>Vol. </w:t>
      </w:r>
      <w:r w:rsidRPr="00955F7A">
        <w:rPr>
          <w:rFonts w:ascii="Times New Roman" w:eastAsia="Times New Roman" w:hAnsi="Times New Roman" w:cs="Times New Roman"/>
          <w:color w:val="000000"/>
          <w:kern w:val="0"/>
          <w:sz w:val="24"/>
          <w:szCs w:val="24"/>
          <w:shd w:val="clear" w:color="auto" w:fill="FFFFFF"/>
          <w:lang w:val="ru-RU"/>
          <w14:ligatures w14:val="none"/>
        </w:rPr>
        <w:t>22</w:t>
      </w:r>
      <w:r w:rsidRPr="00955F7A">
        <w:rPr>
          <w:rFonts w:ascii="Times New Roman" w:eastAsia="Times New Roman" w:hAnsi="Times New Roman" w:cs="Times New Roman"/>
          <w:color w:val="000000"/>
          <w:kern w:val="0"/>
          <w:sz w:val="24"/>
          <w:szCs w:val="24"/>
          <w:shd w:val="clear" w:color="auto" w:fill="FFFFFF"/>
          <w14:ligatures w14:val="none"/>
        </w:rPr>
        <w:t>. P. </w:t>
      </w:r>
      <w:r w:rsidRPr="00955F7A">
        <w:rPr>
          <w:rFonts w:ascii="Times New Roman" w:eastAsia="Times New Roman" w:hAnsi="Times New Roman" w:cs="Times New Roman"/>
          <w:color w:val="000000"/>
          <w:kern w:val="0"/>
          <w:sz w:val="24"/>
          <w:szCs w:val="24"/>
          <w:shd w:val="clear" w:color="auto" w:fill="FFFFFF"/>
          <w:lang w:val="ru-RU"/>
          <w14:ligatures w14:val="none"/>
        </w:rPr>
        <w:t xml:space="preserve">33–50. </w:t>
      </w:r>
      <w:hyperlink r:id="rId84" w:history="1">
        <w:r w:rsidRPr="00955F7A">
          <w:rPr>
            <w:rFonts w:ascii="Times New Roman" w:eastAsia="Times New Roman" w:hAnsi="Times New Roman" w:cs="Times New Roman"/>
            <w:color w:val="000000"/>
            <w:kern w:val="0"/>
            <w:sz w:val="24"/>
            <w:szCs w:val="24"/>
            <w:u w:val="single"/>
            <w:shd w:val="clear" w:color="auto" w:fill="FFFFFF"/>
            <w:lang w:val="ru-RU"/>
            <w14:ligatures w14:val="none"/>
          </w:rPr>
          <w:t>https://doi.org/10.1007/s10805-024-09510-1</w:t>
        </w:r>
      </w:hyperlink>
      <w:r w:rsidRPr="00955F7A">
        <w:rPr>
          <w:rFonts w:ascii="Times New Roman" w:eastAsia="Times New Roman" w:hAnsi="Times New Roman" w:cs="Times New Roman"/>
          <w:color w:val="000000"/>
          <w:kern w:val="0"/>
          <w:sz w:val="24"/>
          <w:szCs w:val="24"/>
          <w:shd w:val="clear" w:color="auto" w:fill="FFFFFF"/>
          <w:lang w:val="ru-RU"/>
          <w14:ligatures w14:val="none"/>
        </w:rPr>
        <w:t xml:space="preserve"> </w:t>
      </w:r>
      <w:r w:rsidRPr="00955F7A">
        <w:rPr>
          <w:rFonts w:ascii="Times New Roman" w:eastAsia="Times New Roman" w:hAnsi="Times New Roman" w:cs="Times New Roman"/>
          <w:color w:val="000000"/>
          <w:kern w:val="0"/>
          <w:sz w:val="24"/>
          <w:szCs w:val="24"/>
          <w:lang w:val="ru-RU"/>
          <w14:ligatures w14:val="none"/>
        </w:rPr>
        <w:t xml:space="preserve"> </w:t>
      </w:r>
    </w:p>
    <w:p w14:paraId="27BB579B"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color w:val="000000"/>
          <w:kern w:val="0"/>
          <w:sz w:val="24"/>
          <w:szCs w:val="24"/>
          <w:lang w:eastAsia="uk-UA"/>
          <w14:ligatures w14:val="none"/>
        </w:rPr>
      </w:pPr>
      <w:r w:rsidRPr="00955F7A">
        <w:rPr>
          <w:rFonts w:ascii="Times New Roman" w:eastAsia="Times New Roman" w:hAnsi="Times New Roman" w:cs="Times New Roman"/>
          <w:color w:val="000000"/>
          <w:kern w:val="0"/>
          <w:sz w:val="24"/>
          <w:szCs w:val="24"/>
          <w14:ligatures w14:val="none"/>
        </w:rPr>
        <w:t>Coates</w:t>
      </w:r>
      <w:r w:rsidRPr="00955F7A">
        <w:rPr>
          <w:rFonts w:ascii="Times New Roman" w:eastAsia="Times New Roman" w:hAnsi="Times New Roman" w:cs="Times New Roman"/>
          <w:color w:val="000000"/>
          <w:kern w:val="0"/>
          <w:sz w:val="24"/>
          <w:szCs w:val="24"/>
          <w:shd w:val="clear" w:color="auto" w:fill="FFFFFF"/>
          <w14:ligatures w14:val="none"/>
        </w:rPr>
        <w:t xml:space="preserve"> H., Croucher G., &amp; Calderon A. Governing Academic Integrity: Ensuring the Authenticity of Higher Thinking in the Era of Generative Artificial Intelligence. </w:t>
      </w:r>
      <w:r w:rsidRPr="00955F7A">
        <w:rPr>
          <w:rFonts w:ascii="Times New Roman" w:eastAsia="Times New Roman" w:hAnsi="Times New Roman" w:cs="Times New Roman"/>
          <w:i/>
          <w:iCs/>
          <w:color w:val="000000"/>
          <w:kern w:val="0"/>
          <w:sz w:val="24"/>
          <w:szCs w:val="24"/>
          <w:shd w:val="clear" w:color="auto" w:fill="FFFFFF"/>
          <w14:ligatures w14:val="none"/>
        </w:rPr>
        <w:t>J Acad Ethics</w:t>
      </w:r>
      <w:r w:rsidRPr="00955F7A">
        <w:rPr>
          <w:rFonts w:ascii="Times New Roman" w:eastAsia="Times New Roman" w:hAnsi="Times New Roman" w:cs="Times New Roman"/>
          <w:color w:val="000000"/>
          <w:kern w:val="0"/>
          <w:sz w:val="24"/>
          <w:szCs w:val="24"/>
          <w:shd w:val="clear" w:color="auto" w:fill="FFFFFF"/>
          <w14:ligatures w14:val="none"/>
        </w:rPr>
        <w:t xml:space="preserve">. 2025. </w:t>
      </w:r>
      <w:r w:rsidRPr="00955F7A">
        <w:rPr>
          <w:rFonts w:ascii="Times New Roman" w:eastAsia="Times New Roman" w:hAnsi="Times New Roman" w:cs="Times New Roman"/>
          <w:color w:val="000000"/>
          <w:kern w:val="0"/>
          <w:sz w:val="24"/>
          <w:szCs w:val="24"/>
          <w14:ligatures w14:val="none"/>
        </w:rPr>
        <w:t>Vol. </w:t>
      </w:r>
      <w:r w:rsidRPr="00955F7A">
        <w:rPr>
          <w:rFonts w:ascii="Times New Roman" w:eastAsia="Times New Roman" w:hAnsi="Times New Roman" w:cs="Times New Roman"/>
          <w:color w:val="000000"/>
          <w:kern w:val="0"/>
          <w:sz w:val="24"/>
          <w:szCs w:val="24"/>
          <w:shd w:val="clear" w:color="auto" w:fill="FFFFFF"/>
          <w14:ligatures w14:val="none"/>
        </w:rPr>
        <w:t xml:space="preserve">23. P. 2015–2028. </w:t>
      </w:r>
      <w:hyperlink r:id="rId85" w:history="1">
        <w:r w:rsidRPr="00955F7A">
          <w:rPr>
            <w:rFonts w:ascii="Times New Roman" w:eastAsia="Times New Roman" w:hAnsi="Times New Roman" w:cs="Times New Roman"/>
            <w:color w:val="000000"/>
            <w:kern w:val="0"/>
            <w:sz w:val="24"/>
            <w:szCs w:val="24"/>
            <w:u w:val="single"/>
            <w:shd w:val="clear" w:color="auto" w:fill="FFFFFF"/>
            <w14:ligatures w14:val="none"/>
          </w:rPr>
          <w:t>https://doi.org/10.1007/s10805-025-09639-7</w:t>
        </w:r>
      </w:hyperlink>
    </w:p>
    <w:p w14:paraId="591C95BF"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color w:val="000000"/>
          <w:kern w:val="0"/>
          <w:sz w:val="24"/>
          <w:szCs w:val="24"/>
          <w14:ligatures w14:val="none"/>
        </w:rPr>
      </w:pPr>
      <w:r w:rsidRPr="00955F7A">
        <w:rPr>
          <w:rFonts w:ascii="Times New Roman" w:eastAsia="Times New Roman" w:hAnsi="Times New Roman" w:cs="Times New Roman"/>
          <w:color w:val="000000"/>
          <w:kern w:val="0"/>
          <w:sz w:val="24"/>
          <w:szCs w:val="24"/>
          <w14:ligatures w14:val="none"/>
        </w:rPr>
        <w:t xml:space="preserve">Davis A. Academic Integrity in the Time of Contradictions. </w:t>
      </w:r>
      <w:r w:rsidRPr="00955F7A">
        <w:rPr>
          <w:rFonts w:ascii="Times New Roman" w:eastAsia="Times New Roman" w:hAnsi="Times New Roman" w:cs="Times New Roman"/>
          <w:i/>
          <w:iCs/>
          <w:color w:val="000000"/>
          <w:kern w:val="0"/>
          <w:sz w:val="24"/>
          <w:szCs w:val="24"/>
          <w14:ligatures w14:val="none"/>
        </w:rPr>
        <w:t xml:space="preserve">Cogent Education. </w:t>
      </w:r>
      <w:r w:rsidRPr="00955F7A">
        <w:rPr>
          <w:rFonts w:ascii="Times New Roman" w:eastAsia="Times New Roman" w:hAnsi="Times New Roman" w:cs="Times New Roman"/>
          <w:color w:val="000000"/>
          <w:kern w:val="0"/>
          <w:sz w:val="24"/>
          <w:szCs w:val="24"/>
          <w14:ligatures w14:val="none"/>
        </w:rPr>
        <w:t xml:space="preserve">2023. Vol. 10, Issue 2: 2289307. </w:t>
      </w:r>
      <w:hyperlink r:id="rId86" w:history="1">
        <w:r w:rsidRPr="00955F7A">
          <w:rPr>
            <w:rFonts w:ascii="Times New Roman" w:eastAsia="Times New Roman" w:hAnsi="Times New Roman" w:cs="Times New Roman"/>
            <w:color w:val="000000"/>
            <w:kern w:val="0"/>
            <w:sz w:val="24"/>
            <w:szCs w:val="24"/>
            <w:u w:val="single"/>
            <w14:ligatures w14:val="none"/>
          </w:rPr>
          <w:t>https://doi.org/10.1080/2331186X.2023.2289307</w:t>
        </w:r>
      </w:hyperlink>
      <w:r w:rsidRPr="00955F7A">
        <w:rPr>
          <w:rFonts w:ascii="Times New Roman" w:eastAsia="Times New Roman" w:hAnsi="Times New Roman" w:cs="Times New Roman"/>
          <w:color w:val="000000"/>
          <w:kern w:val="0"/>
          <w:sz w:val="24"/>
          <w:szCs w:val="24"/>
          <w14:ligatures w14:val="none"/>
        </w:rPr>
        <w:t xml:space="preserve"> </w:t>
      </w:r>
    </w:p>
    <w:p w14:paraId="38A9A252"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color w:val="000000"/>
          <w:kern w:val="0"/>
          <w:sz w:val="24"/>
          <w:szCs w:val="24"/>
          <w:lang w:eastAsia="uk-UA"/>
          <w14:ligatures w14:val="none"/>
        </w:rPr>
      </w:pPr>
      <w:r w:rsidRPr="00955F7A">
        <w:rPr>
          <w:rFonts w:ascii="Times New Roman" w:eastAsia="Times New Roman" w:hAnsi="Times New Roman" w:cs="Times New Roman"/>
          <w:color w:val="000000"/>
          <w:kern w:val="0"/>
          <w:sz w:val="24"/>
          <w:szCs w:val="24"/>
          <w:lang w:eastAsia="uk-UA"/>
          <w14:ligatures w14:val="none"/>
        </w:rPr>
        <w:t xml:space="preserve">Duliba Y., Petroye O., Pletsan P., Havryliuk A., Antonenko V., &amp; </w:t>
      </w:r>
      <w:r w:rsidRPr="00955F7A">
        <w:rPr>
          <w:rFonts w:ascii="Times New Roman" w:eastAsia="Times New Roman" w:hAnsi="Times New Roman" w:cs="Times New Roman"/>
          <w:color w:val="000000"/>
          <w:kern w:val="0"/>
          <w:sz w:val="24"/>
          <w:szCs w:val="24"/>
          <w14:ligatures w14:val="none"/>
        </w:rPr>
        <w:t>Antonova</w:t>
      </w:r>
      <w:r w:rsidRPr="00955F7A">
        <w:rPr>
          <w:rFonts w:ascii="Times New Roman" w:eastAsia="Times New Roman" w:hAnsi="Times New Roman" w:cs="Times New Roman"/>
          <w:color w:val="000000"/>
          <w:kern w:val="0"/>
          <w:sz w:val="24"/>
          <w:szCs w:val="24"/>
          <w:lang w:eastAsia="uk-UA"/>
          <w14:ligatures w14:val="none"/>
        </w:rPr>
        <w:t xml:space="preserve"> O. Academic Integrity in Higher Educational Institutions in Times of the Covid-19 Pandemic: World Experience and Ukrainian Realities. </w:t>
      </w:r>
      <w:r w:rsidRPr="00955F7A">
        <w:rPr>
          <w:rFonts w:ascii="Times New Roman" w:eastAsia="Times New Roman" w:hAnsi="Times New Roman" w:cs="Times New Roman"/>
          <w:i/>
          <w:iCs/>
          <w:color w:val="000000"/>
          <w:kern w:val="0"/>
          <w:sz w:val="24"/>
          <w:szCs w:val="24"/>
          <w:lang w:eastAsia="uk-UA"/>
          <w14:ligatures w14:val="none"/>
        </w:rPr>
        <w:t xml:space="preserve">Revista Românească pentru Educaţie Multidimensională. </w:t>
      </w:r>
      <w:r w:rsidRPr="00955F7A">
        <w:rPr>
          <w:rFonts w:ascii="Times New Roman" w:eastAsia="Times New Roman" w:hAnsi="Times New Roman" w:cs="Times New Roman"/>
          <w:color w:val="000000"/>
          <w:kern w:val="0"/>
          <w:sz w:val="24"/>
          <w:szCs w:val="24"/>
          <w:lang w:eastAsia="uk-UA"/>
          <w14:ligatures w14:val="none"/>
        </w:rPr>
        <w:t xml:space="preserve">2022. </w:t>
      </w:r>
      <w:r w:rsidRPr="00955F7A">
        <w:rPr>
          <w:rFonts w:ascii="Times New Roman" w:eastAsia="Times New Roman" w:hAnsi="Times New Roman" w:cs="Times New Roman"/>
          <w:color w:val="000000"/>
          <w:kern w:val="0"/>
          <w:sz w:val="24"/>
          <w:szCs w:val="24"/>
          <w14:ligatures w14:val="none"/>
        </w:rPr>
        <w:t>Vol. </w:t>
      </w:r>
      <w:r w:rsidRPr="00955F7A">
        <w:rPr>
          <w:rFonts w:ascii="Times New Roman" w:eastAsia="Times New Roman" w:hAnsi="Times New Roman" w:cs="Times New Roman"/>
          <w:color w:val="000000"/>
          <w:kern w:val="0"/>
          <w:sz w:val="24"/>
          <w:szCs w:val="24"/>
          <w:lang w:eastAsia="uk-UA"/>
          <w14:ligatures w14:val="none"/>
        </w:rPr>
        <w:t>14, 4Sup1. P. 1</w:t>
      </w:r>
      <w:r w:rsidRPr="00955F7A">
        <w:rPr>
          <w:rFonts w:ascii="Times New Roman" w:eastAsia="Times New Roman" w:hAnsi="Times New Roman" w:cs="Times New Roman"/>
          <w:color w:val="000000"/>
          <w:kern w:val="0"/>
          <w:sz w:val="24"/>
          <w:szCs w:val="24"/>
          <w:shd w:val="clear" w:color="auto" w:fill="FFFFFF"/>
          <w14:ligatures w14:val="none"/>
        </w:rPr>
        <w:t>–</w:t>
      </w:r>
      <w:r w:rsidRPr="00955F7A">
        <w:rPr>
          <w:rFonts w:ascii="Times New Roman" w:eastAsia="Times New Roman" w:hAnsi="Times New Roman" w:cs="Times New Roman"/>
          <w:color w:val="000000"/>
          <w:kern w:val="0"/>
          <w:sz w:val="24"/>
          <w:szCs w:val="24"/>
          <w:lang w:eastAsia="uk-UA"/>
          <w14:ligatures w14:val="none"/>
        </w:rPr>
        <w:t xml:space="preserve">17. </w:t>
      </w:r>
      <w:hyperlink r:id="rId87" w:history="1">
        <w:r w:rsidRPr="00955F7A">
          <w:rPr>
            <w:rFonts w:ascii="Times New Roman" w:eastAsia="Times New Roman" w:hAnsi="Times New Roman" w:cs="Times New Roman"/>
            <w:color w:val="000000"/>
            <w:kern w:val="0"/>
            <w:sz w:val="24"/>
            <w:szCs w:val="24"/>
            <w:u w:val="single"/>
            <w:lang w:eastAsia="uk-UA"/>
            <w14:ligatures w14:val="none"/>
          </w:rPr>
          <w:t>https://doi.org/10.18662/rrem/14.4Sup1/656</w:t>
        </w:r>
      </w:hyperlink>
      <w:r w:rsidRPr="00955F7A">
        <w:rPr>
          <w:rFonts w:ascii="Times New Roman" w:eastAsia="Times New Roman" w:hAnsi="Times New Roman" w:cs="Times New Roman"/>
          <w:color w:val="000000"/>
          <w:kern w:val="0"/>
          <w:sz w:val="24"/>
          <w:szCs w:val="24"/>
          <w:lang w:eastAsia="uk-UA"/>
          <w14:ligatures w14:val="none"/>
        </w:rPr>
        <w:t xml:space="preserve"> </w:t>
      </w:r>
    </w:p>
    <w:p w14:paraId="5EC4E6C6"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color w:val="000000"/>
          <w:kern w:val="0"/>
          <w:sz w:val="24"/>
          <w:szCs w:val="24"/>
          <w14:ligatures w14:val="none"/>
        </w:rPr>
      </w:pPr>
      <w:r w:rsidRPr="00955F7A">
        <w:rPr>
          <w:rFonts w:ascii="Times New Roman" w:eastAsia="Times New Roman" w:hAnsi="Times New Roman" w:cs="Times New Roman"/>
          <w:color w:val="000000"/>
          <w:kern w:val="0"/>
          <w:sz w:val="24"/>
          <w:szCs w:val="24"/>
          <w14:ligatures w14:val="none"/>
        </w:rPr>
        <w:t xml:space="preserve">Eaton S. E. The academic integrity technological arms race and its impact on learning, teaching, and assessment. </w:t>
      </w:r>
      <w:r w:rsidRPr="00955F7A">
        <w:rPr>
          <w:rFonts w:ascii="Times New Roman" w:eastAsia="Times New Roman" w:hAnsi="Times New Roman" w:cs="Times New Roman"/>
          <w:i/>
          <w:iCs/>
          <w:color w:val="000000"/>
          <w:kern w:val="0"/>
          <w:sz w:val="24"/>
          <w:szCs w:val="24"/>
          <w14:ligatures w14:val="none"/>
        </w:rPr>
        <w:t>Canadian Journal of Learning and Technology</w:t>
      </w:r>
      <w:r w:rsidRPr="00955F7A">
        <w:rPr>
          <w:rFonts w:ascii="Times New Roman" w:eastAsia="Times New Roman" w:hAnsi="Times New Roman" w:cs="Times New Roman"/>
          <w:color w:val="000000"/>
          <w:kern w:val="0"/>
          <w:sz w:val="24"/>
          <w:szCs w:val="24"/>
          <w14:ligatures w14:val="none"/>
        </w:rPr>
        <w:t xml:space="preserve">. 2023. Vol. 48, Issue 2. </w:t>
      </w:r>
      <w:hyperlink r:id="rId88" w:history="1">
        <w:r w:rsidRPr="00955F7A">
          <w:rPr>
            <w:rFonts w:ascii="Times New Roman" w:eastAsia="Times New Roman" w:hAnsi="Times New Roman" w:cs="Times New Roman"/>
            <w:color w:val="000000"/>
            <w:kern w:val="0"/>
            <w:sz w:val="24"/>
            <w:szCs w:val="24"/>
            <w:u w:val="single"/>
            <w14:ligatures w14:val="none"/>
          </w:rPr>
          <w:t>https://doi.org/10.21432/cjlt28388</w:t>
        </w:r>
      </w:hyperlink>
      <w:r w:rsidRPr="00955F7A">
        <w:rPr>
          <w:rFonts w:ascii="Times New Roman" w:eastAsia="Times New Roman" w:hAnsi="Times New Roman" w:cs="Times New Roman"/>
          <w:color w:val="000000"/>
          <w:kern w:val="0"/>
          <w:sz w:val="24"/>
          <w:szCs w:val="24"/>
          <w14:ligatures w14:val="none"/>
        </w:rPr>
        <w:t xml:space="preserve"> </w:t>
      </w:r>
    </w:p>
    <w:p w14:paraId="42D6229B"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color w:val="000000"/>
          <w:kern w:val="0"/>
          <w:sz w:val="24"/>
          <w:szCs w:val="24"/>
          <w14:ligatures w14:val="none"/>
        </w:rPr>
      </w:pPr>
      <w:r w:rsidRPr="00955F7A">
        <w:rPr>
          <w:rFonts w:ascii="Times New Roman" w:eastAsia="Times New Roman" w:hAnsi="Times New Roman" w:cs="Times New Roman"/>
          <w:color w:val="000000"/>
          <w:kern w:val="0"/>
          <w:sz w:val="24"/>
          <w:szCs w:val="24"/>
          <w14:ligatures w14:val="none"/>
        </w:rPr>
        <w:t>Harrad R., Keasley R., &amp; Jefferies L. Academic Integrity or Academic Misconduct? Conceptual Difficulties in Higher Education and the Potential Contribution of Student Demographic Factors. </w:t>
      </w:r>
      <w:r w:rsidRPr="00955F7A">
        <w:rPr>
          <w:rFonts w:ascii="Times New Roman" w:eastAsia="Times New Roman" w:hAnsi="Times New Roman" w:cs="Times New Roman"/>
          <w:i/>
          <w:iCs/>
          <w:color w:val="000000"/>
          <w:kern w:val="0"/>
          <w:sz w:val="24"/>
          <w:szCs w:val="24"/>
          <w14:ligatures w14:val="none"/>
        </w:rPr>
        <w:t>Higher Education Research &amp; Development</w:t>
      </w:r>
      <w:r w:rsidRPr="00955F7A">
        <w:rPr>
          <w:rFonts w:ascii="Times New Roman" w:eastAsia="Times New Roman" w:hAnsi="Times New Roman" w:cs="Times New Roman"/>
          <w:color w:val="000000"/>
          <w:kern w:val="0"/>
          <w:sz w:val="24"/>
          <w:szCs w:val="24"/>
          <w14:ligatures w14:val="none"/>
        </w:rPr>
        <w:t xml:space="preserve">. 2024. Vol. 43, Issue 7. P. 1556–1570. </w:t>
      </w:r>
      <w:hyperlink r:id="rId89" w:history="1">
        <w:r w:rsidRPr="00955F7A">
          <w:rPr>
            <w:rFonts w:ascii="Times New Roman" w:eastAsia="Times New Roman" w:hAnsi="Times New Roman" w:cs="Times New Roman"/>
            <w:color w:val="000000"/>
            <w:kern w:val="0"/>
            <w:sz w:val="24"/>
            <w:szCs w:val="24"/>
            <w:u w:val="single"/>
            <w14:ligatures w14:val="none"/>
          </w:rPr>
          <w:t>https://doi.org/10.1080/07294360.2024.2339833</w:t>
        </w:r>
      </w:hyperlink>
      <w:r w:rsidRPr="00955F7A">
        <w:rPr>
          <w:rFonts w:ascii="Times New Roman" w:eastAsia="Times New Roman" w:hAnsi="Times New Roman" w:cs="Times New Roman"/>
          <w:color w:val="000000"/>
          <w:kern w:val="0"/>
          <w:sz w:val="24"/>
          <w:szCs w:val="24"/>
          <w14:ligatures w14:val="none"/>
        </w:rPr>
        <w:t xml:space="preserve"> </w:t>
      </w:r>
    </w:p>
    <w:p w14:paraId="2BFA64A2"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color w:val="000000"/>
          <w:kern w:val="0"/>
          <w:sz w:val="24"/>
          <w:szCs w:val="24"/>
          <w14:ligatures w14:val="none"/>
        </w:rPr>
      </w:pPr>
      <w:r w:rsidRPr="00955F7A">
        <w:rPr>
          <w:rFonts w:ascii="Times New Roman" w:eastAsia="Times New Roman" w:hAnsi="Times New Roman" w:cs="Times New Roman"/>
          <w:color w:val="000000"/>
          <w:kern w:val="0"/>
          <w:sz w:val="24"/>
          <w:szCs w:val="24"/>
          <w14:ligatures w14:val="none"/>
        </w:rPr>
        <w:t>Mejía</w:t>
      </w:r>
      <w:r w:rsidRPr="00955F7A">
        <w:rPr>
          <w:rFonts w:ascii="Times New Roman" w:eastAsia="Times New Roman" w:hAnsi="Times New Roman" w:cs="Times New Roman"/>
          <w:color w:val="000000"/>
          <w:kern w:val="0"/>
          <w:sz w:val="24"/>
          <w:szCs w:val="24"/>
          <w:shd w:val="clear" w:color="auto" w:fill="FFFFFF"/>
          <w14:ligatures w14:val="none"/>
        </w:rPr>
        <w:t xml:space="preserve"> A., Garcés-Flórez M. F. What Do We Mean By Academic Integrity? </w:t>
      </w:r>
      <w:r w:rsidRPr="00955F7A">
        <w:rPr>
          <w:rFonts w:ascii="Times New Roman" w:eastAsia="Times New Roman" w:hAnsi="Times New Roman" w:cs="Times New Roman"/>
          <w:i/>
          <w:iCs/>
          <w:color w:val="000000"/>
          <w:kern w:val="0"/>
          <w:sz w:val="24"/>
          <w:szCs w:val="24"/>
          <w:shd w:val="clear" w:color="auto" w:fill="FFFFFF"/>
          <w14:ligatures w14:val="none"/>
        </w:rPr>
        <w:t xml:space="preserve">Int J Educ Integr. </w:t>
      </w:r>
      <w:r w:rsidRPr="00955F7A">
        <w:rPr>
          <w:rFonts w:ascii="Times New Roman" w:eastAsia="Times New Roman" w:hAnsi="Times New Roman" w:cs="Times New Roman"/>
          <w:color w:val="000000"/>
          <w:kern w:val="0"/>
          <w:sz w:val="24"/>
          <w:szCs w:val="24"/>
          <w14:ligatures w14:val="none"/>
        </w:rPr>
        <w:t>Vol.</w:t>
      </w:r>
      <w:r w:rsidRPr="00955F7A">
        <w:rPr>
          <w:rFonts w:ascii="Times New Roman" w:eastAsia="Times New Roman" w:hAnsi="Times New Roman" w:cs="Times New Roman"/>
          <w:color w:val="000000"/>
          <w:kern w:val="0"/>
          <w:sz w:val="24"/>
          <w:szCs w:val="24"/>
          <w:shd w:val="clear" w:color="auto" w:fill="FFFFFF"/>
          <w14:ligatures w14:val="none"/>
        </w:rPr>
        <w:t xml:space="preserve"> 21, </w:t>
      </w:r>
      <w:r w:rsidRPr="00955F7A">
        <w:rPr>
          <w:rFonts w:ascii="Times New Roman" w:eastAsia="Times New Roman" w:hAnsi="Times New Roman" w:cs="Times New Roman"/>
          <w:color w:val="000000"/>
          <w:kern w:val="0"/>
          <w:sz w:val="24"/>
          <w:szCs w:val="24"/>
          <w14:ligatures w14:val="none"/>
        </w:rPr>
        <w:t>Issue </w:t>
      </w:r>
      <w:r w:rsidRPr="00955F7A">
        <w:rPr>
          <w:rFonts w:ascii="Times New Roman" w:eastAsia="Times New Roman" w:hAnsi="Times New Roman" w:cs="Times New Roman"/>
          <w:color w:val="000000"/>
          <w:kern w:val="0"/>
          <w:sz w:val="24"/>
          <w:szCs w:val="24"/>
          <w:shd w:val="clear" w:color="auto" w:fill="FFFFFF"/>
          <w14:ligatures w14:val="none"/>
        </w:rPr>
        <w:t xml:space="preserve">1. </w:t>
      </w:r>
      <w:hyperlink r:id="rId90" w:history="1">
        <w:r w:rsidRPr="00955F7A">
          <w:rPr>
            <w:rFonts w:ascii="Times New Roman" w:eastAsia="Times New Roman" w:hAnsi="Times New Roman" w:cs="Times New Roman"/>
            <w:color w:val="000000"/>
            <w:kern w:val="0"/>
            <w:sz w:val="24"/>
            <w:szCs w:val="24"/>
            <w:u w:val="single"/>
            <w:shd w:val="clear" w:color="auto" w:fill="FFFFFF"/>
            <w14:ligatures w14:val="none"/>
          </w:rPr>
          <w:t>https://doi.org/10.1007/s40979-024-00176-1</w:t>
        </w:r>
      </w:hyperlink>
      <w:r w:rsidRPr="00955F7A">
        <w:rPr>
          <w:rFonts w:ascii="Times New Roman" w:eastAsia="Times New Roman" w:hAnsi="Times New Roman" w:cs="Times New Roman"/>
          <w:color w:val="000000"/>
          <w:kern w:val="0"/>
          <w:sz w:val="24"/>
          <w:szCs w:val="24"/>
          <w:shd w:val="clear" w:color="auto" w:fill="FFFFFF"/>
          <w14:ligatures w14:val="none"/>
        </w:rPr>
        <w:t xml:space="preserve"> </w:t>
      </w:r>
    </w:p>
    <w:p w14:paraId="3FF369E7"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color w:val="000000"/>
          <w:kern w:val="0"/>
          <w:sz w:val="24"/>
          <w:szCs w:val="24"/>
          <w14:ligatures w14:val="none"/>
        </w:rPr>
      </w:pPr>
      <w:r w:rsidRPr="00955F7A">
        <w:rPr>
          <w:rFonts w:ascii="Times New Roman" w:eastAsia="Times New Roman" w:hAnsi="Times New Roman" w:cs="Times New Roman"/>
          <w:color w:val="000000"/>
          <w:kern w:val="0"/>
          <w:sz w:val="24"/>
          <w:szCs w:val="24"/>
          <w14:ligatures w14:val="none"/>
        </w:rPr>
        <w:lastRenderedPageBreak/>
        <w:t xml:space="preserve">Moya B., Eaton S., Pethrick H., Hayden A., Brennan R., Wiens J., &amp; McDermott B. Academic Integrity and Artificial Intelligence in Higher Education (HE) Contexts: A Rapid Scoping Review. </w:t>
      </w:r>
      <w:r w:rsidRPr="00955F7A">
        <w:rPr>
          <w:rFonts w:ascii="Times New Roman" w:eastAsia="Times New Roman" w:hAnsi="Times New Roman" w:cs="Times New Roman"/>
          <w:i/>
          <w:iCs/>
          <w:color w:val="000000"/>
          <w:kern w:val="0"/>
          <w:sz w:val="24"/>
          <w:szCs w:val="24"/>
          <w14:ligatures w14:val="none"/>
        </w:rPr>
        <w:t>Canadian Perspectives on Academic Integrity</w:t>
      </w:r>
      <w:r w:rsidRPr="00955F7A">
        <w:rPr>
          <w:rFonts w:ascii="Times New Roman" w:eastAsia="Times New Roman" w:hAnsi="Times New Roman" w:cs="Times New Roman"/>
          <w:color w:val="000000"/>
          <w:kern w:val="0"/>
          <w:sz w:val="24"/>
          <w:szCs w:val="24"/>
          <w14:ligatures w14:val="none"/>
        </w:rPr>
        <w:t xml:space="preserve">. 2024. Vol. 7, Issue 3. </w:t>
      </w:r>
      <w:hyperlink r:id="rId91" w:history="1">
        <w:r w:rsidRPr="00955F7A">
          <w:rPr>
            <w:rFonts w:ascii="Times New Roman" w:eastAsia="Times New Roman" w:hAnsi="Times New Roman" w:cs="Times New Roman"/>
            <w:color w:val="000000"/>
            <w:kern w:val="0"/>
            <w:sz w:val="24"/>
            <w:szCs w:val="24"/>
            <w:u w:val="single"/>
            <w14:ligatures w14:val="none"/>
          </w:rPr>
          <w:t>https://doi.org/10.55016/ojs/cpai.v7i3.78123</w:t>
        </w:r>
      </w:hyperlink>
      <w:r w:rsidRPr="00955F7A">
        <w:rPr>
          <w:rFonts w:ascii="Times New Roman" w:eastAsia="Times New Roman" w:hAnsi="Times New Roman" w:cs="Times New Roman"/>
          <w:color w:val="000000"/>
          <w:kern w:val="0"/>
          <w:sz w:val="24"/>
          <w:szCs w:val="24"/>
          <w14:ligatures w14:val="none"/>
        </w:rPr>
        <w:t xml:space="preserve"> </w:t>
      </w:r>
    </w:p>
    <w:p w14:paraId="78328E98"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color w:val="000000"/>
          <w:kern w:val="0"/>
          <w:sz w:val="24"/>
          <w:szCs w:val="24"/>
          <w14:ligatures w14:val="none"/>
        </w:rPr>
      </w:pPr>
      <w:r w:rsidRPr="00955F7A">
        <w:rPr>
          <w:rFonts w:ascii="Times New Roman" w:eastAsia="Times New Roman" w:hAnsi="Times New Roman" w:cs="Times New Roman"/>
          <w:color w:val="000000"/>
          <w:kern w:val="0"/>
          <w:sz w:val="24"/>
          <w:szCs w:val="24"/>
          <w14:ligatures w14:val="none"/>
        </w:rPr>
        <w:t xml:space="preserve">Sbaffi L., &amp; Zhao X. Evaluating a pedagogical approach to promoting academic integrity in higher education: An online induction program. </w:t>
      </w:r>
      <w:r w:rsidRPr="00955F7A">
        <w:rPr>
          <w:rFonts w:ascii="Times New Roman" w:eastAsia="Times New Roman" w:hAnsi="Times New Roman" w:cs="Times New Roman"/>
          <w:i/>
          <w:iCs/>
          <w:color w:val="000000"/>
          <w:kern w:val="0"/>
          <w:sz w:val="24"/>
          <w:szCs w:val="24"/>
          <w14:ligatures w14:val="none"/>
        </w:rPr>
        <w:t>Front. Psychol.</w:t>
      </w:r>
      <w:r w:rsidRPr="00955F7A">
        <w:rPr>
          <w:rFonts w:ascii="Times New Roman" w:eastAsia="Times New Roman" w:hAnsi="Times New Roman" w:cs="Times New Roman"/>
          <w:color w:val="000000"/>
          <w:kern w:val="0"/>
          <w:sz w:val="24"/>
          <w:szCs w:val="24"/>
          <w14:ligatures w14:val="none"/>
        </w:rPr>
        <w:t xml:space="preserve"> Vol. 13:1009305. </w:t>
      </w:r>
      <w:hyperlink r:id="rId92" w:history="1">
        <w:r w:rsidRPr="00955F7A">
          <w:rPr>
            <w:rFonts w:ascii="Times New Roman" w:eastAsia="Times New Roman" w:hAnsi="Times New Roman" w:cs="Times New Roman"/>
            <w:color w:val="000000"/>
            <w:kern w:val="0"/>
            <w:sz w:val="24"/>
            <w:szCs w:val="24"/>
            <w:u w:val="single"/>
            <w14:ligatures w14:val="none"/>
          </w:rPr>
          <w:t>https://doi.org/10.3389/fpsyg.2022.1009305</w:t>
        </w:r>
      </w:hyperlink>
      <w:r w:rsidRPr="00955F7A">
        <w:rPr>
          <w:rFonts w:ascii="Times New Roman" w:eastAsia="Times New Roman" w:hAnsi="Times New Roman" w:cs="Times New Roman"/>
          <w:color w:val="000000"/>
          <w:kern w:val="0"/>
          <w:sz w:val="24"/>
          <w:szCs w:val="24"/>
          <w14:ligatures w14:val="none"/>
        </w:rPr>
        <w:t xml:space="preserve"> </w:t>
      </w:r>
    </w:p>
    <w:p w14:paraId="46954897"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color w:val="000000"/>
          <w:kern w:val="0"/>
          <w:sz w:val="24"/>
          <w:szCs w:val="24"/>
          <w14:ligatures w14:val="none"/>
        </w:rPr>
      </w:pPr>
      <w:r w:rsidRPr="00955F7A">
        <w:rPr>
          <w:rFonts w:ascii="Times New Roman" w:eastAsia="Times New Roman" w:hAnsi="Times New Roman" w:cs="Times New Roman"/>
          <w:color w:val="000000"/>
          <w:kern w:val="0"/>
          <w:sz w:val="24"/>
          <w:szCs w:val="24"/>
          <w14:ligatures w14:val="none"/>
        </w:rPr>
        <w:t>Tauginienė</w:t>
      </w:r>
      <w:r w:rsidRPr="00955F7A">
        <w:rPr>
          <w:rFonts w:ascii="Times New Roman" w:eastAsia="Times New Roman" w:hAnsi="Times New Roman" w:cs="Times New Roman"/>
          <w:color w:val="000000"/>
          <w:kern w:val="0"/>
          <w:sz w:val="24"/>
          <w:szCs w:val="24"/>
          <w:shd w:val="clear" w:color="auto" w:fill="FFFFFF"/>
          <w14:ligatures w14:val="none"/>
        </w:rPr>
        <w:t xml:space="preserve"> L., Gaižauskaitė I., Glendinning I., Kravjar J., Ojsteršek M., Ribeiro L., Odiņeca T., Marino F., Cosentino M., Sivasubramaniam S., &amp; Foltýnek T. Glossary for Academic Integrity. Report. Revised version, October 2018. 50 p. URL: </w:t>
      </w:r>
      <w:hyperlink r:id="rId93" w:history="1">
        <w:r w:rsidRPr="00955F7A">
          <w:rPr>
            <w:rFonts w:ascii="Times New Roman" w:eastAsia="Times New Roman" w:hAnsi="Times New Roman" w:cs="Times New Roman"/>
            <w:color w:val="000000"/>
            <w:kern w:val="0"/>
            <w:sz w:val="24"/>
            <w:szCs w:val="24"/>
            <w:u w:val="single"/>
            <w:shd w:val="clear" w:color="auto" w:fill="FFFFFF"/>
            <w14:ligatures w14:val="none"/>
          </w:rPr>
          <w:t>https://academicintegrity.eu/wp/wp-content/uploads/2022/07/Glossary_revised_final.pdf</w:t>
        </w:r>
        <w:r w:rsidRPr="00955F7A">
          <w:rPr>
            <w:rFonts w:ascii="Times New Roman" w:eastAsia="Times New Roman" w:hAnsi="Times New Roman" w:cs="Times New Roman"/>
            <w:color w:val="000000"/>
            <w:kern w:val="0"/>
            <w:sz w:val="24"/>
            <w:szCs w:val="24"/>
            <w:u w:val="single"/>
            <w14:ligatures w14:val="none"/>
          </w:rPr>
          <w:t xml:space="preserve"> </w:t>
        </w:r>
      </w:hyperlink>
      <w:r w:rsidRPr="00955F7A">
        <w:rPr>
          <w:rFonts w:ascii="Times New Roman" w:eastAsia="Times New Roman" w:hAnsi="Times New Roman" w:cs="Times New Roman"/>
          <w:color w:val="000000"/>
          <w:kern w:val="0"/>
          <w:sz w:val="24"/>
          <w:szCs w:val="24"/>
          <w14:ligatures w14:val="none"/>
        </w:rPr>
        <w:t>(data zvernennia: 21.01.2026).</w:t>
      </w:r>
    </w:p>
    <w:p w14:paraId="680EADEE"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color w:val="000000"/>
          <w:kern w:val="0"/>
          <w:sz w:val="24"/>
          <w:szCs w:val="24"/>
          <w14:ligatures w14:val="none"/>
        </w:rPr>
      </w:pPr>
      <w:r w:rsidRPr="00955F7A">
        <w:rPr>
          <w:rFonts w:ascii="Times New Roman" w:eastAsia="Times New Roman" w:hAnsi="Times New Roman" w:cs="Times New Roman"/>
          <w:color w:val="000000"/>
          <w:kern w:val="0"/>
          <w:sz w:val="24"/>
          <w:szCs w:val="24"/>
          <w:shd w:val="clear" w:color="auto" w:fill="FFFFFF"/>
          <w14:ligatures w14:val="none"/>
        </w:rPr>
        <w:t xml:space="preserve">The Fundamental Values of Academic Integrity. Third ed. </w:t>
      </w:r>
      <w:hyperlink r:id="rId94" w:history="1">
        <w:r w:rsidRPr="00955F7A">
          <w:rPr>
            <w:rFonts w:ascii="Times New Roman" w:eastAsia="Times New Roman" w:hAnsi="Times New Roman" w:cs="Times New Roman"/>
            <w:color w:val="000000"/>
            <w:kern w:val="0"/>
            <w:sz w:val="24"/>
            <w:szCs w:val="24"/>
            <w:u w:val="single"/>
            <w14:ligatures w14:val="none"/>
          </w:rPr>
          <w:t>https://wordpress.kpu.ca/authenticassessment/files/2022/05/20019_ICAI-Fundamental-Values_R11.pdf</w:t>
        </w:r>
      </w:hyperlink>
      <w:r w:rsidRPr="00955F7A">
        <w:rPr>
          <w:rFonts w:ascii="Times New Roman" w:eastAsia="Times New Roman" w:hAnsi="Times New Roman" w:cs="Times New Roman"/>
          <w:color w:val="000000"/>
          <w:kern w:val="0"/>
          <w:sz w:val="24"/>
          <w:szCs w:val="24"/>
          <w14:ligatures w14:val="none"/>
        </w:rPr>
        <w:t xml:space="preserve"> </w:t>
      </w:r>
    </w:p>
    <w:p w14:paraId="163384F1" w14:textId="77777777" w:rsidR="00B44B71" w:rsidRPr="00955F7A" w:rsidRDefault="00B44B71" w:rsidP="00545909">
      <w:pPr>
        <w:numPr>
          <w:ilvl w:val="0"/>
          <w:numId w:val="2"/>
        </w:numPr>
        <w:tabs>
          <w:tab w:val="left" w:pos="1134"/>
          <w:tab w:val="left" w:pos="9638"/>
        </w:tabs>
        <w:spacing w:after="0" w:line="240" w:lineRule="auto"/>
        <w:ind w:left="0"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955F7A">
        <w:rPr>
          <w:rFonts w:ascii="Times New Roman" w:eastAsia="Times New Roman" w:hAnsi="Times New Roman" w:cs="Times New Roman"/>
          <w:color w:val="000000"/>
          <w:kern w:val="0"/>
          <w:sz w:val="24"/>
          <w:szCs w:val="24"/>
          <w:shd w:val="clear" w:color="auto" w:fill="FFFFFF"/>
          <w14:ligatures w14:val="none"/>
        </w:rPr>
        <w:t xml:space="preserve">Zhu W. The importance of promoting a culture of academic integrity in higher education institutions in China. </w:t>
      </w:r>
      <w:r w:rsidRPr="00955F7A">
        <w:rPr>
          <w:rFonts w:ascii="Times New Roman" w:eastAsia="Times New Roman" w:hAnsi="Times New Roman" w:cs="Times New Roman"/>
          <w:i/>
          <w:iCs/>
          <w:color w:val="000000"/>
          <w:kern w:val="0"/>
          <w:sz w:val="24"/>
          <w:szCs w:val="24"/>
          <w:shd w:val="clear" w:color="auto" w:fill="FFFFFF"/>
          <w14:ligatures w14:val="none"/>
        </w:rPr>
        <w:t xml:space="preserve">Psicol. Refl. Crít. </w:t>
      </w:r>
      <w:r w:rsidRPr="00955F7A">
        <w:rPr>
          <w:rFonts w:ascii="Times New Roman" w:eastAsia="Times New Roman" w:hAnsi="Times New Roman" w:cs="Times New Roman"/>
          <w:color w:val="000000"/>
          <w:kern w:val="0"/>
          <w:sz w:val="24"/>
          <w:szCs w:val="24"/>
          <w:shd w:val="clear" w:color="auto" w:fill="FFFFFF"/>
          <w14:ligatures w14:val="none"/>
        </w:rPr>
        <w:t>2025.</w:t>
      </w:r>
      <w:r w:rsidRPr="00955F7A">
        <w:rPr>
          <w:rFonts w:ascii="Times New Roman" w:eastAsia="Times New Roman" w:hAnsi="Times New Roman" w:cs="Times New Roman"/>
          <w:i/>
          <w:iCs/>
          <w:color w:val="000000"/>
          <w:kern w:val="0"/>
          <w:sz w:val="24"/>
          <w:szCs w:val="24"/>
          <w:shd w:val="clear" w:color="auto" w:fill="FFFFFF"/>
          <w:lang w:val="ru-RU"/>
          <w14:ligatures w14:val="none"/>
        </w:rPr>
        <w:t xml:space="preserve"> </w:t>
      </w:r>
      <w:r w:rsidRPr="00955F7A">
        <w:rPr>
          <w:rFonts w:ascii="Times New Roman" w:eastAsia="Times New Roman" w:hAnsi="Times New Roman" w:cs="Times New Roman"/>
          <w:color w:val="000000"/>
          <w:kern w:val="0"/>
          <w:sz w:val="24"/>
          <w:szCs w:val="24"/>
          <w14:ligatures w14:val="none"/>
        </w:rPr>
        <w:t>Vol. </w:t>
      </w:r>
      <w:r w:rsidRPr="00955F7A">
        <w:rPr>
          <w:rFonts w:ascii="Times New Roman" w:eastAsia="Times New Roman" w:hAnsi="Times New Roman" w:cs="Times New Roman"/>
          <w:color w:val="000000"/>
          <w:kern w:val="0"/>
          <w:sz w:val="24"/>
          <w:szCs w:val="24"/>
          <w:shd w:val="clear" w:color="auto" w:fill="FFFFFF"/>
          <w14:ligatures w14:val="none"/>
        </w:rPr>
        <w:t>38</w:t>
      </w:r>
      <w:r w:rsidRPr="00955F7A">
        <w:rPr>
          <w:rFonts w:ascii="Times New Roman" w:eastAsia="Times New Roman" w:hAnsi="Times New Roman" w:cs="Times New Roman"/>
          <w:color w:val="000000"/>
          <w:kern w:val="0"/>
          <w:sz w:val="24"/>
          <w:szCs w:val="24"/>
          <w:shd w:val="clear" w:color="auto" w:fill="FFFFFF"/>
          <w:lang w:val="ru-RU"/>
          <w14:ligatures w14:val="none"/>
        </w:rPr>
        <w:t>:</w:t>
      </w:r>
      <w:r w:rsidRPr="00955F7A">
        <w:rPr>
          <w:rFonts w:ascii="Times New Roman" w:eastAsia="Times New Roman" w:hAnsi="Times New Roman" w:cs="Times New Roman"/>
          <w:color w:val="000000"/>
          <w:kern w:val="0"/>
          <w:sz w:val="24"/>
          <w:szCs w:val="24"/>
          <w:shd w:val="clear" w:color="auto" w:fill="FFFFFF"/>
          <w14:ligatures w14:val="none"/>
        </w:rPr>
        <w:t xml:space="preserve">30. </w:t>
      </w:r>
      <w:hyperlink r:id="rId95" w:history="1">
        <w:r w:rsidRPr="00955F7A">
          <w:rPr>
            <w:rFonts w:ascii="Times New Roman" w:eastAsia="Times New Roman" w:hAnsi="Times New Roman" w:cs="Times New Roman"/>
            <w:color w:val="000000"/>
            <w:kern w:val="0"/>
            <w:sz w:val="24"/>
            <w:szCs w:val="24"/>
            <w:u w:val="single"/>
            <w:shd w:val="clear" w:color="auto" w:fill="FFFFFF"/>
            <w14:ligatures w14:val="none"/>
          </w:rPr>
          <w:t>https://doi.org/10.1186/s41155-025-00367-w</w:t>
        </w:r>
      </w:hyperlink>
      <w:r w:rsidRPr="00955F7A">
        <w:rPr>
          <w:rFonts w:ascii="Calibri" w:eastAsia="Times New Roman" w:hAnsi="Calibri" w:cs="Times New Roman"/>
          <w:kern w:val="0"/>
          <w:sz w:val="24"/>
          <w:szCs w:val="24"/>
          <w:lang w:val="uk-UA"/>
          <w14:ligatures w14:val="none"/>
        </w:rPr>
        <w:t>.</w:t>
      </w:r>
    </w:p>
    <w:p w14:paraId="517FC03B" w14:textId="77777777" w:rsidR="00B44B71" w:rsidRPr="00955F7A" w:rsidRDefault="00B44B71" w:rsidP="00DD0E8B">
      <w:pPr>
        <w:tabs>
          <w:tab w:val="left" w:pos="9638"/>
        </w:tabs>
        <w:spacing w:after="0" w:line="240" w:lineRule="auto"/>
        <w:ind w:firstLine="709"/>
        <w:contextualSpacing/>
        <w:jc w:val="both"/>
        <w:rPr>
          <w:rFonts w:ascii="Times New Roman" w:eastAsia="Times New Roman" w:hAnsi="Times New Roman" w:cs="Times New Roman"/>
          <w:color w:val="000000"/>
          <w:kern w:val="0"/>
          <w:sz w:val="24"/>
          <w:szCs w:val="24"/>
          <w:shd w:val="clear" w:color="auto" w:fill="FFFFFF"/>
          <w:lang w:val="ru-RU"/>
          <w14:ligatures w14:val="none"/>
        </w:rPr>
      </w:pPr>
    </w:p>
    <w:p w14:paraId="2CFE777E" w14:textId="77777777" w:rsidR="00B44B71" w:rsidRPr="00B44B71" w:rsidRDefault="00B44B71" w:rsidP="00DD0E8B">
      <w:pPr>
        <w:tabs>
          <w:tab w:val="left" w:pos="9638"/>
        </w:tabs>
        <w:spacing w:after="0" w:line="240" w:lineRule="auto"/>
        <w:contextualSpacing/>
        <w:jc w:val="both"/>
        <w:rPr>
          <w:rFonts w:ascii="Times New Roman" w:eastAsia="Times New Roman" w:hAnsi="Times New Roman" w:cs="Times New Roman"/>
          <w:color w:val="000000"/>
          <w:kern w:val="0"/>
          <w:sz w:val="24"/>
          <w:szCs w:val="24"/>
          <w:shd w:val="clear" w:color="auto" w:fill="FFFFFF"/>
          <w:lang w:val="ru-RU"/>
          <w14:ligatures w14:val="none"/>
        </w:rPr>
      </w:pPr>
      <w:r w:rsidRPr="00B44B71">
        <w:rPr>
          <w:rFonts w:ascii="Times New Roman" w:eastAsia="Times New Roman" w:hAnsi="Times New Roman" w:cs="Times New Roman"/>
          <w:color w:val="000000"/>
          <w:kern w:val="0"/>
          <w:sz w:val="24"/>
          <w:szCs w:val="24"/>
          <w:shd w:val="clear" w:color="auto" w:fill="FFFFFF"/>
          <w:lang w:val="ru-RU"/>
          <w14:ligatures w14:val="none"/>
        </w:rPr>
        <w:t>Рукопис надійшов до редакції 01.12.2025</w:t>
      </w:r>
    </w:p>
    <w:p w14:paraId="393AF15E" w14:textId="77777777" w:rsidR="00B44B71" w:rsidRPr="00B44B71" w:rsidRDefault="00B44B71" w:rsidP="00023291">
      <w:pPr>
        <w:tabs>
          <w:tab w:val="left" w:pos="9638"/>
        </w:tabs>
        <w:spacing w:after="0" w:line="240" w:lineRule="auto"/>
        <w:contextualSpacing/>
        <w:jc w:val="right"/>
        <w:rPr>
          <w:rFonts w:ascii="Times New Roman" w:eastAsia="Times New Roman" w:hAnsi="Times New Roman" w:cs="Times New Roman"/>
          <w:color w:val="000000"/>
          <w:kern w:val="0"/>
          <w:sz w:val="24"/>
          <w:szCs w:val="24"/>
          <w:shd w:val="clear" w:color="auto" w:fill="FFFFFF"/>
          <w:lang w:val="ru-RU"/>
          <w14:ligatures w14:val="none"/>
        </w:rPr>
      </w:pPr>
      <w:r w:rsidRPr="00B44B71">
        <w:rPr>
          <w:rFonts w:ascii="Times New Roman" w:eastAsia="Times New Roman" w:hAnsi="Times New Roman" w:cs="Times New Roman"/>
          <w:color w:val="000000"/>
          <w:kern w:val="0"/>
          <w:sz w:val="24"/>
          <w:szCs w:val="24"/>
          <w:shd w:val="clear" w:color="auto" w:fill="FFFFFF"/>
          <w:lang w:val="ru-RU"/>
          <w14:ligatures w14:val="none"/>
        </w:rPr>
        <w:t>Рукопис прийнято до друку після рецензування 16.03.2026</w:t>
      </w:r>
    </w:p>
    <w:p w14:paraId="254A7FC3" w14:textId="77777777" w:rsidR="00B44B71" w:rsidRPr="00B44B71" w:rsidRDefault="00B44B71" w:rsidP="00023291">
      <w:pPr>
        <w:tabs>
          <w:tab w:val="left" w:pos="9638"/>
        </w:tabs>
        <w:spacing w:after="0" w:line="240" w:lineRule="auto"/>
        <w:contextualSpacing/>
        <w:jc w:val="right"/>
        <w:rPr>
          <w:rFonts w:ascii="Times New Roman" w:eastAsia="Times New Roman" w:hAnsi="Times New Roman" w:cs="Times New Roman"/>
          <w:color w:val="000000"/>
          <w:kern w:val="0"/>
          <w:sz w:val="24"/>
          <w:szCs w:val="24"/>
          <w:shd w:val="clear" w:color="auto" w:fill="FFFFFF"/>
          <w:lang w:val="ru-RU"/>
          <w14:ligatures w14:val="none"/>
        </w:rPr>
      </w:pPr>
      <w:r w:rsidRPr="00B44B71">
        <w:rPr>
          <w:rFonts w:ascii="Times New Roman" w:eastAsia="Times New Roman" w:hAnsi="Times New Roman" w:cs="Times New Roman"/>
          <w:color w:val="000000"/>
          <w:kern w:val="0"/>
          <w:sz w:val="24"/>
          <w:szCs w:val="24"/>
          <w:shd w:val="clear" w:color="auto" w:fill="FFFFFF"/>
          <w:lang w:val="ru-RU"/>
          <w14:ligatures w14:val="none"/>
        </w:rPr>
        <w:t>Дата публікації 25.05.2026</w:t>
      </w:r>
    </w:p>
    <w:p w14:paraId="361422CC" w14:textId="77777777" w:rsidR="00B44B71" w:rsidRPr="00B44B71" w:rsidRDefault="00B44B71" w:rsidP="00023291">
      <w:pPr>
        <w:tabs>
          <w:tab w:val="left" w:pos="9638"/>
        </w:tabs>
        <w:spacing w:after="0" w:line="240" w:lineRule="auto"/>
        <w:contextualSpacing/>
        <w:jc w:val="right"/>
        <w:rPr>
          <w:rFonts w:ascii="Times New Roman" w:eastAsia="Times New Roman" w:hAnsi="Times New Roman" w:cs="Times New Roman"/>
          <w:color w:val="000000"/>
          <w:kern w:val="0"/>
          <w:sz w:val="24"/>
          <w:szCs w:val="24"/>
          <w:shd w:val="clear" w:color="auto" w:fill="FFFFFF"/>
          <w:lang w:val="ru-RU"/>
          <w14:ligatures w14:val="none"/>
        </w:rPr>
      </w:pPr>
    </w:p>
    <w:p w14:paraId="6897D479" w14:textId="2E03C2B4" w:rsidR="00B26E27" w:rsidRPr="00B44B71" w:rsidRDefault="00B44B71" w:rsidP="00B26E27">
      <w:pPr>
        <w:tabs>
          <w:tab w:val="left" w:pos="9638"/>
        </w:tabs>
        <w:spacing w:after="0" w:line="264" w:lineRule="auto"/>
        <w:jc w:val="both"/>
        <w:rPr>
          <w:rFonts w:ascii="Times New Roman" w:eastAsia="Calibri" w:hAnsi="Times New Roman" w:cs="Times New Roman"/>
          <w:b/>
          <w:bCs/>
          <w:kern w:val="0"/>
          <w:sz w:val="24"/>
          <w:szCs w:val="24"/>
          <w:lang w:val="uk-UA"/>
          <w14:ligatures w14:val="none"/>
        </w:rPr>
      </w:pPr>
      <w:r w:rsidRPr="00B44B71">
        <w:rPr>
          <w:rFonts w:ascii="Times New Roman" w:eastAsia="Times New Roman" w:hAnsi="Times New Roman" w:cs="Times New Roman"/>
          <w:b/>
          <w:bCs/>
          <w:kern w:val="0"/>
          <w:sz w:val="24"/>
          <w:szCs w:val="24"/>
          <w:lang w:val="uk-UA" w:eastAsia="ru-RU"/>
          <w14:ligatures w14:val="none"/>
        </w:rPr>
        <w:br w:type="column"/>
      </w:r>
      <w:r w:rsidR="00DD0E8B" w:rsidRPr="00B44B71">
        <w:rPr>
          <w:rFonts w:ascii="Times New Roman" w:eastAsia="Times New Roman" w:hAnsi="Times New Roman" w:cs="Times New Roman"/>
          <w:kern w:val="0"/>
          <w:sz w:val="23"/>
          <w:szCs w:val="23"/>
          <w:lang w:val="uk-UA" w:eastAsia="ru-RU"/>
          <w14:ligatures w14:val="none"/>
        </w:rPr>
        <w:lastRenderedPageBreak/>
        <w:t>ISSN: 2617-1775</w:t>
      </w:r>
      <w:r w:rsidR="00DD0E8B" w:rsidRPr="00E4040F">
        <w:rPr>
          <w:rFonts w:ascii="Times New Roman" w:eastAsia="Calibri" w:hAnsi="Times New Roman" w:cs="Times New Roman"/>
          <w:b/>
          <w:kern w:val="0"/>
          <w:sz w:val="24"/>
          <w:szCs w:val="24"/>
          <w:lang w:val="uk-UA"/>
          <w14:ligatures w14:val="none"/>
        </w:rPr>
        <w:t xml:space="preserve"> </w:t>
      </w:r>
      <w:r w:rsidR="00DD0E8B" w:rsidRPr="006F5634">
        <w:rPr>
          <w:rFonts w:ascii="Times New Roman" w:eastAsia="Calibri" w:hAnsi="Times New Roman" w:cs="Times New Roman"/>
          <w:b/>
          <w:kern w:val="0"/>
          <w:sz w:val="24"/>
          <w:szCs w:val="24"/>
          <w:lang w:val="uk-UA"/>
          <w14:ligatures w14:val="none"/>
        </w:rPr>
        <w:t xml:space="preserve">                                                                      </w:t>
      </w:r>
      <w:r w:rsidR="00A347E6">
        <w:rPr>
          <w:rFonts w:ascii="Times New Roman" w:eastAsia="Calibri" w:hAnsi="Times New Roman" w:cs="Times New Roman"/>
          <w:b/>
          <w:kern w:val="0"/>
          <w:sz w:val="24"/>
          <w:szCs w:val="24"/>
          <w:lang w:val="uk-UA"/>
          <w14:ligatures w14:val="none"/>
        </w:rPr>
        <w:t xml:space="preserve">               </w:t>
      </w:r>
      <w:r w:rsidR="00B26E27" w:rsidRPr="00DD0E8B">
        <w:rPr>
          <w:rFonts w:ascii="Times New Roman" w:eastAsia="Calibri" w:hAnsi="Times New Roman" w:cs="Times New Roman"/>
          <w:b/>
          <w:bCs/>
          <w:kern w:val="0"/>
          <w:sz w:val="24"/>
          <w:szCs w:val="24"/>
          <w:lang w:val="uk-UA"/>
          <w14:ligatures w14:val="none"/>
        </w:rPr>
        <w:t>UDC</w:t>
      </w:r>
      <w:r w:rsidR="00B26E27" w:rsidRPr="00B44B71">
        <w:rPr>
          <w:rFonts w:ascii="Times New Roman" w:eastAsia="Calibri" w:hAnsi="Times New Roman" w:cs="Times New Roman"/>
          <w:b/>
          <w:bCs/>
          <w:kern w:val="0"/>
          <w:sz w:val="24"/>
          <w:szCs w:val="24"/>
          <w:lang w:val="uk-UA"/>
          <w14:ligatures w14:val="none"/>
        </w:rPr>
        <w:t xml:space="preserve"> 355.1:005.95/.96:159.9 </w:t>
      </w:r>
    </w:p>
    <w:p w14:paraId="056B5397" w14:textId="266A5670" w:rsidR="00B26E27" w:rsidRPr="002A5031" w:rsidRDefault="00B26E27" w:rsidP="00DD0E8B">
      <w:pPr>
        <w:tabs>
          <w:tab w:val="left" w:pos="9638"/>
        </w:tabs>
        <w:spacing w:after="0" w:line="264" w:lineRule="auto"/>
        <w:jc w:val="both"/>
        <w:rPr>
          <w:rFonts w:ascii="Times New Roman" w:eastAsia="Times New Roman" w:hAnsi="Times New Roman" w:cs="Times New Roman"/>
          <w:bCs/>
          <w:smallCaps/>
          <w:color w:val="000000"/>
          <w:kern w:val="0"/>
          <w:sz w:val="24"/>
          <w:szCs w:val="24"/>
          <w:lang w:val="ru-RU" w:eastAsia="ru-RU"/>
          <w14:ligatures w14:val="none"/>
        </w:rPr>
      </w:pPr>
      <w:r>
        <w:rPr>
          <w:rFonts w:ascii="Times New Roman" w:eastAsia="Times New Roman" w:hAnsi="Times New Roman" w:cs="Times New Roman"/>
          <w:kern w:val="0"/>
          <w:sz w:val="23"/>
          <w:szCs w:val="23"/>
          <w:lang w:eastAsia="ru-RU"/>
          <w14:ligatures w14:val="none"/>
        </w:rPr>
        <w:t>IS</w:t>
      </w:r>
      <w:r w:rsidR="00DD0E8B" w:rsidRPr="00B44B71">
        <w:rPr>
          <w:rFonts w:ascii="Times New Roman" w:eastAsia="Times New Roman" w:hAnsi="Times New Roman" w:cs="Times New Roman"/>
          <w:kern w:val="0"/>
          <w:sz w:val="23"/>
          <w:szCs w:val="23"/>
          <w:lang w:val="uk-UA" w:eastAsia="ru-RU"/>
          <w14:ligatures w14:val="none"/>
        </w:rPr>
        <w:t>SN: 2617-1783 (online)</w:t>
      </w:r>
      <w:r w:rsidR="00DD0E8B" w:rsidRPr="006F5634">
        <w:rPr>
          <w:rFonts w:ascii="Times New Roman" w:eastAsia="Times New Roman" w:hAnsi="Times New Roman" w:cs="Times New Roman"/>
          <w:kern w:val="0"/>
          <w:sz w:val="23"/>
          <w:szCs w:val="23"/>
          <w:lang w:val="uk-UA" w:eastAsia="ru-RU"/>
          <w14:ligatures w14:val="none"/>
        </w:rPr>
        <w:t xml:space="preserve">                                                      </w:t>
      </w:r>
      <w:r>
        <w:rPr>
          <w:rFonts w:ascii="Times New Roman" w:eastAsia="Times New Roman" w:hAnsi="Times New Roman" w:cs="Times New Roman"/>
          <w:kern w:val="0"/>
          <w:sz w:val="23"/>
          <w:szCs w:val="23"/>
          <w:lang w:val="uk-UA" w:eastAsia="ru-RU"/>
          <w14:ligatures w14:val="none"/>
        </w:rPr>
        <w:t xml:space="preserve"> </w:t>
      </w:r>
      <w:r w:rsidR="00DD0E8B" w:rsidRPr="004E1190">
        <w:rPr>
          <w:rFonts w:ascii="Times New Roman" w:eastAsia="Times New Roman" w:hAnsi="Times New Roman" w:cs="Times New Roman"/>
          <w:bCs/>
          <w:smallCaps/>
          <w:color w:val="000000"/>
          <w:kern w:val="0"/>
          <w:sz w:val="24"/>
          <w:szCs w:val="24"/>
          <w:lang w:eastAsia="ru-RU"/>
          <w14:ligatures w14:val="none"/>
        </w:rPr>
        <w:t>DOI</w:t>
      </w:r>
      <w:r w:rsidR="00DD0E8B" w:rsidRPr="004E1190">
        <w:rPr>
          <w:rFonts w:ascii="Times New Roman" w:eastAsia="Times New Roman" w:hAnsi="Times New Roman" w:cs="Times New Roman"/>
          <w:bCs/>
          <w:smallCaps/>
          <w:color w:val="000000"/>
          <w:kern w:val="0"/>
          <w:sz w:val="24"/>
          <w:szCs w:val="24"/>
          <w:lang w:val="uk-UA" w:eastAsia="ru-RU"/>
          <w14:ligatures w14:val="none"/>
        </w:rPr>
        <w:t>:10.33099/2617-1775/2026-01/</w:t>
      </w:r>
      <w:r w:rsidR="00A347E6">
        <w:rPr>
          <w:rFonts w:ascii="Times New Roman" w:eastAsia="Times New Roman" w:hAnsi="Times New Roman" w:cs="Times New Roman"/>
          <w:bCs/>
          <w:smallCaps/>
          <w:color w:val="000000"/>
          <w:kern w:val="0"/>
          <w:sz w:val="24"/>
          <w:szCs w:val="24"/>
          <w:lang w:val="uk-UA" w:eastAsia="ru-RU"/>
          <w14:ligatures w14:val="none"/>
        </w:rPr>
        <w:t>77-93</w:t>
      </w:r>
    </w:p>
    <w:p w14:paraId="32AD875C" w14:textId="77777777" w:rsidR="00B26E27" w:rsidRPr="002A5031" w:rsidRDefault="00B26E27" w:rsidP="00DD0E8B">
      <w:pPr>
        <w:tabs>
          <w:tab w:val="left" w:pos="9638"/>
        </w:tabs>
        <w:spacing w:after="0" w:line="264" w:lineRule="auto"/>
        <w:jc w:val="both"/>
        <w:rPr>
          <w:rFonts w:ascii="Times New Roman" w:eastAsia="Times New Roman" w:hAnsi="Times New Roman" w:cs="Times New Roman"/>
          <w:bCs/>
          <w:smallCaps/>
          <w:color w:val="000000"/>
          <w:kern w:val="0"/>
          <w:sz w:val="24"/>
          <w:szCs w:val="24"/>
          <w:lang w:val="ru-RU" w:eastAsia="ru-RU"/>
          <w14:ligatures w14:val="none"/>
        </w:rPr>
      </w:pPr>
    </w:p>
    <w:p w14:paraId="55CD44E7" w14:textId="77777777" w:rsidR="00B44B71" w:rsidRPr="00B44B71" w:rsidRDefault="00B44B71" w:rsidP="00023291">
      <w:pPr>
        <w:tabs>
          <w:tab w:val="left" w:pos="9638"/>
        </w:tabs>
        <w:spacing w:after="0" w:line="264" w:lineRule="auto"/>
        <w:ind w:firstLine="709"/>
        <w:jc w:val="right"/>
        <w:rPr>
          <w:rFonts w:ascii="Times New Roman" w:eastAsia="Calibri" w:hAnsi="Times New Roman" w:cs="Times New Roman"/>
          <w:kern w:val="0"/>
          <w:sz w:val="24"/>
          <w:szCs w:val="24"/>
          <w:shd w:val="clear" w:color="auto" w:fill="FFFFFF"/>
          <w:lang w:val="uk-UA"/>
          <w14:ligatures w14:val="none"/>
        </w:rPr>
      </w:pPr>
      <w:r w:rsidRPr="00B44B71">
        <w:rPr>
          <w:rFonts w:ascii="Times New Roman" w:eastAsia="Calibri" w:hAnsi="Times New Roman" w:cs="Times New Roman"/>
          <w:b/>
          <w:bCs/>
          <w:kern w:val="0"/>
          <w:sz w:val="24"/>
          <w:szCs w:val="24"/>
          <w:shd w:val="clear" w:color="auto" w:fill="FFFFFF"/>
          <w14:ligatures w14:val="none"/>
        </w:rPr>
        <w:t>Stepan</w:t>
      </w:r>
      <w:r w:rsidRPr="007B09E7">
        <w:rPr>
          <w:rFonts w:ascii="Times New Roman" w:eastAsia="Calibri" w:hAnsi="Times New Roman" w:cs="Times New Roman"/>
          <w:b/>
          <w:bCs/>
          <w:kern w:val="0"/>
          <w:sz w:val="24"/>
          <w:szCs w:val="24"/>
          <w:shd w:val="clear" w:color="auto" w:fill="FFFFFF"/>
          <w14:ligatures w14:val="none"/>
        </w:rPr>
        <w:t xml:space="preserve"> </w:t>
      </w:r>
      <w:r w:rsidRPr="00B44B71">
        <w:rPr>
          <w:rFonts w:ascii="Times New Roman" w:eastAsia="Calibri" w:hAnsi="Times New Roman" w:cs="Times New Roman"/>
          <w:b/>
          <w:bCs/>
          <w:kern w:val="0"/>
          <w:sz w:val="24"/>
          <w:szCs w:val="24"/>
          <w:shd w:val="clear" w:color="auto" w:fill="FFFFFF"/>
          <w14:ligatures w14:val="none"/>
        </w:rPr>
        <w:t>Vozniak</w:t>
      </w:r>
      <w:r w:rsidRPr="007B09E7">
        <w:rPr>
          <w:rFonts w:ascii="Times New Roman" w:eastAsia="Calibri" w:hAnsi="Times New Roman" w:cs="Times New Roman"/>
          <w:kern w:val="0"/>
          <w:sz w:val="24"/>
          <w:szCs w:val="24"/>
          <w:shd w:val="clear" w:color="auto" w:fill="FFFFFF"/>
          <w14:ligatures w14:val="none"/>
        </w:rPr>
        <w:t>,</w:t>
      </w:r>
    </w:p>
    <w:p w14:paraId="3ED922C4" w14:textId="77777777" w:rsidR="00B44B71" w:rsidRPr="00B44B71" w:rsidRDefault="00B44B71" w:rsidP="00023291">
      <w:pPr>
        <w:tabs>
          <w:tab w:val="left" w:pos="9638"/>
        </w:tabs>
        <w:spacing w:after="0" w:line="264" w:lineRule="auto"/>
        <w:ind w:firstLine="709"/>
        <w:jc w:val="right"/>
        <w:rPr>
          <w:rFonts w:ascii="Times New Roman" w:eastAsia="Calibri" w:hAnsi="Times New Roman" w:cs="Times New Roman"/>
          <w:kern w:val="0"/>
          <w:sz w:val="24"/>
          <w:szCs w:val="24"/>
          <w:shd w:val="clear" w:color="auto" w:fill="FFFFFF"/>
          <w:lang w:val="uk-UA"/>
          <w14:ligatures w14:val="none"/>
        </w:rPr>
      </w:pPr>
      <w:r w:rsidRPr="007B09E7">
        <w:rPr>
          <w:rFonts w:ascii="Times New Roman" w:eastAsia="Calibri" w:hAnsi="Times New Roman" w:cs="Times New Roman"/>
          <w:kern w:val="0"/>
          <w:sz w:val="24"/>
          <w:szCs w:val="24"/>
          <w:shd w:val="clear" w:color="auto" w:fill="FFFFFF"/>
          <w14:ligatures w14:val="none"/>
        </w:rPr>
        <w:t xml:space="preserve"> </w:t>
      </w:r>
      <w:r w:rsidRPr="00B44B71">
        <w:rPr>
          <w:rFonts w:ascii="Times New Roman" w:eastAsia="Calibri" w:hAnsi="Times New Roman" w:cs="Times New Roman"/>
          <w:kern w:val="0"/>
          <w:sz w:val="24"/>
          <w:szCs w:val="24"/>
          <w:shd w:val="clear" w:color="auto" w:fill="FFFFFF"/>
          <w14:ligatures w14:val="none"/>
        </w:rPr>
        <w:t>Doctor of Military Sciences, Senior Research Fellow</w:t>
      </w:r>
    </w:p>
    <w:p w14:paraId="2B1792AB" w14:textId="77777777" w:rsidR="00B44B71" w:rsidRPr="00B44B71" w:rsidRDefault="00B44B71" w:rsidP="00023291">
      <w:pPr>
        <w:tabs>
          <w:tab w:val="left" w:pos="9638"/>
        </w:tabs>
        <w:spacing w:after="0" w:line="264" w:lineRule="auto"/>
        <w:ind w:firstLine="709"/>
        <w:jc w:val="right"/>
        <w:rPr>
          <w:rFonts w:ascii="Times New Roman" w:eastAsia="Calibri" w:hAnsi="Times New Roman" w:cs="Times New Roman"/>
          <w:kern w:val="0"/>
          <w:sz w:val="24"/>
          <w:szCs w:val="24"/>
          <w:shd w:val="clear" w:color="auto" w:fill="FFFFFF"/>
          <w:lang w:val="uk-UA"/>
          <w14:ligatures w14:val="none"/>
        </w:rPr>
      </w:pPr>
      <w:r w:rsidRPr="00B44B71">
        <w:rPr>
          <w:rFonts w:ascii="Times New Roman" w:eastAsia="Calibri" w:hAnsi="Times New Roman" w:cs="Times New Roman"/>
          <w:kern w:val="0"/>
          <w:sz w:val="24"/>
          <w:szCs w:val="24"/>
          <w:shd w:val="clear" w:color="auto" w:fill="FFFFFF"/>
          <w:lang w:val="uk-UA"/>
          <w14:ligatures w14:val="none"/>
        </w:rPr>
        <w:t xml:space="preserve"> </w:t>
      </w:r>
      <w:r w:rsidRPr="00B44B71">
        <w:rPr>
          <w:rFonts w:ascii="Times New Roman" w:eastAsia="Calibri" w:hAnsi="Times New Roman" w:cs="Times New Roman"/>
          <w:kern w:val="0"/>
          <w:sz w:val="24"/>
          <w:szCs w:val="24"/>
          <w:shd w:val="clear" w:color="auto" w:fill="FFFFFF"/>
          <w14:ligatures w14:val="none"/>
        </w:rPr>
        <w:t>Central Research Institute of the Armed Forces of Ukraine, Kyiv</w:t>
      </w:r>
    </w:p>
    <w:p w14:paraId="42627F51" w14:textId="77777777" w:rsidR="00B44B71" w:rsidRPr="00B44B71" w:rsidRDefault="00B44B71" w:rsidP="00023291">
      <w:pPr>
        <w:tabs>
          <w:tab w:val="left" w:pos="9638"/>
        </w:tabs>
        <w:spacing w:after="0" w:line="264" w:lineRule="auto"/>
        <w:ind w:firstLine="709"/>
        <w:jc w:val="right"/>
        <w:rPr>
          <w:rFonts w:ascii="Times New Roman" w:eastAsia="Calibri" w:hAnsi="Times New Roman" w:cs="Times New Roman"/>
          <w:kern w:val="0"/>
          <w:sz w:val="24"/>
          <w:szCs w:val="24"/>
          <w:shd w:val="clear" w:color="auto" w:fill="FFFFFF"/>
          <w14:ligatures w14:val="none"/>
        </w:rPr>
      </w:pPr>
      <w:r w:rsidRPr="00B44B71">
        <w:rPr>
          <w:rFonts w:ascii="Times New Roman" w:eastAsia="Calibri" w:hAnsi="Times New Roman" w:cs="Times New Roman"/>
          <w:kern w:val="0"/>
          <w:sz w:val="24"/>
          <w:szCs w:val="24"/>
          <w:shd w:val="clear" w:color="auto" w:fill="FFFFFF"/>
          <w:lang w:val="uk-UA"/>
          <w14:ligatures w14:val="none"/>
        </w:rPr>
        <w:t xml:space="preserve"> </w:t>
      </w:r>
      <w:hyperlink r:id="rId96" w:history="1">
        <w:r w:rsidRPr="00B44B71">
          <w:rPr>
            <w:rFonts w:ascii="Times New Roman" w:eastAsia="Calibri" w:hAnsi="Times New Roman" w:cs="Times New Roman"/>
            <w:color w:val="0563C1"/>
            <w:kern w:val="0"/>
            <w:sz w:val="24"/>
            <w:szCs w:val="24"/>
            <w:u w:val="single"/>
            <w:shd w:val="clear" w:color="auto" w:fill="FFFFFF"/>
            <w14:ligatures w14:val="none"/>
          </w:rPr>
          <w:t>https://orcid.org/0000-0002-9015-813X</w:t>
        </w:r>
      </w:hyperlink>
    </w:p>
    <w:p w14:paraId="57BB0E0E" w14:textId="77777777" w:rsidR="00B44B71" w:rsidRPr="00B44B71" w:rsidRDefault="00B44B71" w:rsidP="00023291">
      <w:pPr>
        <w:tabs>
          <w:tab w:val="left" w:pos="9638"/>
        </w:tabs>
        <w:spacing w:after="0" w:line="264" w:lineRule="auto"/>
        <w:ind w:firstLine="709"/>
        <w:jc w:val="right"/>
        <w:rPr>
          <w:rFonts w:ascii="Times New Roman" w:eastAsia="Calibri" w:hAnsi="Times New Roman" w:cs="Times New Roman"/>
          <w:kern w:val="0"/>
          <w:sz w:val="24"/>
          <w:szCs w:val="24"/>
          <w:shd w:val="clear" w:color="auto" w:fill="FFFFFF"/>
          <w:lang w:val="uk-UA"/>
          <w14:ligatures w14:val="none"/>
        </w:rPr>
      </w:pPr>
      <w:r w:rsidRPr="00B44B71">
        <w:rPr>
          <w:rFonts w:ascii="Times New Roman" w:eastAsia="Calibri" w:hAnsi="Times New Roman" w:cs="Times New Roman"/>
          <w:b/>
          <w:bCs/>
          <w:kern w:val="0"/>
          <w:sz w:val="24"/>
          <w:szCs w:val="24"/>
          <w:shd w:val="clear" w:color="auto" w:fill="FFFFFF"/>
          <w14:ligatures w14:val="none"/>
        </w:rPr>
        <w:t>Inna Vozniak</w:t>
      </w:r>
      <w:r w:rsidRPr="00B44B71">
        <w:rPr>
          <w:rFonts w:ascii="Times New Roman" w:eastAsia="Calibri" w:hAnsi="Times New Roman" w:cs="Times New Roman"/>
          <w:kern w:val="0"/>
          <w:sz w:val="24"/>
          <w:szCs w:val="24"/>
          <w:shd w:val="clear" w:color="auto" w:fill="FFFFFF"/>
          <w14:ligatures w14:val="none"/>
        </w:rPr>
        <w:t>,</w:t>
      </w:r>
    </w:p>
    <w:p w14:paraId="3E1721CD" w14:textId="77777777" w:rsidR="00B44B71" w:rsidRPr="00B44B71" w:rsidRDefault="00B44B71" w:rsidP="00023291">
      <w:pPr>
        <w:tabs>
          <w:tab w:val="left" w:pos="9638"/>
        </w:tabs>
        <w:spacing w:after="0" w:line="264" w:lineRule="auto"/>
        <w:ind w:firstLine="709"/>
        <w:jc w:val="right"/>
        <w:rPr>
          <w:rFonts w:ascii="Times New Roman" w:eastAsia="Calibri" w:hAnsi="Times New Roman" w:cs="Times New Roman"/>
          <w:kern w:val="0"/>
          <w:sz w:val="24"/>
          <w:szCs w:val="24"/>
          <w:shd w:val="clear" w:color="auto" w:fill="FFFFFF"/>
          <w:lang w:val="uk-UA"/>
          <w14:ligatures w14:val="none"/>
        </w:rPr>
      </w:pPr>
      <w:r w:rsidRPr="00B44B71">
        <w:rPr>
          <w:rFonts w:ascii="Times New Roman" w:eastAsia="Calibri" w:hAnsi="Times New Roman" w:cs="Times New Roman"/>
          <w:kern w:val="0"/>
          <w:sz w:val="24"/>
          <w:szCs w:val="24"/>
          <w:shd w:val="clear" w:color="auto" w:fill="FFFFFF"/>
          <w14:ligatures w14:val="none"/>
        </w:rPr>
        <w:t xml:space="preserve"> Candidate of Pedagogical Sciences (PhD), Associate Professor</w:t>
      </w:r>
    </w:p>
    <w:p w14:paraId="187892D6" w14:textId="77777777" w:rsidR="00B44B71" w:rsidRPr="00B44B71" w:rsidRDefault="00B44B71" w:rsidP="00023291">
      <w:pPr>
        <w:tabs>
          <w:tab w:val="left" w:pos="9638"/>
        </w:tabs>
        <w:spacing w:after="0" w:line="264" w:lineRule="auto"/>
        <w:ind w:firstLine="709"/>
        <w:jc w:val="right"/>
        <w:rPr>
          <w:rFonts w:ascii="Times New Roman" w:eastAsia="Calibri" w:hAnsi="Times New Roman" w:cs="Times New Roman"/>
          <w:kern w:val="0"/>
          <w:sz w:val="24"/>
          <w:szCs w:val="24"/>
          <w:shd w:val="clear" w:color="auto" w:fill="FFFFFF"/>
          <w:lang w:val="uk-UA"/>
          <w14:ligatures w14:val="none"/>
        </w:rPr>
      </w:pPr>
      <w:r w:rsidRPr="00B44B71">
        <w:rPr>
          <w:rFonts w:ascii="Times New Roman" w:eastAsia="Calibri" w:hAnsi="Times New Roman" w:cs="Times New Roman"/>
          <w:kern w:val="0"/>
          <w:sz w:val="24"/>
          <w:szCs w:val="24"/>
          <w:shd w:val="clear" w:color="auto" w:fill="FFFFFF"/>
          <w14:ligatures w14:val="none"/>
        </w:rPr>
        <w:t xml:space="preserve"> Central Research Institute of the Armed Forces of Ukraine, Kyiv</w:t>
      </w:r>
    </w:p>
    <w:p w14:paraId="64A5DBA7" w14:textId="77777777" w:rsidR="00B44B71" w:rsidRPr="00B44B71" w:rsidRDefault="00B44B71" w:rsidP="00023291">
      <w:pPr>
        <w:tabs>
          <w:tab w:val="left" w:pos="9638"/>
        </w:tabs>
        <w:spacing w:after="0" w:line="264" w:lineRule="auto"/>
        <w:ind w:firstLine="709"/>
        <w:jc w:val="right"/>
        <w:rPr>
          <w:rFonts w:ascii="Times New Roman" w:eastAsia="Calibri" w:hAnsi="Times New Roman" w:cs="Times New Roman"/>
          <w:kern w:val="0"/>
          <w:sz w:val="24"/>
          <w:szCs w:val="24"/>
          <w:shd w:val="clear" w:color="auto" w:fill="FFFFFF"/>
          <w14:ligatures w14:val="none"/>
        </w:rPr>
      </w:pPr>
      <w:r w:rsidRPr="00B44B71">
        <w:rPr>
          <w:rFonts w:ascii="Times New Roman" w:eastAsia="Calibri" w:hAnsi="Times New Roman" w:cs="Times New Roman"/>
          <w:kern w:val="0"/>
          <w:sz w:val="24"/>
          <w:szCs w:val="24"/>
          <w:shd w:val="clear" w:color="auto" w:fill="FFFFFF"/>
          <w:lang w:val="uk-UA"/>
          <w14:ligatures w14:val="none"/>
        </w:rPr>
        <w:t xml:space="preserve"> </w:t>
      </w:r>
      <w:hyperlink r:id="rId97" w:history="1">
        <w:r w:rsidRPr="00B44B71">
          <w:rPr>
            <w:rFonts w:ascii="Times New Roman" w:eastAsia="Calibri" w:hAnsi="Times New Roman" w:cs="Times New Roman"/>
            <w:color w:val="0563C1"/>
            <w:kern w:val="0"/>
            <w:sz w:val="24"/>
            <w:szCs w:val="24"/>
            <w:u w:val="single"/>
            <w:shd w:val="clear" w:color="auto" w:fill="FFFFFF"/>
            <w14:ligatures w14:val="none"/>
          </w:rPr>
          <w:t>https://orcid.org/0000-0002-8376-9688</w:t>
        </w:r>
      </w:hyperlink>
    </w:p>
    <w:p w14:paraId="49E8938C" w14:textId="77777777" w:rsidR="00B44B71" w:rsidRPr="00B44B71" w:rsidRDefault="00B44B71" w:rsidP="00023291">
      <w:pPr>
        <w:tabs>
          <w:tab w:val="left" w:pos="9638"/>
        </w:tabs>
        <w:spacing w:after="0" w:line="264" w:lineRule="auto"/>
        <w:ind w:firstLine="709"/>
        <w:jc w:val="right"/>
        <w:rPr>
          <w:rFonts w:ascii="Times New Roman" w:eastAsia="Calibri" w:hAnsi="Times New Roman" w:cs="Times New Roman"/>
          <w:kern w:val="0"/>
          <w:sz w:val="24"/>
          <w:szCs w:val="24"/>
          <w:shd w:val="clear" w:color="auto" w:fill="FFFFFF"/>
          <w:lang w:val="uk-UA"/>
          <w14:ligatures w14:val="none"/>
        </w:rPr>
      </w:pPr>
      <w:r w:rsidRPr="00B44B71">
        <w:rPr>
          <w:rFonts w:ascii="Times New Roman" w:eastAsia="Calibri" w:hAnsi="Times New Roman" w:cs="Times New Roman"/>
          <w:b/>
          <w:bCs/>
          <w:kern w:val="0"/>
          <w:sz w:val="24"/>
          <w:szCs w:val="24"/>
          <w:shd w:val="clear" w:color="auto" w:fill="FFFFFF"/>
          <w14:ligatures w14:val="none"/>
        </w:rPr>
        <w:t>Iryna Tonkonoh</w:t>
      </w:r>
      <w:r w:rsidRPr="00B44B71">
        <w:rPr>
          <w:rFonts w:ascii="Times New Roman" w:eastAsia="Calibri" w:hAnsi="Times New Roman" w:cs="Times New Roman"/>
          <w:kern w:val="0"/>
          <w:sz w:val="24"/>
          <w:szCs w:val="24"/>
          <w:shd w:val="clear" w:color="auto" w:fill="FFFFFF"/>
          <w14:ligatures w14:val="none"/>
        </w:rPr>
        <w:t>,</w:t>
      </w:r>
    </w:p>
    <w:p w14:paraId="7A7141B0" w14:textId="7B60D8C7" w:rsidR="00B44B71" w:rsidRPr="00422A49" w:rsidRDefault="00B44B71" w:rsidP="00023291">
      <w:pPr>
        <w:tabs>
          <w:tab w:val="left" w:pos="9638"/>
        </w:tabs>
        <w:spacing w:after="0" w:line="264" w:lineRule="auto"/>
        <w:ind w:firstLine="709"/>
        <w:jc w:val="right"/>
        <w:rPr>
          <w:rFonts w:ascii="Times New Roman" w:eastAsia="Calibri" w:hAnsi="Times New Roman" w:cs="Times New Roman"/>
          <w:kern w:val="0"/>
          <w:sz w:val="24"/>
          <w:szCs w:val="24"/>
          <w:shd w:val="clear" w:color="auto" w:fill="FFFFFF"/>
          <w:lang w:val="uk-UA"/>
          <w14:ligatures w14:val="none"/>
        </w:rPr>
      </w:pPr>
      <w:r w:rsidRPr="00B44B71">
        <w:rPr>
          <w:rFonts w:ascii="Times New Roman" w:eastAsia="Calibri" w:hAnsi="Times New Roman" w:cs="Times New Roman"/>
          <w:kern w:val="0"/>
          <w:sz w:val="24"/>
          <w:szCs w:val="24"/>
          <w:shd w:val="clear" w:color="auto" w:fill="FFFFFF"/>
          <w14:ligatures w14:val="none"/>
        </w:rPr>
        <w:t xml:space="preserve"> Candidate of Pedagogical Scie</w:t>
      </w:r>
      <w:r w:rsidR="00422A49">
        <w:rPr>
          <w:rFonts w:ascii="Times New Roman" w:eastAsia="Calibri" w:hAnsi="Times New Roman" w:cs="Times New Roman"/>
          <w:kern w:val="0"/>
          <w:sz w:val="24"/>
          <w:szCs w:val="24"/>
          <w:shd w:val="clear" w:color="auto" w:fill="FFFFFF"/>
          <w14:ligatures w14:val="none"/>
        </w:rPr>
        <w:t>nces (PhD), Associate Professor</w:t>
      </w:r>
    </w:p>
    <w:p w14:paraId="65F2095A" w14:textId="77777777" w:rsidR="00B44B71" w:rsidRPr="00B44B71" w:rsidRDefault="00B44B71" w:rsidP="00023291">
      <w:pPr>
        <w:tabs>
          <w:tab w:val="left" w:pos="9638"/>
        </w:tabs>
        <w:spacing w:after="0" w:line="264" w:lineRule="auto"/>
        <w:ind w:firstLine="709"/>
        <w:jc w:val="right"/>
        <w:rPr>
          <w:rFonts w:ascii="Times New Roman" w:eastAsia="Calibri" w:hAnsi="Times New Roman" w:cs="Times New Roman"/>
          <w:kern w:val="0"/>
          <w:sz w:val="24"/>
          <w:szCs w:val="24"/>
          <w:shd w:val="clear" w:color="auto" w:fill="FFFFFF"/>
          <w:lang w:val="uk-UA"/>
          <w14:ligatures w14:val="none"/>
        </w:rPr>
      </w:pPr>
      <w:r w:rsidRPr="00B44B71">
        <w:rPr>
          <w:rFonts w:ascii="Times New Roman" w:eastAsia="Calibri" w:hAnsi="Times New Roman" w:cs="Times New Roman"/>
          <w:kern w:val="0"/>
          <w:sz w:val="24"/>
          <w:szCs w:val="24"/>
          <w:shd w:val="clear" w:color="auto" w:fill="FFFFFF"/>
          <w14:ligatures w14:val="none"/>
        </w:rPr>
        <w:t xml:space="preserve"> State University of Trade and Economics, Kyiv</w:t>
      </w:r>
    </w:p>
    <w:p w14:paraId="115DAAD3" w14:textId="77777777" w:rsidR="00B44B71" w:rsidRDefault="00B44B71" w:rsidP="00023291">
      <w:pPr>
        <w:tabs>
          <w:tab w:val="left" w:pos="9638"/>
        </w:tabs>
        <w:spacing w:after="0" w:line="264" w:lineRule="auto"/>
        <w:ind w:firstLine="709"/>
        <w:jc w:val="right"/>
        <w:rPr>
          <w:lang w:val="uk-UA"/>
        </w:rPr>
      </w:pPr>
      <w:r w:rsidRPr="00B44B71">
        <w:rPr>
          <w:rFonts w:ascii="Times New Roman" w:eastAsia="Calibri" w:hAnsi="Times New Roman" w:cs="Times New Roman"/>
          <w:kern w:val="0"/>
          <w:sz w:val="24"/>
          <w:szCs w:val="24"/>
          <w:shd w:val="clear" w:color="auto" w:fill="FFFFFF"/>
          <w:lang w:val="uk-UA"/>
          <w14:ligatures w14:val="none"/>
        </w:rPr>
        <w:t xml:space="preserve"> </w:t>
      </w:r>
      <w:hyperlink r:id="rId98" w:history="1">
        <w:r w:rsidRPr="00B44B71">
          <w:rPr>
            <w:rFonts w:ascii="Times New Roman" w:eastAsia="Calibri" w:hAnsi="Times New Roman" w:cs="Times New Roman"/>
            <w:color w:val="0563C1"/>
            <w:kern w:val="0"/>
            <w:sz w:val="24"/>
            <w:szCs w:val="24"/>
            <w:u w:val="single"/>
            <w:shd w:val="clear" w:color="auto" w:fill="FFFFFF"/>
            <w14:ligatures w14:val="none"/>
          </w:rPr>
          <w:t>https://orcid.org/0000-0001-8488-8526</w:t>
        </w:r>
      </w:hyperlink>
    </w:p>
    <w:p w14:paraId="35C71100" w14:textId="77777777" w:rsidR="00446297" w:rsidRPr="00F96118" w:rsidRDefault="00446297" w:rsidP="00023291">
      <w:pPr>
        <w:tabs>
          <w:tab w:val="left" w:pos="993"/>
          <w:tab w:val="left" w:pos="9638"/>
        </w:tabs>
        <w:spacing w:after="0" w:line="240" w:lineRule="auto"/>
        <w:ind w:firstLine="709"/>
        <w:jc w:val="right"/>
        <w:rPr>
          <w:rFonts w:ascii="Times New Roman" w:eastAsia="Calibri" w:hAnsi="Times New Roman" w:cs="Times New Roman"/>
          <w:kern w:val="0"/>
          <w:sz w:val="28"/>
          <w:szCs w:val="28"/>
          <w:lang w:val="uk-UA"/>
          <w14:ligatures w14:val="none"/>
        </w:rPr>
      </w:pPr>
    </w:p>
    <w:p w14:paraId="2C7B3223" w14:textId="77777777" w:rsidR="00B44B71" w:rsidRPr="00B44B71" w:rsidRDefault="00B44B71" w:rsidP="00023291">
      <w:pPr>
        <w:tabs>
          <w:tab w:val="left" w:pos="9638"/>
        </w:tabs>
        <w:spacing w:after="0" w:line="264" w:lineRule="auto"/>
        <w:ind w:firstLine="709"/>
        <w:jc w:val="center"/>
        <w:rPr>
          <w:rFonts w:ascii="Times New Roman" w:eastAsia="Calibri" w:hAnsi="Times New Roman" w:cs="Times New Roman"/>
          <w:b/>
          <w:bCs/>
          <w:kern w:val="0"/>
          <w:sz w:val="24"/>
          <w:szCs w:val="24"/>
          <w14:ligatures w14:val="none"/>
        </w:rPr>
      </w:pPr>
      <w:r w:rsidRPr="00B44B71">
        <w:rPr>
          <w:rFonts w:ascii="Times New Roman" w:eastAsia="Calibri" w:hAnsi="Times New Roman" w:cs="Times New Roman"/>
          <w:b/>
          <w:bCs/>
          <w:kern w:val="0"/>
          <w:sz w:val="24"/>
          <w:szCs w:val="24"/>
          <w14:ligatures w14:val="none"/>
        </w:rPr>
        <w:t>ASSESSMENT OF PROFESSIONAL COMPETENCIES AND LEADERSHIP QUALITIES OF CANDIDATES FOR COMMAND POSITIONS IN THE ARMED FORCES OF UKRAINE: ANALYSIS OF METHODOLOGICAL APPROACHES</w:t>
      </w:r>
    </w:p>
    <w:p w14:paraId="0D3F36A5" w14:textId="77777777" w:rsidR="00B44B71" w:rsidRPr="00B44B71" w:rsidRDefault="00B44B71" w:rsidP="00023291">
      <w:pPr>
        <w:tabs>
          <w:tab w:val="left" w:pos="9638"/>
        </w:tabs>
        <w:spacing w:after="0" w:line="264" w:lineRule="auto"/>
        <w:ind w:firstLine="709"/>
        <w:jc w:val="right"/>
        <w:rPr>
          <w:rFonts w:ascii="Times New Roman" w:eastAsia="Calibri" w:hAnsi="Times New Roman" w:cs="Times New Roman"/>
          <w:kern w:val="0"/>
          <w:sz w:val="24"/>
          <w:szCs w:val="24"/>
          <w:shd w:val="clear" w:color="auto" w:fill="FFFFFF"/>
          <w14:ligatures w14:val="none"/>
        </w:rPr>
      </w:pPr>
    </w:p>
    <w:p w14:paraId="4D2007D2"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i/>
          <w:iCs/>
          <w:kern w:val="0"/>
          <w:sz w:val="24"/>
          <w:szCs w:val="24"/>
          <w14:ligatures w14:val="none"/>
        </w:rPr>
      </w:pPr>
      <w:r w:rsidRPr="00B44B71">
        <w:rPr>
          <w:rFonts w:ascii="Times New Roman" w:eastAsia="Calibri" w:hAnsi="Times New Roman" w:cs="Times New Roman"/>
          <w:b/>
          <w:bCs/>
          <w:i/>
          <w:iCs/>
          <w:kern w:val="0"/>
          <w:sz w:val="24"/>
          <w:szCs w:val="24"/>
          <w14:ligatures w14:val="none"/>
        </w:rPr>
        <w:t>Abstract</w:t>
      </w:r>
      <w:r w:rsidRPr="00B44B71">
        <w:rPr>
          <w:rFonts w:ascii="Times New Roman" w:eastAsia="Calibri" w:hAnsi="Times New Roman" w:cs="Times New Roman"/>
          <w:b/>
          <w:bCs/>
          <w:i/>
          <w:iCs/>
          <w:kern w:val="0"/>
          <w:sz w:val="24"/>
          <w:szCs w:val="24"/>
          <w:lang w:val="uk-UA"/>
          <w14:ligatures w14:val="none"/>
        </w:rPr>
        <w:t xml:space="preserve">. </w:t>
      </w:r>
      <w:r w:rsidRPr="00B44B71">
        <w:rPr>
          <w:rFonts w:ascii="Times New Roman" w:eastAsia="Calibri" w:hAnsi="Times New Roman" w:cs="Times New Roman"/>
          <w:i/>
          <w:iCs/>
          <w:kern w:val="0"/>
          <w:sz w:val="24"/>
          <w:szCs w:val="24"/>
          <w14:ligatures w14:val="none"/>
        </w:rPr>
        <w:t>In the context of a full-scale war, the issue of effective assessment of professional competencies of candidates for command positions in the Armed Forces of Ukraine is becoming increasingly relevant. Traditional certification approaches do not always adequately reflect the leadership potential of servicemen under conditions of combat stress, high risk, and moral pressure on a unit. Comprehensive consideration of psychological, moral, and managerial factors that directly affect combat capability and resilience of troops acquires particular importance.</w:t>
      </w:r>
      <w:r w:rsidRPr="00B44B71">
        <w:rPr>
          <w:rFonts w:ascii="Times New Roman" w:eastAsia="Calibri" w:hAnsi="Times New Roman" w:cs="Times New Roman"/>
          <w:i/>
          <w:iCs/>
          <w:kern w:val="0"/>
          <w:sz w:val="24"/>
          <w:szCs w:val="24"/>
          <w:lang w:val="uk-UA"/>
          <w14:ligatures w14:val="none"/>
        </w:rPr>
        <w:t xml:space="preserve"> </w:t>
      </w:r>
      <w:r w:rsidRPr="00B44B71">
        <w:rPr>
          <w:rFonts w:ascii="Times New Roman" w:eastAsia="Calibri" w:hAnsi="Times New Roman" w:cs="Times New Roman"/>
          <w:i/>
          <w:iCs/>
          <w:kern w:val="0"/>
          <w:sz w:val="24"/>
          <w:szCs w:val="24"/>
          <w14:ligatures w14:val="none"/>
        </w:rPr>
        <w:t>The purpose of the study is to analyze existing methodological approaches to assessing professional competencies of candidates for command positions, to determine their advantages and limitations, and to develop a hybrid assessment model adapted to the conditions of the modern operational environment and based on a combination of national and international experience.</w:t>
      </w:r>
      <w:r w:rsidRPr="00B44B71">
        <w:rPr>
          <w:rFonts w:ascii="Times New Roman" w:eastAsia="Calibri" w:hAnsi="Times New Roman" w:cs="Times New Roman"/>
          <w:i/>
          <w:iCs/>
          <w:kern w:val="0"/>
          <w:sz w:val="24"/>
          <w:szCs w:val="24"/>
          <w:lang w:val="uk-UA"/>
          <w14:ligatures w14:val="none"/>
        </w:rPr>
        <w:t xml:space="preserve"> </w:t>
      </w:r>
      <w:r w:rsidRPr="00B44B71">
        <w:rPr>
          <w:rFonts w:ascii="Times New Roman" w:eastAsia="Calibri" w:hAnsi="Times New Roman" w:cs="Times New Roman"/>
          <w:i/>
          <w:iCs/>
          <w:kern w:val="0"/>
          <w:sz w:val="24"/>
          <w:szCs w:val="24"/>
          <w14:ligatures w14:val="none"/>
        </w:rPr>
        <w:t>The methodological basis of the work consists of a comprehensive approach that includes analysis of regulatory and doctrinal documents, comparative analysis of national and foreign practices, and a review of psychodiagnostic, certification, and competency-oriented methods. Expert evaluations and a classification approach to identifying key competencies of military leaders were used to generalize the results.</w:t>
      </w:r>
      <w:r w:rsidRPr="00B44B71">
        <w:rPr>
          <w:rFonts w:ascii="Times New Roman" w:eastAsia="Calibri" w:hAnsi="Times New Roman" w:cs="Times New Roman"/>
          <w:i/>
          <w:iCs/>
          <w:kern w:val="0"/>
          <w:sz w:val="24"/>
          <w:szCs w:val="24"/>
          <w:lang w:val="uk-UA"/>
          <w14:ligatures w14:val="none"/>
        </w:rPr>
        <w:t xml:space="preserve"> </w:t>
      </w:r>
      <w:r w:rsidRPr="00B44B71">
        <w:rPr>
          <w:rFonts w:ascii="Times New Roman" w:eastAsia="Calibri" w:hAnsi="Times New Roman" w:cs="Times New Roman"/>
          <w:i/>
          <w:iCs/>
          <w:kern w:val="0"/>
          <w:sz w:val="24"/>
          <w:szCs w:val="24"/>
          <w14:ligatures w14:val="none"/>
        </w:rPr>
        <w:t>The study identifies the main blocks of critically important competencies of command personnel: managerial, psychological-resilience, communicative-leadership, and moral-ethical. A hybrid assessment model is proposed that combines psychodiagnostic tools, situational tactical tasks, and expert observation in conditions close to combat. Particular attention is paid to problematic aspects, in particular to the assessment of a commander’s moral authority and the level of subordinates’ trust as key indicators of effective military leadership.</w:t>
      </w:r>
      <w:r w:rsidRPr="00B44B71">
        <w:rPr>
          <w:rFonts w:ascii="Times New Roman" w:eastAsia="Calibri" w:hAnsi="Times New Roman" w:cs="Times New Roman"/>
          <w:i/>
          <w:iCs/>
          <w:kern w:val="0"/>
          <w:sz w:val="24"/>
          <w:szCs w:val="24"/>
          <w:lang w:val="uk-UA"/>
          <w14:ligatures w14:val="none"/>
        </w:rPr>
        <w:t xml:space="preserve"> </w:t>
      </w:r>
      <w:r w:rsidRPr="00B44B71">
        <w:rPr>
          <w:rFonts w:ascii="Times New Roman" w:eastAsia="Calibri" w:hAnsi="Times New Roman" w:cs="Times New Roman"/>
          <w:i/>
          <w:iCs/>
          <w:kern w:val="0"/>
          <w:sz w:val="24"/>
          <w:szCs w:val="24"/>
          <w14:ligatures w14:val="none"/>
        </w:rPr>
        <w:t>The results of the study may be used by personnel bodies, military educational institutions, and unit commanders to improve the selection of candidates for command positions, develop adaptive training programs, and increase the combat effectiveness of units in modern combat conditions.</w:t>
      </w:r>
    </w:p>
    <w:p w14:paraId="60D8DFC0"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i/>
          <w:iCs/>
          <w:kern w:val="0"/>
          <w:sz w:val="24"/>
          <w:szCs w:val="24"/>
          <w:lang w:val="uk-UA"/>
          <w14:ligatures w14:val="none"/>
        </w:rPr>
      </w:pPr>
      <w:r w:rsidRPr="00B44B71">
        <w:rPr>
          <w:rFonts w:ascii="Times New Roman" w:eastAsia="Calibri" w:hAnsi="Times New Roman" w:cs="Times New Roman"/>
          <w:b/>
          <w:bCs/>
          <w:i/>
          <w:iCs/>
          <w:kern w:val="0"/>
          <w:sz w:val="24"/>
          <w:szCs w:val="24"/>
          <w14:ligatures w14:val="none"/>
        </w:rPr>
        <w:t>Keywords</w:t>
      </w:r>
      <w:r w:rsidRPr="00B44B71">
        <w:rPr>
          <w:rFonts w:ascii="Times New Roman" w:eastAsia="Calibri" w:hAnsi="Times New Roman" w:cs="Times New Roman"/>
          <w:b/>
          <w:bCs/>
          <w:i/>
          <w:iCs/>
          <w:kern w:val="0"/>
          <w:sz w:val="24"/>
          <w:szCs w:val="24"/>
          <w:lang w:val="uk-UA"/>
          <w14:ligatures w14:val="none"/>
        </w:rPr>
        <w:t>:</w:t>
      </w:r>
      <w:r w:rsidRPr="00B44B71">
        <w:rPr>
          <w:rFonts w:ascii="Times New Roman" w:eastAsia="Calibri" w:hAnsi="Times New Roman" w:cs="Times New Roman"/>
          <w:i/>
          <w:iCs/>
          <w:kern w:val="0"/>
          <w:sz w:val="24"/>
          <w:szCs w:val="24"/>
          <w:lang w:val="uk-UA"/>
          <w14:ligatures w14:val="none"/>
        </w:rPr>
        <w:t xml:space="preserve"> </w:t>
      </w:r>
      <w:r w:rsidRPr="00B44B71">
        <w:rPr>
          <w:rFonts w:ascii="Times New Roman" w:eastAsia="Calibri" w:hAnsi="Times New Roman" w:cs="Times New Roman"/>
          <w:i/>
          <w:iCs/>
          <w:kern w:val="0"/>
          <w:sz w:val="24"/>
          <w:szCs w:val="24"/>
          <w14:ligatures w14:val="none"/>
        </w:rPr>
        <w:t>military leadership, command competencies, assessment, hybrid model, psychodiagnostics, combat leadership reliability, moral authority</w:t>
      </w:r>
      <w:r w:rsidRPr="00B44B71">
        <w:rPr>
          <w:rFonts w:ascii="Times New Roman" w:eastAsia="Calibri" w:hAnsi="Times New Roman" w:cs="Times New Roman"/>
          <w:i/>
          <w:iCs/>
          <w:kern w:val="0"/>
          <w:sz w:val="24"/>
          <w:szCs w:val="24"/>
          <w:lang w:val="uk-UA"/>
          <w14:ligatures w14:val="none"/>
        </w:rPr>
        <w:t xml:space="preserve">. </w:t>
      </w:r>
    </w:p>
    <w:p w14:paraId="7B0CA821" w14:textId="77777777" w:rsidR="00B44B71" w:rsidRPr="00B44B71" w:rsidRDefault="00B44B71" w:rsidP="00023291">
      <w:pPr>
        <w:tabs>
          <w:tab w:val="left" w:pos="9638"/>
        </w:tabs>
        <w:spacing w:after="0" w:line="240" w:lineRule="auto"/>
        <w:ind w:firstLine="709"/>
        <w:jc w:val="center"/>
        <w:rPr>
          <w:rFonts w:ascii="Calibri" w:eastAsia="Calibri" w:hAnsi="Calibri" w:cs="Times New Roman"/>
          <w:b/>
          <w:bCs/>
          <w:kern w:val="0"/>
          <w:sz w:val="24"/>
          <w:szCs w:val="24"/>
          <w:lang w:val="uk-UA"/>
          <w14:ligatures w14:val="none"/>
        </w:rPr>
      </w:pPr>
    </w:p>
    <w:p w14:paraId="2F9B02F5" w14:textId="77777777" w:rsidR="00B44B71" w:rsidRPr="00B44B71" w:rsidRDefault="00B44B71" w:rsidP="00023291">
      <w:pPr>
        <w:tabs>
          <w:tab w:val="left" w:pos="9638"/>
        </w:tabs>
        <w:spacing w:after="0" w:line="240" w:lineRule="auto"/>
        <w:ind w:firstLine="709"/>
        <w:jc w:val="center"/>
        <w:rPr>
          <w:rFonts w:ascii="Calibri" w:eastAsia="Calibri" w:hAnsi="Calibri" w:cs="Times New Roman"/>
          <w:b/>
          <w:bCs/>
          <w:kern w:val="0"/>
          <w:sz w:val="24"/>
          <w:szCs w:val="24"/>
          <w:lang w:val="uk-UA"/>
          <w14:ligatures w14:val="none"/>
        </w:rPr>
      </w:pPr>
    </w:p>
    <w:p w14:paraId="68CD4C57" w14:textId="77777777" w:rsidR="00B44B71" w:rsidRPr="00B44B71" w:rsidRDefault="00B44B71" w:rsidP="00023291">
      <w:pPr>
        <w:tabs>
          <w:tab w:val="left" w:pos="9638"/>
        </w:tabs>
        <w:spacing w:after="0" w:line="240" w:lineRule="auto"/>
        <w:ind w:firstLine="709"/>
        <w:jc w:val="center"/>
        <w:rPr>
          <w:rFonts w:ascii="Calibri" w:eastAsia="Calibri" w:hAnsi="Calibri" w:cs="Times New Roman"/>
          <w:b/>
          <w:bCs/>
          <w:kern w:val="0"/>
          <w:sz w:val="24"/>
          <w:szCs w:val="24"/>
          <w:lang w:val="uk-UA"/>
          <w14:ligatures w14:val="none"/>
        </w:rPr>
      </w:pPr>
    </w:p>
    <w:p w14:paraId="26F68F8E" w14:textId="77777777" w:rsidR="00B44B71" w:rsidRPr="00B44B71" w:rsidRDefault="00B44B71" w:rsidP="00023291">
      <w:pPr>
        <w:tabs>
          <w:tab w:val="left" w:pos="9638"/>
        </w:tabs>
        <w:spacing w:after="0" w:line="240" w:lineRule="auto"/>
        <w:ind w:firstLine="709"/>
        <w:jc w:val="center"/>
        <w:rPr>
          <w:rFonts w:ascii="Calibri" w:eastAsia="Calibri" w:hAnsi="Calibri" w:cs="Times New Roman"/>
          <w:b/>
          <w:bCs/>
          <w:kern w:val="0"/>
          <w:sz w:val="24"/>
          <w:szCs w:val="24"/>
          <w:lang w:val="uk-UA"/>
          <w14:ligatures w14:val="none"/>
        </w:rPr>
      </w:pPr>
    </w:p>
    <w:p w14:paraId="549C246C" w14:textId="77777777" w:rsidR="00B44B71" w:rsidRPr="00B44B71" w:rsidRDefault="00B44B71" w:rsidP="00023291">
      <w:pPr>
        <w:tabs>
          <w:tab w:val="left" w:pos="9638"/>
        </w:tabs>
        <w:spacing w:after="0" w:line="240" w:lineRule="auto"/>
        <w:ind w:firstLine="709"/>
        <w:contextualSpacing/>
        <w:jc w:val="right"/>
        <w:rPr>
          <w:rFonts w:ascii="Times New Roman" w:eastAsia="Calibri" w:hAnsi="Times New Roman" w:cs="Times New Roman"/>
          <w:b/>
          <w:bCs/>
          <w:kern w:val="0"/>
          <w:sz w:val="24"/>
          <w:szCs w:val="24"/>
          <w:lang w:val="uk-UA"/>
          <w14:ligatures w14:val="none"/>
        </w:rPr>
      </w:pPr>
      <w:r w:rsidRPr="00B44B71">
        <w:rPr>
          <w:rFonts w:ascii="Times New Roman" w:eastAsia="Calibri" w:hAnsi="Times New Roman" w:cs="Times New Roman"/>
          <w:b/>
          <w:bCs/>
          <w:kern w:val="0"/>
          <w:sz w:val="24"/>
          <w:szCs w:val="24"/>
          <w:lang w:val="uk-UA"/>
          <w14:ligatures w14:val="none"/>
        </w:rPr>
        <w:t>Степан Возняк,</w:t>
      </w:r>
    </w:p>
    <w:p w14:paraId="052E191B" w14:textId="77777777" w:rsidR="00B44B71" w:rsidRPr="00B44B71" w:rsidRDefault="00B44B71" w:rsidP="00023291">
      <w:pPr>
        <w:tabs>
          <w:tab w:val="left" w:pos="9638"/>
        </w:tabs>
        <w:spacing w:after="0" w:line="240" w:lineRule="auto"/>
        <w:ind w:firstLine="709"/>
        <w:contextualSpacing/>
        <w:jc w:val="right"/>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 доктор військових наук, старший науковий співробітник</w:t>
      </w:r>
    </w:p>
    <w:p w14:paraId="5485DA6D" w14:textId="77777777" w:rsidR="00B44B71" w:rsidRPr="00B44B71" w:rsidRDefault="00B44B71" w:rsidP="00023291">
      <w:pPr>
        <w:tabs>
          <w:tab w:val="left" w:pos="9638"/>
        </w:tabs>
        <w:spacing w:after="0" w:line="240" w:lineRule="auto"/>
        <w:ind w:firstLine="709"/>
        <w:contextualSpacing/>
        <w:jc w:val="right"/>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 Центральний науково-дослідний інститут ЗС України, м. Київ,</w:t>
      </w:r>
    </w:p>
    <w:p w14:paraId="2E197B97" w14:textId="77777777" w:rsidR="00B44B71" w:rsidRPr="00B44B71" w:rsidRDefault="00B44B71" w:rsidP="00023291">
      <w:pPr>
        <w:tabs>
          <w:tab w:val="left" w:pos="9638"/>
        </w:tabs>
        <w:spacing w:after="0" w:line="240" w:lineRule="auto"/>
        <w:ind w:firstLine="709"/>
        <w:contextualSpacing/>
        <w:jc w:val="right"/>
        <w:rPr>
          <w:rFonts w:ascii="Times New Roman" w:eastAsia="Calibri" w:hAnsi="Times New Roman" w:cs="Times New Roman"/>
          <w:b/>
          <w:bCs/>
          <w:kern w:val="0"/>
          <w:sz w:val="24"/>
          <w:szCs w:val="24"/>
          <w:lang w:val="uk-UA"/>
          <w14:ligatures w14:val="none"/>
        </w:rPr>
      </w:pPr>
      <w:r w:rsidRPr="00B44B71">
        <w:rPr>
          <w:rFonts w:ascii="Times New Roman" w:eastAsia="Calibri" w:hAnsi="Times New Roman" w:cs="Times New Roman"/>
          <w:b/>
          <w:bCs/>
          <w:kern w:val="0"/>
          <w:sz w:val="24"/>
          <w:szCs w:val="24"/>
          <w:lang w:val="uk-UA"/>
          <w14:ligatures w14:val="none"/>
        </w:rPr>
        <w:t>Інна Возняк,</w:t>
      </w:r>
    </w:p>
    <w:p w14:paraId="22A70A3A" w14:textId="77777777" w:rsidR="00B44B71" w:rsidRPr="00B44B71" w:rsidRDefault="00B44B71" w:rsidP="00023291">
      <w:pPr>
        <w:tabs>
          <w:tab w:val="left" w:pos="9638"/>
        </w:tabs>
        <w:spacing w:after="0" w:line="240" w:lineRule="auto"/>
        <w:ind w:firstLine="709"/>
        <w:contextualSpacing/>
        <w:jc w:val="right"/>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кандидат педагогічних  наук, доцент</w:t>
      </w:r>
    </w:p>
    <w:p w14:paraId="7D4019A6" w14:textId="77777777" w:rsidR="00B44B71" w:rsidRPr="00B44B71" w:rsidRDefault="00B44B71" w:rsidP="00023291">
      <w:pPr>
        <w:tabs>
          <w:tab w:val="left" w:pos="9638"/>
        </w:tabs>
        <w:spacing w:after="0" w:line="240" w:lineRule="auto"/>
        <w:ind w:firstLine="709"/>
        <w:contextualSpacing/>
        <w:jc w:val="right"/>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Центральний науково-дослідний інститут ЗС України, м. Київ </w:t>
      </w:r>
    </w:p>
    <w:p w14:paraId="1F24F98E" w14:textId="77777777" w:rsidR="00B44B71" w:rsidRPr="00B44B71" w:rsidRDefault="00B44B71" w:rsidP="00023291">
      <w:pPr>
        <w:tabs>
          <w:tab w:val="left" w:pos="9638"/>
        </w:tabs>
        <w:spacing w:after="0" w:line="240" w:lineRule="auto"/>
        <w:ind w:firstLine="709"/>
        <w:contextualSpacing/>
        <w:jc w:val="right"/>
        <w:rPr>
          <w:rFonts w:ascii="Times New Roman" w:eastAsia="Calibri" w:hAnsi="Times New Roman" w:cs="Times New Roman"/>
          <w:b/>
          <w:bCs/>
          <w:kern w:val="0"/>
          <w:sz w:val="24"/>
          <w:szCs w:val="24"/>
          <w:lang w:val="uk-UA"/>
          <w14:ligatures w14:val="none"/>
        </w:rPr>
      </w:pPr>
      <w:r w:rsidRPr="00B44B71">
        <w:rPr>
          <w:rFonts w:ascii="Times New Roman" w:eastAsia="Calibri" w:hAnsi="Times New Roman" w:cs="Times New Roman"/>
          <w:b/>
          <w:bCs/>
          <w:kern w:val="0"/>
          <w:sz w:val="24"/>
          <w:szCs w:val="24"/>
          <w:lang w:val="uk-UA"/>
          <w14:ligatures w14:val="none"/>
        </w:rPr>
        <w:t>Ірина Тонконог,</w:t>
      </w:r>
    </w:p>
    <w:p w14:paraId="688686FD" w14:textId="77777777" w:rsidR="00B44B71" w:rsidRPr="00B44B71" w:rsidRDefault="00B44B71" w:rsidP="00023291">
      <w:pPr>
        <w:tabs>
          <w:tab w:val="left" w:pos="9638"/>
        </w:tabs>
        <w:spacing w:after="0" w:line="240" w:lineRule="auto"/>
        <w:ind w:firstLine="709"/>
        <w:contextualSpacing/>
        <w:jc w:val="right"/>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кандидат педагогічних наук, доцент,</w:t>
      </w:r>
    </w:p>
    <w:p w14:paraId="0BF57FEA" w14:textId="77777777" w:rsidR="00B44B71" w:rsidRPr="00B44B71" w:rsidRDefault="00B44B71" w:rsidP="00023291">
      <w:pPr>
        <w:tabs>
          <w:tab w:val="left" w:pos="9638"/>
        </w:tabs>
        <w:spacing w:after="0" w:line="240" w:lineRule="auto"/>
        <w:ind w:firstLine="709"/>
        <w:contextualSpacing/>
        <w:jc w:val="right"/>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Державний торговельно-економічний університет, м. Київ</w:t>
      </w:r>
    </w:p>
    <w:p w14:paraId="6438EBFA" w14:textId="77777777" w:rsidR="00B44B71" w:rsidRPr="00B44B71" w:rsidRDefault="00B44B71" w:rsidP="00023291">
      <w:pPr>
        <w:tabs>
          <w:tab w:val="left" w:pos="9638"/>
        </w:tabs>
        <w:spacing w:after="0" w:line="240" w:lineRule="auto"/>
        <w:ind w:firstLine="709"/>
        <w:contextualSpacing/>
        <w:jc w:val="right"/>
        <w:rPr>
          <w:rFonts w:ascii="Times New Roman" w:eastAsia="Calibri" w:hAnsi="Times New Roman" w:cs="Times New Roman"/>
          <w:kern w:val="0"/>
          <w:sz w:val="24"/>
          <w:szCs w:val="24"/>
          <w:lang w:val="uk-UA"/>
          <w14:ligatures w14:val="none"/>
        </w:rPr>
      </w:pPr>
    </w:p>
    <w:p w14:paraId="76C1C9F5" w14:textId="7D284AEA" w:rsidR="00B44B71" w:rsidRPr="00B44B71" w:rsidRDefault="00B834E0" w:rsidP="00023291">
      <w:pPr>
        <w:tabs>
          <w:tab w:val="left" w:pos="9638"/>
        </w:tabs>
        <w:spacing w:after="0" w:line="240" w:lineRule="auto"/>
        <w:ind w:firstLine="709"/>
        <w:jc w:val="center"/>
        <w:rPr>
          <w:rFonts w:ascii="Times New Roman" w:eastAsia="Calibri" w:hAnsi="Times New Roman" w:cs="Times New Roman"/>
          <w:b/>
          <w:bCs/>
          <w:kern w:val="0"/>
          <w:sz w:val="24"/>
          <w:szCs w:val="24"/>
          <w:lang w:val="ru-RU"/>
          <w14:ligatures w14:val="none"/>
        </w:rPr>
      </w:pPr>
      <w:r w:rsidRPr="00B44B71">
        <w:rPr>
          <w:rFonts w:ascii="Times New Roman" w:eastAsia="Calibri" w:hAnsi="Times New Roman" w:cs="Times New Roman"/>
          <w:b/>
          <w:bCs/>
          <w:kern w:val="0"/>
          <w:sz w:val="24"/>
          <w:szCs w:val="24"/>
          <w:lang w:val="ru-RU"/>
          <w14:ligatures w14:val="none"/>
        </w:rPr>
        <w:t>Оцінювання професійних компетентностей та лідерських якостей кандидатів на командні посади в ЗС України: аналіз методичних підходів</w:t>
      </w:r>
    </w:p>
    <w:p w14:paraId="036DAAAD" w14:textId="77777777" w:rsidR="00B44B71" w:rsidRPr="00B44B71" w:rsidRDefault="00B44B71" w:rsidP="00023291">
      <w:pPr>
        <w:tabs>
          <w:tab w:val="left" w:pos="9638"/>
        </w:tabs>
        <w:spacing w:after="0" w:line="240" w:lineRule="auto"/>
        <w:ind w:firstLine="709"/>
        <w:contextualSpacing/>
        <w:jc w:val="both"/>
        <w:rPr>
          <w:rFonts w:ascii="Times New Roman" w:eastAsia="Calibri" w:hAnsi="Times New Roman" w:cs="Times New Roman"/>
          <w:b/>
          <w:bCs/>
          <w:kern w:val="0"/>
          <w:sz w:val="24"/>
          <w:szCs w:val="24"/>
          <w:lang w:val="uk-UA"/>
          <w14:ligatures w14:val="none"/>
        </w:rPr>
      </w:pPr>
    </w:p>
    <w:p w14:paraId="21396D44"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i/>
          <w:iCs/>
          <w:kern w:val="0"/>
          <w:sz w:val="24"/>
          <w:szCs w:val="24"/>
          <w:lang w:val="ru-RU"/>
          <w14:ligatures w14:val="none"/>
        </w:rPr>
      </w:pPr>
      <w:r w:rsidRPr="00B44B71">
        <w:rPr>
          <w:rFonts w:ascii="Times New Roman" w:eastAsia="Calibri" w:hAnsi="Times New Roman" w:cs="Times New Roman"/>
          <w:b/>
          <w:i/>
          <w:iCs/>
          <w:kern w:val="0"/>
          <w:sz w:val="24"/>
          <w:szCs w:val="24"/>
          <w:lang w:val="uk-UA"/>
          <w14:ligatures w14:val="none"/>
        </w:rPr>
        <w:t>Анотація.</w:t>
      </w:r>
      <w:r w:rsidRPr="00B44B71">
        <w:rPr>
          <w:rFonts w:ascii="Times New Roman" w:eastAsia="Calibri" w:hAnsi="Times New Roman" w:cs="Times New Roman"/>
          <w:i/>
          <w:iCs/>
          <w:kern w:val="0"/>
          <w:sz w:val="24"/>
          <w:szCs w:val="24"/>
          <w:lang w:val="uk-UA"/>
          <w14:ligatures w14:val="none"/>
        </w:rPr>
        <w:t xml:space="preserve"> </w:t>
      </w:r>
      <w:r w:rsidRPr="00B44B71">
        <w:rPr>
          <w:rFonts w:ascii="Times New Roman" w:eastAsia="Calibri" w:hAnsi="Times New Roman" w:cs="Times New Roman"/>
          <w:i/>
          <w:iCs/>
          <w:kern w:val="0"/>
          <w:sz w:val="24"/>
          <w:szCs w:val="24"/>
          <w:lang w:val="ru-RU"/>
          <w14:ligatures w14:val="none"/>
        </w:rPr>
        <w:t xml:space="preserve">У сучасних умовах широкомасштабної війни актуалізується проблема ефективного оцінювання професійних компетентностей кандидатів на командні посади у Збройних Силах України. Традиційні атестаційні підходи не завжди адекватно відображають лідерський потенціал військовослужбовців в умовах бойового стресу, високого ризику та морального тиску на підрозділ. Особливої ваги набуває комплексне врахування психологічних, моральних і управлінських чинників, що безпосередньо впливають на боєздатність та стійкість військ. Метою дослідження є аналіз наявних методичних підходів до оцінювання професійних компетентностей кандидатів на командні посади, визначення їхніх переваг і обмежень, а також розробка гібридної моделі оцінювання, адаптованої до умов сучасного оперативного середовища та заснованої на поєднанні вітчизняного і міжнародного досвіду. Методологічну основу роботи становить комплексний підхід, що включає аналіз нормативно-доктринальних документів, порівняльний аналіз національних і зарубіжних практик, огляд психодіагностичних, атестаційних і компетентнісно орієнтованих методик. Для узагальнення результатів використано експертні оцінки та класифікаційний підхід до виокремлення ключових компетентностей військових керівників. </w:t>
      </w:r>
    </w:p>
    <w:p w14:paraId="332188F2"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i/>
          <w:iCs/>
          <w:kern w:val="0"/>
          <w:sz w:val="24"/>
          <w:szCs w:val="24"/>
          <w:lang w:val="ru-RU"/>
          <w14:ligatures w14:val="none"/>
        </w:rPr>
      </w:pPr>
      <w:r w:rsidRPr="00B44B71">
        <w:rPr>
          <w:rFonts w:ascii="Times New Roman" w:eastAsia="Calibri" w:hAnsi="Times New Roman" w:cs="Times New Roman"/>
          <w:i/>
          <w:iCs/>
          <w:kern w:val="0"/>
          <w:sz w:val="24"/>
          <w:szCs w:val="24"/>
          <w:lang w:val="ru-RU"/>
          <w14:ligatures w14:val="none"/>
        </w:rPr>
        <w:t xml:space="preserve">У ході дослідження визначено основні блоки критично важливих компетентностей командного складу: управлінські, психологічно-резилієнтні, комунікативно-лідерські та морально-етичні. Запропоновано гібридну модель оцінювання, яка поєднує психодіагностичні інструменти, ситуативні тактичні завдання та експертне спостереження в умовах, наближених до бойових. Окрему увагу приділено проблемним аспектам, зокрема оцінюванню морального авторитету командира та рівня довіри підлеглих як ключових індикаторів ефективного військового лідерства. </w:t>
      </w:r>
    </w:p>
    <w:p w14:paraId="288F6B15"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i/>
          <w:iCs/>
          <w:kern w:val="0"/>
          <w:sz w:val="24"/>
          <w:szCs w:val="24"/>
          <w:lang w:val="ru-RU"/>
          <w14:ligatures w14:val="none"/>
        </w:rPr>
      </w:pPr>
      <w:r w:rsidRPr="00B44B71">
        <w:rPr>
          <w:rFonts w:ascii="Times New Roman" w:eastAsia="Calibri" w:hAnsi="Times New Roman" w:cs="Times New Roman"/>
          <w:i/>
          <w:iCs/>
          <w:kern w:val="0"/>
          <w:sz w:val="24"/>
          <w:szCs w:val="24"/>
          <w:lang w:val="ru-RU"/>
          <w14:ligatures w14:val="none"/>
        </w:rPr>
        <w:t>Результати дослідження можуть бути використані кадровими органами, військовими навчальними закладами та командирами підрозділів для удосконалення відбору кандидатів на командні посади, розробки адаптивних програм підготовки та підвищення бойової ефективності підрозділів у сучасних бойових умовах.</w:t>
      </w:r>
    </w:p>
    <w:p w14:paraId="210BBCD4"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i/>
          <w:iCs/>
          <w:kern w:val="0"/>
          <w:sz w:val="24"/>
          <w:szCs w:val="24"/>
          <w:lang w:val="uk-UA"/>
          <w14:ligatures w14:val="none"/>
        </w:rPr>
      </w:pPr>
      <w:r w:rsidRPr="00B44B71">
        <w:rPr>
          <w:rFonts w:ascii="Times New Roman" w:eastAsia="Calibri" w:hAnsi="Times New Roman" w:cs="Times New Roman"/>
          <w:b/>
          <w:bCs/>
          <w:i/>
          <w:iCs/>
          <w:kern w:val="0"/>
          <w:sz w:val="24"/>
          <w:szCs w:val="24"/>
          <w:lang w:val="ru-RU"/>
          <w14:ligatures w14:val="none"/>
        </w:rPr>
        <w:t>Ключові слова:</w:t>
      </w:r>
      <w:r w:rsidRPr="00B44B71">
        <w:rPr>
          <w:rFonts w:ascii="Times New Roman" w:eastAsia="Calibri" w:hAnsi="Times New Roman" w:cs="Times New Roman"/>
          <w:i/>
          <w:iCs/>
          <w:kern w:val="0"/>
          <w:sz w:val="24"/>
          <w:szCs w:val="24"/>
          <w:lang w:val="ru-RU"/>
          <w14:ligatures w14:val="none"/>
        </w:rPr>
        <w:t xml:space="preserve"> військове лідерство, командні компетентності, оцінювання, гібридна модель, психодіагностика, бойова лідерська надійність, моральний авторитет</w:t>
      </w:r>
      <w:r w:rsidRPr="00B44B71">
        <w:rPr>
          <w:rFonts w:ascii="Times New Roman" w:eastAsia="Calibri" w:hAnsi="Times New Roman" w:cs="Times New Roman"/>
          <w:i/>
          <w:iCs/>
          <w:kern w:val="0"/>
          <w:sz w:val="24"/>
          <w:szCs w:val="24"/>
          <w:lang w:val="uk-UA"/>
          <w14:ligatures w14:val="none"/>
        </w:rPr>
        <w:t>.</w:t>
      </w:r>
    </w:p>
    <w:p w14:paraId="5A57CD55"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b/>
          <w:bCs/>
          <w:i/>
          <w:iCs/>
          <w:kern w:val="0"/>
          <w:sz w:val="24"/>
          <w:szCs w:val="24"/>
          <w:lang w:val="uk-UA"/>
          <w14:ligatures w14:val="none"/>
        </w:rPr>
      </w:pPr>
    </w:p>
    <w:p w14:paraId="756D182F"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b/>
          <w:bCs/>
          <w:kern w:val="0"/>
          <w:sz w:val="28"/>
          <w:szCs w:val="28"/>
          <w14:ligatures w14:val="none"/>
        </w:rPr>
      </w:pPr>
      <w:r w:rsidRPr="00B44B71">
        <w:rPr>
          <w:rFonts w:ascii="Times New Roman" w:eastAsia="Calibri" w:hAnsi="Times New Roman" w:cs="Times New Roman"/>
          <w:b/>
          <w:bCs/>
          <w:kern w:val="0"/>
          <w:sz w:val="28"/>
          <w:szCs w:val="28"/>
          <w14:ligatures w14:val="none"/>
        </w:rPr>
        <w:t>Introduction</w:t>
      </w:r>
    </w:p>
    <w:p w14:paraId="7545A8E6"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In the context of full-scale armed aggression against Ukraine, effective military management increasingly depends on the professional competence of command personnel. Appointment to command positions requires assessment of military professional training alongside managerial, psychological, leadership, and moral-</w:t>
      </w:r>
      <w:r w:rsidRPr="00B44B71">
        <w:rPr>
          <w:rFonts w:ascii="Times New Roman" w:eastAsia="Calibri" w:hAnsi="Times New Roman" w:cs="Times New Roman"/>
          <w:kern w:val="0"/>
          <w:sz w:val="28"/>
          <w:szCs w:val="28"/>
          <w:lang w:val="uk-UA"/>
          <w14:ligatures w14:val="none"/>
        </w:rPr>
        <w:lastRenderedPageBreak/>
        <w:t>ethical characteristics essential for performing command functions under combat stress, high risk, and rapidly changing operational situations.</w:t>
      </w:r>
    </w:p>
    <w:p w14:paraId="0C6D7A11"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Modern warfare necessitates a shift from formal qualification-based approaches to a competency-based assessment model focused on real readiness for managerial decision-making, responsibility, and adaptability. However, existing assessment methods in the Armed Forces of Ukraine remain fragmented, primarily verifying knowledge and length of service while insufficiently addressing psychological, socio-communicative, and leadership aspects (Buzid, 2024; Diak, Markova, &amp; Volobuev, 2024; Volobuev, Veretilnyk, &amp; Hnydiuk, 2024). The lack of unified methodological approaches, combined with insufficient validity of assessment tools, reduces the effectiveness of personnel decisions and creates risks of appointing individuals unprepared for command under combat conditions (Punda &amp; Antonenko, 2017; Uvarkina &amp; Puchkov, 2022; Zaluzhnyi, Nazarov, &amp; Hryshchuk, 2023). As Grant (2020) notes, Ukraine is searching for a new paradigm of military leadership, but formal approaches that do not account for the realities of hybrid and full-scale war still dominate.</w:t>
      </w:r>
    </w:p>
    <w:p w14:paraId="5EF0910D"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Military leadership is recognized as a system-forming factor in unit combat capability. Regulatory documents define leadership as an integrated quality encompassing competence, personal example, psychological resilience, and responsibility for personnel, yet methods for comprehensive assessment remain underdeveloped (Main Department of Doctrine and Training of the General Staff of the Armed Forces of Ukraine, 2020; General Staff of the Armed Forces of Ukraine, 2025; Leadership Development Department of the Main Personnel Directorate of the General Staff of the Armed Forces of Ukraine, 2025).</w:t>
      </w:r>
    </w:p>
    <w:p w14:paraId="4DF98660"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Psychological and pedagogical aspects of leadership have been explored by several scholars (Piren, 2012; Krymets, 2019; Karpenko, 2021; Ryndin, 2024), while Poltieva (2023) emphasizes the need for psychometric methods adapted to combat conditions. Tkach (2021) links military leadership to strategic communications. However, most studies focus on developing leadership qualities rather than assessment instruments.</w:t>
      </w:r>
    </w:p>
    <w:p w14:paraId="78A4E4DE"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Foreign research analyzes military leadership through behavioral, charismatic, and adaptive theories (Conger &amp; Kanungo, 1994; DeRue, Nahrgang, Wellman, &amp; Humphrey, 2011). Recent studies reveal the role of adaptive leadership under hybrid threats (Leka &amp; Karasani, 2025; Cîrdei &amp; Alixandrescu, 2025; Navas-Jiménez, Rico, Molero, &amp; Alcover, 2024). Doctrinal documents of the US and UK armies emphasize systemic approaches to leadership development but do not offer universal assessment tools (Department of the Army, 2006, 2023; Ministry of Defence of the United Kingdom, 2021). Meanwhile, Chystiakova (2011) notes that the United Kingdom has successfully applied cooperative leadership technology, which could be useful for adaptation in Ukraine.</w:t>
      </w:r>
    </w:p>
    <w:p w14:paraId="68ED0A3D"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Thus, while theoretical understanding of military leadership is sufficiently developed, the problem of scientifically substantiated methods for assessing </w:t>
      </w:r>
      <w:r w:rsidRPr="00B44B71">
        <w:rPr>
          <w:rFonts w:ascii="Times New Roman" w:eastAsia="Calibri" w:hAnsi="Times New Roman" w:cs="Times New Roman"/>
          <w:kern w:val="0"/>
          <w:sz w:val="28"/>
          <w:szCs w:val="28"/>
          <w:lang w:val="uk-UA"/>
          <w14:ligatures w14:val="none"/>
        </w:rPr>
        <w:lastRenderedPageBreak/>
        <w:t>professional competencies of candidates for command positions remains unresolved (Punda &amp; Antonenko, 2017; Uvarkina &amp; Puchkov, 2022).</w:t>
      </w:r>
    </w:p>
    <w:p w14:paraId="68AEAE15"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The purpose of this article is to analyze existing methodological approaches to assessing professional competencies of candidates for command positions in the Armed Forces of Ukraine, determine their limitations, and propose an authorial hybrid assessment model that takes into account the specifics of combat operations and the psychological and leadership characteristics of a modern commander.</w:t>
      </w:r>
    </w:p>
    <w:p w14:paraId="4EC5F051" w14:textId="3DA73D12" w:rsidR="00B44B71" w:rsidRPr="00B44B71" w:rsidRDefault="00B44B71" w:rsidP="00383A80">
      <w:pPr>
        <w:tabs>
          <w:tab w:val="left" w:pos="9638"/>
        </w:tabs>
        <w:spacing w:after="0" w:line="240" w:lineRule="auto"/>
        <w:ind w:firstLine="709"/>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b/>
          <w:bCs/>
          <w:kern w:val="0"/>
          <w:sz w:val="28"/>
          <w:szCs w:val="28"/>
          <w:shd w:val="clear" w:color="auto" w:fill="FFFFFF"/>
          <w14:ligatures w14:val="none"/>
        </w:rPr>
        <w:t>Methods</w:t>
      </w:r>
      <w:r w:rsidR="00383A80">
        <w:rPr>
          <w:rFonts w:ascii="Times New Roman" w:eastAsia="Calibri" w:hAnsi="Times New Roman" w:cs="Times New Roman"/>
          <w:kern w:val="0"/>
          <w:sz w:val="28"/>
          <w:szCs w:val="28"/>
          <w:lang w:val="uk-UA"/>
          <w14:ligatures w14:val="none"/>
        </w:rPr>
        <w:t xml:space="preserve">. </w:t>
      </w:r>
      <w:r w:rsidRPr="00B44B71">
        <w:rPr>
          <w:rFonts w:ascii="Times New Roman" w:eastAsia="Calibri" w:hAnsi="Times New Roman" w:cs="Times New Roman"/>
          <w:kern w:val="0"/>
          <w:sz w:val="28"/>
          <w:szCs w:val="28"/>
          <w14:ligatures w14:val="none"/>
        </w:rPr>
        <w:t>This study employed a comprehensive methodological framework combining theoretical analysis, comparative legal analysis, and synthesis of empirical findings. The research included: (1) analysis of normative and doctrinal documents regulating military leadership and personnel assessment in the Armed Forces of Ukraine and NATO member states; (2) comparative analysis of domestic and foreign methodological approaches to assessing professional competencies of command personnel; (3) review of psychodiagnostic, certification, and competency-based assessment tools; (4) generalization of expert evaluations obtained through interviews with 12 military personnel holding command positions (colonels and lieutenant colonels with combat experience) regarding the validity and limitations of existing assessment procedures; (5) classification and systematization of key competency blocks for command staff under wartime conditions. The proposed hybrid assessment model was developed through synthesis of identified best practices and adaptation to the specifics of modern combat operations.</w:t>
      </w:r>
    </w:p>
    <w:p w14:paraId="37631812" w14:textId="6518DA44" w:rsidR="00B44B71" w:rsidRPr="00B6038D" w:rsidRDefault="00B44B71" w:rsidP="00B6038D">
      <w:pPr>
        <w:tabs>
          <w:tab w:val="left" w:pos="9638"/>
        </w:tabs>
        <w:spacing w:after="0" w:line="240" w:lineRule="auto"/>
        <w:ind w:firstLine="709"/>
        <w:jc w:val="both"/>
        <w:rPr>
          <w:rFonts w:ascii="Times New Roman" w:eastAsia="Calibri" w:hAnsi="Times New Roman" w:cs="Times New Roman"/>
          <w:b/>
          <w:bCs/>
          <w:kern w:val="0"/>
          <w:sz w:val="28"/>
          <w:szCs w:val="28"/>
          <w14:ligatures w14:val="none"/>
        </w:rPr>
      </w:pPr>
      <w:r w:rsidRPr="00B44B71">
        <w:rPr>
          <w:rFonts w:ascii="Times New Roman" w:eastAsia="Calibri" w:hAnsi="Times New Roman" w:cs="Times New Roman"/>
          <w:b/>
          <w:bCs/>
          <w:kern w:val="0"/>
          <w:sz w:val="28"/>
          <w:szCs w:val="28"/>
          <w14:ligatures w14:val="none"/>
        </w:rPr>
        <w:t>Results</w:t>
      </w:r>
      <w:r w:rsidRPr="00B44B71">
        <w:rPr>
          <w:rFonts w:ascii="Times New Roman" w:eastAsia="Calibri" w:hAnsi="Times New Roman" w:cs="Times New Roman"/>
          <w:b/>
          <w:bCs/>
          <w:kern w:val="0"/>
          <w:sz w:val="28"/>
          <w:szCs w:val="28"/>
          <w:lang w:val="uk-UA"/>
          <w14:ligatures w14:val="none"/>
        </w:rPr>
        <w:t xml:space="preserve"> </w:t>
      </w:r>
      <w:r w:rsidRPr="00B44B71">
        <w:rPr>
          <w:rFonts w:ascii="Times New Roman" w:eastAsia="Calibri" w:hAnsi="Times New Roman" w:cs="Times New Roman"/>
          <w:b/>
          <w:bCs/>
          <w:kern w:val="0"/>
          <w:sz w:val="28"/>
          <w:szCs w:val="28"/>
          <w14:ligatures w14:val="none"/>
        </w:rPr>
        <w:t xml:space="preserve">and </w:t>
      </w:r>
      <w:r w:rsidRPr="00B44B71">
        <w:rPr>
          <w:rFonts w:ascii="Times New Roman" w:eastAsia="Calibri" w:hAnsi="Times New Roman" w:cs="Times New Roman"/>
          <w:b/>
          <w:bCs/>
          <w:kern w:val="0"/>
          <w:sz w:val="28"/>
          <w:szCs w:val="28"/>
          <w:lang w:val="uk-UA"/>
          <w14:ligatures w14:val="none"/>
        </w:rPr>
        <w:t>Discussion</w:t>
      </w:r>
      <w:r w:rsidR="00383A80">
        <w:rPr>
          <w:rFonts w:ascii="Times New Roman" w:eastAsia="Calibri" w:hAnsi="Times New Roman" w:cs="Times New Roman"/>
          <w:b/>
          <w:bCs/>
          <w:kern w:val="0"/>
          <w:sz w:val="28"/>
          <w:szCs w:val="28"/>
          <w:lang w:val="uk-UA"/>
          <w14:ligatures w14:val="none"/>
        </w:rPr>
        <w:t xml:space="preserve">. </w:t>
      </w:r>
      <w:r w:rsidRPr="00B44B71">
        <w:rPr>
          <w:rFonts w:ascii="Times New Roman" w:eastAsia="Calibri" w:hAnsi="Times New Roman" w:cs="Times New Roman"/>
          <w:kern w:val="0"/>
          <w:sz w:val="28"/>
          <w:szCs w:val="28"/>
          <w:lang w:val="uk-UA"/>
          <w14:ligatures w14:val="none"/>
        </w:rPr>
        <w:t>In modern military science, military leadership is understood as a complex of managerial, psychological, and moral-ethical characteristics that enable a commander to effectively lead subordinates and achieve assigned tasks under conditions of high uncertainty and risk (Buzid, 2024; Willink, 2021).</w:t>
      </w:r>
    </w:p>
    <w:p w14:paraId="6F9F376A"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The main approaches to defining military leadership in academic literature include:</w:t>
      </w:r>
    </w:p>
    <w:p w14:paraId="4A1DC549" w14:textId="77777777" w:rsidR="00B44B71" w:rsidRPr="00B44B71" w:rsidRDefault="00B44B71" w:rsidP="00A93E7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b/>
          <w:bCs/>
          <w:kern w:val="0"/>
          <w:sz w:val="28"/>
          <w:szCs w:val="28"/>
          <w:lang w:val="uk-UA"/>
          <w14:ligatures w14:val="none"/>
        </w:rPr>
        <w:t>Competency-based approach</w:t>
      </w:r>
      <w:r w:rsidRPr="00B44B71">
        <w:rPr>
          <w:rFonts w:ascii="Times New Roman" w:eastAsia="Calibri" w:hAnsi="Times New Roman" w:cs="Times New Roman"/>
          <w:kern w:val="0"/>
          <w:sz w:val="28"/>
          <w:szCs w:val="28"/>
          <w:lang w:val="uk-UA"/>
          <w14:ligatures w14:val="none"/>
        </w:rPr>
        <w:t> – leadership as a set of professional and managerial competencies that enable task execution, decision-making, and motivation of subordinates (Diak, Markova, &amp; Volobuev, 2024; General Staff of the Armed Forces of Ukraine, 2025).</w:t>
      </w:r>
    </w:p>
    <w:p w14:paraId="73264B05" w14:textId="77777777" w:rsidR="00B44B71" w:rsidRPr="00B44B71" w:rsidRDefault="00B44B71" w:rsidP="00A93E7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b/>
          <w:bCs/>
          <w:kern w:val="0"/>
          <w:sz w:val="28"/>
          <w:szCs w:val="28"/>
          <w:lang w:val="uk-UA"/>
          <w14:ligatures w14:val="none"/>
        </w:rPr>
        <w:t>Behavioral and personality approach</w:t>
      </w:r>
      <w:r w:rsidRPr="00B44B71">
        <w:rPr>
          <w:rFonts w:ascii="Times New Roman" w:eastAsia="Calibri" w:hAnsi="Times New Roman" w:cs="Times New Roman"/>
          <w:kern w:val="0"/>
          <w:sz w:val="28"/>
          <w:szCs w:val="28"/>
          <w:lang w:val="uk-UA"/>
          <w14:ligatures w14:val="none"/>
        </w:rPr>
        <w:t> – emphasis on personal traits and behavioral models that influence management effectiveness (Conger &amp; Kanungo, 1994; DeRue, Nahrgang, Wellman, &amp; Humphrey, 2011).</w:t>
      </w:r>
    </w:p>
    <w:p w14:paraId="1F19064A" w14:textId="77777777" w:rsidR="00B44B71" w:rsidRPr="00B44B71" w:rsidRDefault="00B44B71" w:rsidP="00A93E7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b/>
          <w:bCs/>
          <w:kern w:val="0"/>
          <w:sz w:val="28"/>
          <w:szCs w:val="28"/>
          <w:lang w:val="uk-UA"/>
          <w14:ligatures w14:val="none"/>
        </w:rPr>
        <w:t>Situational approach</w:t>
      </w:r>
      <w:r w:rsidRPr="00B44B71">
        <w:rPr>
          <w:rFonts w:ascii="Times New Roman" w:eastAsia="Calibri" w:hAnsi="Times New Roman" w:cs="Times New Roman"/>
          <w:kern w:val="0"/>
          <w:sz w:val="28"/>
          <w:szCs w:val="28"/>
          <w:lang w:val="uk-UA"/>
          <w14:ligatures w14:val="none"/>
        </w:rPr>
        <w:t> – leadership defined as the ability to adapt to specific conditions, circumstances, and levels of combat intensity (Volobuev, Veretilnyk, &amp; Hnydiuk, 2024; Teixeira, 2024).</w:t>
      </w:r>
    </w:p>
    <w:p w14:paraId="1E1307F2" w14:textId="77777777" w:rsidR="00B44B71" w:rsidRPr="00B44B71" w:rsidRDefault="00B44B71" w:rsidP="00A93E7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b/>
          <w:bCs/>
          <w:kern w:val="0"/>
          <w:sz w:val="28"/>
          <w:szCs w:val="28"/>
          <w:lang w:val="uk-UA"/>
          <w14:ligatures w14:val="none"/>
        </w:rPr>
        <w:t>Psychological-ethical approach</w:t>
      </w:r>
      <w:r w:rsidRPr="00B44B71">
        <w:rPr>
          <w:rFonts w:ascii="Times New Roman" w:eastAsia="Calibri" w:hAnsi="Times New Roman" w:cs="Times New Roman"/>
          <w:kern w:val="0"/>
          <w:sz w:val="28"/>
          <w:szCs w:val="28"/>
          <w:lang w:val="uk-UA"/>
          <w14:ligatures w14:val="none"/>
        </w:rPr>
        <w:t> – focus on moral authority, subordinates' trust, and the commander's psychological stability (Piren, 2012; Romanovskyi &amp; Sereda, 2013).</w:t>
      </w:r>
    </w:p>
    <w:p w14:paraId="5B249831" w14:textId="77777777" w:rsidR="00B44B71" w:rsidRPr="00B44B71" w:rsidRDefault="00B44B71" w:rsidP="00A93E71">
      <w:pPr>
        <w:tabs>
          <w:tab w:val="left" w:pos="9638"/>
        </w:tabs>
        <w:spacing w:after="0" w:line="240" w:lineRule="auto"/>
        <w:ind w:firstLine="709"/>
        <w:jc w:val="both"/>
        <w:rPr>
          <w:rFonts w:ascii="Times New Roman" w:eastAsia="Calibri" w:hAnsi="Times New Roman" w:cs="Times New Roman"/>
          <w:spacing w:val="-2"/>
          <w:kern w:val="0"/>
          <w:sz w:val="28"/>
          <w:szCs w:val="28"/>
          <w:lang w:val="uk-UA"/>
          <w14:ligatures w14:val="none"/>
        </w:rPr>
      </w:pPr>
      <w:r w:rsidRPr="00B44B71">
        <w:rPr>
          <w:rFonts w:ascii="Times New Roman" w:eastAsia="Calibri" w:hAnsi="Times New Roman" w:cs="Times New Roman"/>
          <w:b/>
          <w:bCs/>
          <w:spacing w:val="-2"/>
          <w:kern w:val="0"/>
          <w:sz w:val="28"/>
          <w:szCs w:val="28"/>
          <w:lang w:val="uk-UA"/>
          <w14:ligatures w14:val="none"/>
        </w:rPr>
        <w:t>International doctrinal approaches</w:t>
      </w:r>
      <w:r w:rsidRPr="00B44B71">
        <w:rPr>
          <w:rFonts w:ascii="Times New Roman" w:eastAsia="Calibri" w:hAnsi="Times New Roman" w:cs="Times New Roman"/>
          <w:spacing w:val="-2"/>
          <w:kern w:val="0"/>
          <w:sz w:val="28"/>
          <w:szCs w:val="28"/>
          <w:lang w:val="uk-UA"/>
          <w14:ligatures w14:val="none"/>
        </w:rPr>
        <w:t xml:space="preserve"> – leadership defined through NATO standards, integration into the Euro-Atlantic security space, resilience to hybrid threats, </w:t>
      </w:r>
      <w:r w:rsidRPr="00B44B71">
        <w:rPr>
          <w:rFonts w:ascii="Times New Roman" w:eastAsia="Calibri" w:hAnsi="Times New Roman" w:cs="Times New Roman"/>
          <w:spacing w:val="-2"/>
          <w:kern w:val="0"/>
          <w:sz w:val="28"/>
          <w:szCs w:val="28"/>
          <w:lang w:val="uk-UA"/>
          <w14:ligatures w14:val="none"/>
        </w:rPr>
        <w:lastRenderedPageBreak/>
        <w:t>and command-operational effectiveness (Department of the Army, 2006; Ministry of Defence of the United Kingdom, 2021; Cîrdei &amp; Alixandrescu, 2025).</w:t>
      </w:r>
    </w:p>
    <w:p w14:paraId="70691F92" w14:textId="3646A541" w:rsidR="00B44B71" w:rsidRPr="00B6038D" w:rsidRDefault="00B44B71" w:rsidP="00B6038D">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14:ligatures w14:val="none"/>
        </w:rPr>
        <w:t>These approaches are summarized in Table 1.</w:t>
      </w:r>
    </w:p>
    <w:p w14:paraId="0BED1290" w14:textId="77777777" w:rsidR="00B44B71" w:rsidRPr="00B44B71" w:rsidRDefault="00B44B71" w:rsidP="00023291">
      <w:pPr>
        <w:tabs>
          <w:tab w:val="left" w:pos="9638"/>
        </w:tabs>
        <w:spacing w:after="0" w:line="240" w:lineRule="auto"/>
        <w:ind w:firstLine="709"/>
        <w:jc w:val="right"/>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14:ligatures w14:val="none"/>
        </w:rPr>
        <w:t xml:space="preserve">Table 1 </w:t>
      </w:r>
    </w:p>
    <w:p w14:paraId="20EDCECB" w14:textId="77777777" w:rsidR="00B44B71" w:rsidRPr="00B44B71" w:rsidRDefault="00B44B71" w:rsidP="00023291">
      <w:pPr>
        <w:tabs>
          <w:tab w:val="left" w:pos="9638"/>
        </w:tabs>
        <w:spacing w:after="0" w:line="240" w:lineRule="auto"/>
        <w:ind w:firstLine="709"/>
        <w:jc w:val="center"/>
        <w:rPr>
          <w:rFonts w:ascii="Times New Roman" w:eastAsia="Calibri" w:hAnsi="Times New Roman" w:cs="Times New Roman"/>
          <w:b/>
          <w:bCs/>
          <w:kern w:val="0"/>
          <w:sz w:val="28"/>
          <w:szCs w:val="28"/>
          <w14:ligatures w14:val="none"/>
        </w:rPr>
      </w:pPr>
      <w:r w:rsidRPr="00B44B71">
        <w:rPr>
          <w:rFonts w:ascii="Times New Roman" w:eastAsia="Calibri" w:hAnsi="Times New Roman" w:cs="Times New Roman"/>
          <w:b/>
          <w:bCs/>
          <w:kern w:val="0"/>
          <w:sz w:val="28"/>
          <w:szCs w:val="28"/>
          <w14:ligatures w14:val="none"/>
        </w:rPr>
        <w:t>Comparative analysis of the main approaches to defining the concept of “military leadership”</w:t>
      </w:r>
    </w:p>
    <w:tbl>
      <w:tblPr>
        <w:tblStyle w:val="7"/>
        <w:tblW w:w="9634" w:type="dxa"/>
        <w:tblLayout w:type="fixed"/>
        <w:tblLook w:val="04A0" w:firstRow="1" w:lastRow="0" w:firstColumn="1" w:lastColumn="0" w:noHBand="0" w:noVBand="1"/>
      </w:tblPr>
      <w:tblGrid>
        <w:gridCol w:w="1271"/>
        <w:gridCol w:w="2835"/>
        <w:gridCol w:w="5528"/>
      </w:tblGrid>
      <w:tr w:rsidR="00B44B71" w:rsidRPr="00B44B71" w14:paraId="370333DB" w14:textId="77777777" w:rsidTr="00F918EC">
        <w:tc>
          <w:tcPr>
            <w:tcW w:w="1271" w:type="dxa"/>
            <w:vAlign w:val="center"/>
          </w:tcPr>
          <w:p w14:paraId="5E23093A" w14:textId="77777777" w:rsidR="00B44B71" w:rsidRPr="00B44B71" w:rsidRDefault="00B44B71" w:rsidP="00B6038D">
            <w:pPr>
              <w:tabs>
                <w:tab w:val="left" w:pos="9638"/>
              </w:tabs>
              <w:jc w:val="both"/>
              <w:rPr>
                <w:rFonts w:ascii="Times New Roman" w:eastAsia="Calibri" w:hAnsi="Times New Roman" w:cs="Times New Roman"/>
                <w:b/>
                <w:bCs/>
              </w:rPr>
            </w:pPr>
            <w:r w:rsidRPr="00B44B71">
              <w:rPr>
                <w:rFonts w:ascii="Times New Roman" w:eastAsia="Times New Roman" w:hAnsi="Times New Roman" w:cs="Times New Roman"/>
                <w:b/>
                <w:bCs/>
                <w:lang w:eastAsia="ru-RU"/>
              </w:rPr>
              <w:t>Approach</w:t>
            </w:r>
          </w:p>
        </w:tc>
        <w:tc>
          <w:tcPr>
            <w:tcW w:w="2835" w:type="dxa"/>
            <w:vAlign w:val="center"/>
          </w:tcPr>
          <w:p w14:paraId="0125DADA" w14:textId="77777777" w:rsidR="00B44B71" w:rsidRPr="00B44B71" w:rsidRDefault="00B44B71" w:rsidP="00B6038D">
            <w:pPr>
              <w:tabs>
                <w:tab w:val="left" w:pos="9638"/>
              </w:tabs>
              <w:jc w:val="both"/>
              <w:rPr>
                <w:rFonts w:ascii="Times New Roman" w:eastAsia="Calibri" w:hAnsi="Times New Roman" w:cs="Times New Roman"/>
                <w:b/>
                <w:bCs/>
              </w:rPr>
            </w:pPr>
            <w:r w:rsidRPr="00B44B71">
              <w:rPr>
                <w:rFonts w:ascii="Times New Roman" w:eastAsia="Times New Roman" w:hAnsi="Times New Roman" w:cs="Times New Roman"/>
                <w:b/>
                <w:bCs/>
                <w:lang w:eastAsia="ru-RU"/>
              </w:rPr>
              <w:t>Main characteristics</w:t>
            </w:r>
          </w:p>
        </w:tc>
        <w:tc>
          <w:tcPr>
            <w:tcW w:w="5528" w:type="dxa"/>
            <w:vAlign w:val="center"/>
          </w:tcPr>
          <w:p w14:paraId="24499C70" w14:textId="77777777" w:rsidR="00B44B71" w:rsidRPr="00B44B71" w:rsidRDefault="00B44B71" w:rsidP="00B6038D">
            <w:pPr>
              <w:tabs>
                <w:tab w:val="left" w:pos="9638"/>
              </w:tabs>
              <w:ind w:firstLine="4"/>
              <w:jc w:val="both"/>
              <w:rPr>
                <w:rFonts w:ascii="Times New Roman" w:eastAsia="Calibri" w:hAnsi="Times New Roman" w:cs="Times New Roman"/>
                <w:b/>
                <w:bCs/>
              </w:rPr>
            </w:pPr>
            <w:r w:rsidRPr="00B44B71">
              <w:rPr>
                <w:rFonts w:ascii="Times New Roman" w:eastAsia="Times New Roman" w:hAnsi="Times New Roman" w:cs="Times New Roman"/>
                <w:b/>
                <w:bCs/>
                <w:lang w:eastAsia="ru-RU"/>
              </w:rPr>
              <w:t>Authors/sources</w:t>
            </w:r>
          </w:p>
        </w:tc>
      </w:tr>
      <w:tr w:rsidR="00B44B71" w:rsidRPr="00B44B71" w14:paraId="66731EBA" w14:textId="77777777" w:rsidTr="00F918EC">
        <w:tc>
          <w:tcPr>
            <w:tcW w:w="1271" w:type="dxa"/>
            <w:vAlign w:val="center"/>
          </w:tcPr>
          <w:p w14:paraId="10E91C42" w14:textId="77777777" w:rsidR="00B44B71" w:rsidRPr="00B44B71" w:rsidRDefault="00B44B71" w:rsidP="00B6038D">
            <w:pPr>
              <w:tabs>
                <w:tab w:val="left" w:pos="9638"/>
              </w:tabs>
              <w:ind w:right="-111"/>
              <w:jc w:val="both"/>
              <w:rPr>
                <w:rFonts w:ascii="Times New Roman" w:eastAsia="Calibri" w:hAnsi="Times New Roman" w:cs="Times New Roman"/>
                <w:b/>
                <w:bCs/>
              </w:rPr>
            </w:pPr>
            <w:r w:rsidRPr="00B44B71">
              <w:rPr>
                <w:rFonts w:ascii="Times New Roman" w:eastAsia="Times New Roman" w:hAnsi="Times New Roman" w:cs="Times New Roman"/>
                <w:lang w:eastAsia="ru-RU"/>
              </w:rPr>
              <w:t>Competency-based</w:t>
            </w:r>
          </w:p>
        </w:tc>
        <w:tc>
          <w:tcPr>
            <w:tcW w:w="2835" w:type="dxa"/>
            <w:vAlign w:val="center"/>
          </w:tcPr>
          <w:p w14:paraId="59EDDAE7" w14:textId="77777777" w:rsidR="00B44B71" w:rsidRPr="003C3582" w:rsidRDefault="00B44B71" w:rsidP="00B6038D">
            <w:pPr>
              <w:tabs>
                <w:tab w:val="left" w:pos="9638"/>
              </w:tabs>
              <w:jc w:val="both"/>
              <w:rPr>
                <w:rFonts w:ascii="Times New Roman" w:eastAsia="Calibri" w:hAnsi="Times New Roman" w:cs="Times New Roman"/>
                <w:b/>
                <w:bCs/>
                <w:lang w:val="en-US"/>
              </w:rPr>
            </w:pPr>
            <w:r w:rsidRPr="003C3582">
              <w:rPr>
                <w:rFonts w:ascii="Times New Roman" w:eastAsia="Times New Roman" w:hAnsi="Times New Roman" w:cs="Times New Roman"/>
                <w:lang w:val="en-US" w:eastAsia="ru-RU"/>
              </w:rPr>
              <w:t>Set of professional and managerial competencies; focus on task effectiveness</w:t>
            </w:r>
          </w:p>
        </w:tc>
        <w:tc>
          <w:tcPr>
            <w:tcW w:w="5528" w:type="dxa"/>
            <w:vAlign w:val="center"/>
          </w:tcPr>
          <w:p w14:paraId="14F3C256" w14:textId="77777777" w:rsidR="00B44B71" w:rsidRPr="003C3582" w:rsidRDefault="00B44B71" w:rsidP="00B6038D">
            <w:pPr>
              <w:tabs>
                <w:tab w:val="left" w:pos="9638"/>
              </w:tabs>
              <w:ind w:firstLine="4"/>
              <w:jc w:val="both"/>
              <w:rPr>
                <w:rFonts w:ascii="Times New Roman" w:eastAsia="Calibri" w:hAnsi="Times New Roman" w:cs="Times New Roman"/>
                <w:b/>
                <w:bCs/>
                <w:lang w:val="en-US"/>
              </w:rPr>
            </w:pPr>
            <w:r w:rsidRPr="003C3582">
              <w:rPr>
                <w:rFonts w:ascii="Times New Roman" w:eastAsia="Times New Roman" w:hAnsi="Times New Roman" w:cs="Times New Roman"/>
                <w:lang w:val="en-US" w:eastAsia="ru-RU"/>
              </w:rPr>
              <w:t>V. Diak, S. Markova, V. Volobuev (Diak, Markova, &amp; Volobuev, 2024); Catalogue of Military Professional Competencies (General Staff of the Armed Forces of Ukraine, 2025)</w:t>
            </w:r>
          </w:p>
        </w:tc>
      </w:tr>
      <w:tr w:rsidR="00B44B71" w:rsidRPr="00B44B71" w14:paraId="1A7C4EEC" w14:textId="77777777" w:rsidTr="00F918EC">
        <w:tc>
          <w:tcPr>
            <w:tcW w:w="1271" w:type="dxa"/>
            <w:vAlign w:val="center"/>
          </w:tcPr>
          <w:p w14:paraId="696EBC54" w14:textId="77777777" w:rsidR="00B44B71" w:rsidRPr="00B44B71" w:rsidRDefault="00B44B71" w:rsidP="00B6038D">
            <w:pPr>
              <w:tabs>
                <w:tab w:val="left" w:pos="9638"/>
              </w:tabs>
              <w:jc w:val="both"/>
              <w:rPr>
                <w:rFonts w:ascii="Times New Roman" w:eastAsia="Calibri" w:hAnsi="Times New Roman" w:cs="Times New Roman"/>
                <w:b/>
                <w:bCs/>
              </w:rPr>
            </w:pPr>
            <w:r w:rsidRPr="00B44B71">
              <w:rPr>
                <w:rFonts w:ascii="Times New Roman" w:eastAsia="Times New Roman" w:hAnsi="Times New Roman" w:cs="Times New Roman"/>
                <w:lang w:eastAsia="ru-RU"/>
              </w:rPr>
              <w:t>Behavioral/personality</w:t>
            </w:r>
          </w:p>
        </w:tc>
        <w:tc>
          <w:tcPr>
            <w:tcW w:w="2835" w:type="dxa"/>
            <w:vAlign w:val="center"/>
          </w:tcPr>
          <w:p w14:paraId="583BDEE5" w14:textId="77777777" w:rsidR="00B44B71" w:rsidRPr="003C3582" w:rsidRDefault="00B44B71" w:rsidP="00B6038D">
            <w:pPr>
              <w:tabs>
                <w:tab w:val="left" w:pos="9638"/>
              </w:tabs>
              <w:jc w:val="both"/>
              <w:rPr>
                <w:rFonts w:ascii="Times New Roman" w:eastAsia="Calibri" w:hAnsi="Times New Roman" w:cs="Times New Roman"/>
                <w:b/>
                <w:bCs/>
                <w:lang w:val="en-US"/>
              </w:rPr>
            </w:pPr>
            <w:r w:rsidRPr="003C3582">
              <w:rPr>
                <w:rFonts w:ascii="Times New Roman" w:eastAsia="Times New Roman" w:hAnsi="Times New Roman" w:cs="Times New Roman"/>
                <w:lang w:val="en-US" w:eastAsia="ru-RU"/>
              </w:rPr>
              <w:t>Personal traits, commander behavior, charisma, initiative</w:t>
            </w:r>
          </w:p>
        </w:tc>
        <w:tc>
          <w:tcPr>
            <w:tcW w:w="5528" w:type="dxa"/>
            <w:vAlign w:val="center"/>
          </w:tcPr>
          <w:p w14:paraId="0BE2E51D" w14:textId="77777777" w:rsidR="00B44B71" w:rsidRPr="00B44B71" w:rsidRDefault="00B44B71" w:rsidP="00B6038D">
            <w:pPr>
              <w:tabs>
                <w:tab w:val="left" w:pos="9638"/>
              </w:tabs>
              <w:ind w:firstLine="4"/>
              <w:jc w:val="both"/>
              <w:rPr>
                <w:rFonts w:ascii="Times New Roman" w:eastAsia="Calibri" w:hAnsi="Times New Roman" w:cs="Times New Roman"/>
                <w:b/>
                <w:bCs/>
                <w:spacing w:val="-8"/>
              </w:rPr>
            </w:pPr>
            <w:r w:rsidRPr="003C3582">
              <w:rPr>
                <w:rFonts w:ascii="Times New Roman" w:eastAsia="Times New Roman" w:hAnsi="Times New Roman" w:cs="Times New Roman"/>
                <w:spacing w:val="-8"/>
                <w:lang w:val="en-US" w:eastAsia="ru-RU"/>
              </w:rPr>
              <w:t xml:space="preserve">J. Conger, R. Kanungo (Conger &amp; Kanungo, 1994); D. DeRue et al. </w:t>
            </w:r>
            <w:r w:rsidRPr="00B44B71">
              <w:rPr>
                <w:rFonts w:ascii="Times New Roman" w:eastAsia="Times New Roman" w:hAnsi="Times New Roman" w:cs="Times New Roman"/>
                <w:spacing w:val="-8"/>
                <w:lang w:eastAsia="ru-RU"/>
              </w:rPr>
              <w:t>(DeRue, Nahrgang, Wellman, &amp; Humphrey, 2011)</w:t>
            </w:r>
          </w:p>
        </w:tc>
      </w:tr>
      <w:tr w:rsidR="00B44B71" w:rsidRPr="00B44B71" w14:paraId="56576456" w14:textId="77777777" w:rsidTr="00F918EC">
        <w:tc>
          <w:tcPr>
            <w:tcW w:w="1271" w:type="dxa"/>
            <w:vAlign w:val="center"/>
          </w:tcPr>
          <w:p w14:paraId="2DEC6EDB" w14:textId="77777777" w:rsidR="00B44B71" w:rsidRPr="00B44B71" w:rsidRDefault="00B44B71" w:rsidP="00B6038D">
            <w:pPr>
              <w:tabs>
                <w:tab w:val="left" w:pos="9638"/>
              </w:tabs>
              <w:jc w:val="both"/>
              <w:rPr>
                <w:rFonts w:ascii="Times New Roman" w:eastAsia="Calibri" w:hAnsi="Times New Roman" w:cs="Times New Roman"/>
                <w:b/>
                <w:bCs/>
              </w:rPr>
            </w:pPr>
            <w:r w:rsidRPr="00B44B71">
              <w:rPr>
                <w:rFonts w:ascii="Times New Roman" w:eastAsia="Times New Roman" w:hAnsi="Times New Roman" w:cs="Times New Roman"/>
                <w:lang w:eastAsia="ru-RU"/>
              </w:rPr>
              <w:t>Situational</w:t>
            </w:r>
          </w:p>
        </w:tc>
        <w:tc>
          <w:tcPr>
            <w:tcW w:w="2835" w:type="dxa"/>
            <w:vAlign w:val="center"/>
          </w:tcPr>
          <w:p w14:paraId="62658719" w14:textId="77777777" w:rsidR="00B44B71" w:rsidRPr="003C3582" w:rsidRDefault="00B44B71" w:rsidP="00B6038D">
            <w:pPr>
              <w:tabs>
                <w:tab w:val="left" w:pos="9638"/>
              </w:tabs>
              <w:jc w:val="both"/>
              <w:rPr>
                <w:rFonts w:ascii="Times New Roman" w:eastAsia="Calibri" w:hAnsi="Times New Roman" w:cs="Times New Roman"/>
                <w:b/>
                <w:bCs/>
                <w:lang w:val="en-US"/>
              </w:rPr>
            </w:pPr>
            <w:r w:rsidRPr="003C3582">
              <w:rPr>
                <w:rFonts w:ascii="Times New Roman" w:eastAsia="Times New Roman" w:hAnsi="Times New Roman" w:cs="Times New Roman"/>
                <w:lang w:val="en-US" w:eastAsia="ru-RU"/>
              </w:rPr>
              <w:t>Adaptation to specific conditions, stress resistance, tactical flexibility</w:t>
            </w:r>
          </w:p>
        </w:tc>
        <w:tc>
          <w:tcPr>
            <w:tcW w:w="5528" w:type="dxa"/>
            <w:vAlign w:val="center"/>
          </w:tcPr>
          <w:p w14:paraId="6BFCA51E" w14:textId="77777777" w:rsidR="00B44B71" w:rsidRPr="003C3582" w:rsidRDefault="00B44B71" w:rsidP="00B6038D">
            <w:pPr>
              <w:tabs>
                <w:tab w:val="left" w:pos="9638"/>
              </w:tabs>
              <w:ind w:firstLine="4"/>
              <w:jc w:val="both"/>
              <w:rPr>
                <w:rFonts w:ascii="Times New Roman" w:eastAsia="Calibri" w:hAnsi="Times New Roman" w:cs="Times New Roman"/>
                <w:b/>
                <w:bCs/>
                <w:lang w:val="en-US"/>
              </w:rPr>
            </w:pPr>
            <w:r w:rsidRPr="003C3582">
              <w:rPr>
                <w:rFonts w:ascii="Times New Roman" w:eastAsia="Times New Roman" w:hAnsi="Times New Roman" w:cs="Times New Roman"/>
                <w:lang w:val="en-US" w:eastAsia="ru-RU"/>
              </w:rPr>
              <w:t>V. Volobuev, V. Veretilnyk, O. Hnydiuk (Volobuev, Veretilnyk, &amp; Hnydiuk, 2024); J. Teixeira (Teixeira, 2024)</w:t>
            </w:r>
          </w:p>
        </w:tc>
      </w:tr>
      <w:tr w:rsidR="00B44B71" w:rsidRPr="00B44B71" w14:paraId="420B9524" w14:textId="77777777" w:rsidTr="00F918EC">
        <w:tc>
          <w:tcPr>
            <w:tcW w:w="1271" w:type="dxa"/>
            <w:vAlign w:val="center"/>
          </w:tcPr>
          <w:p w14:paraId="71B11B92" w14:textId="77777777" w:rsidR="00B44B71" w:rsidRPr="00B44B71" w:rsidRDefault="00B44B71" w:rsidP="00B6038D">
            <w:pPr>
              <w:tabs>
                <w:tab w:val="left" w:pos="9638"/>
              </w:tabs>
              <w:jc w:val="both"/>
              <w:rPr>
                <w:rFonts w:ascii="Times New Roman" w:eastAsia="Calibri" w:hAnsi="Times New Roman" w:cs="Times New Roman"/>
                <w:b/>
                <w:bCs/>
              </w:rPr>
            </w:pPr>
            <w:r w:rsidRPr="00B44B71">
              <w:rPr>
                <w:rFonts w:ascii="Times New Roman" w:eastAsia="Times New Roman" w:hAnsi="Times New Roman" w:cs="Times New Roman"/>
                <w:lang w:eastAsia="ru-RU"/>
              </w:rPr>
              <w:t>Psychological-ethical</w:t>
            </w:r>
          </w:p>
        </w:tc>
        <w:tc>
          <w:tcPr>
            <w:tcW w:w="2835" w:type="dxa"/>
            <w:vAlign w:val="center"/>
          </w:tcPr>
          <w:p w14:paraId="327B9232" w14:textId="77777777" w:rsidR="00B44B71" w:rsidRPr="003C3582" w:rsidRDefault="00B44B71" w:rsidP="00B6038D">
            <w:pPr>
              <w:tabs>
                <w:tab w:val="left" w:pos="9638"/>
              </w:tabs>
              <w:jc w:val="both"/>
              <w:rPr>
                <w:rFonts w:ascii="Times New Roman" w:eastAsia="Calibri" w:hAnsi="Times New Roman" w:cs="Times New Roman"/>
                <w:b/>
                <w:bCs/>
                <w:lang w:val="en-US"/>
              </w:rPr>
            </w:pPr>
            <w:r w:rsidRPr="003C3582">
              <w:rPr>
                <w:rFonts w:ascii="Times New Roman" w:eastAsia="Times New Roman" w:hAnsi="Times New Roman" w:cs="Times New Roman"/>
                <w:lang w:val="en-US" w:eastAsia="ru-RU"/>
              </w:rPr>
              <w:t>Moral authority, subordinates’ trust, psychological stability</w:t>
            </w:r>
          </w:p>
        </w:tc>
        <w:tc>
          <w:tcPr>
            <w:tcW w:w="5528" w:type="dxa"/>
            <w:vAlign w:val="center"/>
          </w:tcPr>
          <w:p w14:paraId="49A46034" w14:textId="77777777" w:rsidR="00B44B71" w:rsidRPr="003C3582" w:rsidRDefault="00B44B71" w:rsidP="00B6038D">
            <w:pPr>
              <w:tabs>
                <w:tab w:val="left" w:pos="9638"/>
              </w:tabs>
              <w:ind w:firstLine="4"/>
              <w:jc w:val="both"/>
              <w:rPr>
                <w:rFonts w:ascii="Times New Roman" w:eastAsia="Calibri" w:hAnsi="Times New Roman" w:cs="Times New Roman"/>
                <w:b/>
                <w:bCs/>
                <w:lang w:val="en-US"/>
              </w:rPr>
            </w:pPr>
            <w:r w:rsidRPr="003C3582">
              <w:rPr>
                <w:rFonts w:ascii="Times New Roman" w:eastAsia="Times New Roman" w:hAnsi="Times New Roman" w:cs="Times New Roman"/>
                <w:lang w:val="en-US" w:eastAsia="ru-RU"/>
              </w:rPr>
              <w:t>N. Poltieva (Poltieva, 2023); O. Romanovskyi, N. Sereda (Romanovskyi &amp; Sereda, 2013</w:t>
            </w:r>
          </w:p>
        </w:tc>
      </w:tr>
      <w:tr w:rsidR="00B44B71" w:rsidRPr="00B44B71" w14:paraId="569B262D" w14:textId="77777777" w:rsidTr="00F918EC">
        <w:tc>
          <w:tcPr>
            <w:tcW w:w="1271" w:type="dxa"/>
            <w:vAlign w:val="center"/>
          </w:tcPr>
          <w:p w14:paraId="51654F48" w14:textId="77777777" w:rsidR="00B44B71" w:rsidRPr="00B44B71" w:rsidRDefault="00B44B71" w:rsidP="00B6038D">
            <w:pPr>
              <w:tabs>
                <w:tab w:val="left" w:pos="9638"/>
              </w:tabs>
              <w:jc w:val="both"/>
              <w:rPr>
                <w:rFonts w:ascii="Times New Roman" w:eastAsia="Calibri" w:hAnsi="Times New Roman" w:cs="Times New Roman"/>
                <w:b/>
                <w:bCs/>
              </w:rPr>
            </w:pPr>
            <w:r w:rsidRPr="00B44B71">
              <w:rPr>
                <w:rFonts w:ascii="Times New Roman" w:eastAsia="Times New Roman" w:hAnsi="Times New Roman" w:cs="Times New Roman"/>
                <w:lang w:eastAsia="ru-RU"/>
              </w:rPr>
              <w:t>International/doctrinal</w:t>
            </w:r>
          </w:p>
        </w:tc>
        <w:tc>
          <w:tcPr>
            <w:tcW w:w="2835" w:type="dxa"/>
            <w:vAlign w:val="center"/>
          </w:tcPr>
          <w:p w14:paraId="369F68C1" w14:textId="77777777" w:rsidR="00B44B71" w:rsidRPr="003C3582" w:rsidRDefault="00B44B71" w:rsidP="00B6038D">
            <w:pPr>
              <w:tabs>
                <w:tab w:val="left" w:pos="9638"/>
              </w:tabs>
              <w:jc w:val="both"/>
              <w:rPr>
                <w:rFonts w:ascii="Times New Roman" w:eastAsia="Calibri" w:hAnsi="Times New Roman" w:cs="Times New Roman"/>
                <w:b/>
                <w:bCs/>
                <w:lang w:val="en-US"/>
              </w:rPr>
            </w:pPr>
            <w:r w:rsidRPr="003C3582">
              <w:rPr>
                <w:rFonts w:ascii="Times New Roman" w:eastAsia="Times New Roman" w:hAnsi="Times New Roman" w:cs="Times New Roman"/>
                <w:lang w:val="en-US" w:eastAsia="ru-RU"/>
              </w:rPr>
              <w:t>NATO standards, Euro-Atlantic integration, adaptability to hybrid threats</w:t>
            </w:r>
          </w:p>
        </w:tc>
        <w:tc>
          <w:tcPr>
            <w:tcW w:w="5528" w:type="dxa"/>
            <w:vAlign w:val="center"/>
          </w:tcPr>
          <w:p w14:paraId="1C8287A9" w14:textId="77777777" w:rsidR="00B44B71" w:rsidRPr="003C3582" w:rsidRDefault="00B44B71" w:rsidP="00B6038D">
            <w:pPr>
              <w:tabs>
                <w:tab w:val="left" w:pos="9638"/>
              </w:tabs>
              <w:ind w:firstLine="4"/>
              <w:jc w:val="both"/>
              <w:rPr>
                <w:rFonts w:ascii="Times New Roman" w:eastAsia="Calibri" w:hAnsi="Times New Roman" w:cs="Times New Roman"/>
                <w:b/>
                <w:bCs/>
                <w:lang w:val="en-US"/>
              </w:rPr>
            </w:pPr>
            <w:r w:rsidRPr="003C3582">
              <w:rPr>
                <w:rFonts w:ascii="Times New Roman" w:eastAsia="Times New Roman" w:hAnsi="Times New Roman" w:cs="Times New Roman"/>
                <w:lang w:val="en-US" w:eastAsia="ru-RU"/>
              </w:rPr>
              <w:t>FM 6-22 (Department of the Army, 2006); Army Leadership Doctrine (Ministry of Defence of the United Kingdom, 2021); I. Cîrdei, R. Alixandrescu (Cîrdei &amp; Alixandrescu, 2025)</w:t>
            </w:r>
          </w:p>
        </w:tc>
      </w:tr>
    </w:tbl>
    <w:p w14:paraId="3B35E842" w14:textId="77777777" w:rsidR="00B26E27" w:rsidRDefault="00B26E27" w:rsidP="00023291">
      <w:pPr>
        <w:tabs>
          <w:tab w:val="left" w:pos="9638"/>
        </w:tabs>
        <w:spacing w:after="0" w:line="240" w:lineRule="auto"/>
        <w:ind w:firstLine="709"/>
        <w:jc w:val="both"/>
        <w:rPr>
          <w:rFonts w:ascii="Times New Roman" w:eastAsia="Calibri" w:hAnsi="Times New Roman" w:cs="Times New Roman"/>
          <w:kern w:val="0"/>
          <w:sz w:val="28"/>
          <w:szCs w:val="28"/>
          <w14:ligatures w14:val="none"/>
        </w:rPr>
      </w:pPr>
    </w:p>
    <w:p w14:paraId="191466A4" w14:textId="3328B1B3"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14:ligatures w14:val="none"/>
        </w:rPr>
        <w:t>In modern military research, it is essential to distinguish between "leadership" and "management." Military leadership is the commander's ability to build trust, moral authority, and motivation, ensuring psychological resilience of the unit (Buzid, 2024; Willink, 2021; Diak, Markova, &amp; Volobuev, 2024). Management, in contrast, encompasses organizational actions such as planning, resource allocation, and control (Zaitsev, Shevchuk, &amp; Melnyk, 2025). Together, they form an effective commander capable of maintaining personnel morale while achieving tactical and strategic objectives (Piren, 2012; Ryndin, 2024). As E. Roberts (2021) wisely notes based on an analysis of historical examples, true leadership in times of war requires from a commander not only professional knowledge but also the ability to make morally balanced decisions under conditions of time and information deficit.</w:t>
      </w:r>
    </w:p>
    <w:p w14:paraId="3EB25055"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14:ligatures w14:val="none"/>
        </w:rPr>
        <w:t>Clear differentiation of these concepts enables proper formulation of command competencies and assessment methods under wartime conditions.For a clearer understanding of the peculiarities of military leadership and management, their comparative analysis is presented in Table 2.</w:t>
      </w:r>
    </w:p>
    <w:p w14:paraId="59C0B3E7"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b/>
          <w:bCs/>
          <w:kern w:val="0"/>
          <w:sz w:val="28"/>
          <w:szCs w:val="28"/>
          <w14:ligatures w14:val="none"/>
        </w:rPr>
      </w:pPr>
    </w:p>
    <w:p w14:paraId="50C29BC1" w14:textId="77777777" w:rsidR="00B44B71" w:rsidRPr="00B44B71" w:rsidRDefault="00B44B71" w:rsidP="00023291">
      <w:pPr>
        <w:tabs>
          <w:tab w:val="left" w:pos="9638"/>
        </w:tabs>
        <w:spacing w:after="0" w:line="240" w:lineRule="auto"/>
        <w:ind w:firstLine="709"/>
        <w:jc w:val="right"/>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14:ligatures w14:val="none"/>
        </w:rPr>
        <w:t>Table 2</w:t>
      </w:r>
    </w:p>
    <w:p w14:paraId="54DE1819"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b/>
          <w:bCs/>
          <w:kern w:val="0"/>
          <w:sz w:val="28"/>
          <w:szCs w:val="28"/>
          <w14:ligatures w14:val="none"/>
        </w:rPr>
      </w:pPr>
      <w:r w:rsidRPr="00B44B71">
        <w:rPr>
          <w:rFonts w:ascii="Times New Roman" w:eastAsia="Calibri" w:hAnsi="Times New Roman" w:cs="Times New Roman"/>
          <w:b/>
          <w:bCs/>
          <w:kern w:val="0"/>
          <w:sz w:val="28"/>
          <w:szCs w:val="28"/>
          <w14:ligatures w14:val="none"/>
        </w:rPr>
        <w:t>Comparison of the concepts “military leadership” and “management”</w:t>
      </w:r>
    </w:p>
    <w:tbl>
      <w:tblPr>
        <w:tblStyle w:val="7"/>
        <w:tblW w:w="9634" w:type="dxa"/>
        <w:tblLook w:val="04A0" w:firstRow="1" w:lastRow="0" w:firstColumn="1" w:lastColumn="0" w:noHBand="0" w:noVBand="1"/>
      </w:tblPr>
      <w:tblGrid>
        <w:gridCol w:w="1718"/>
        <w:gridCol w:w="3947"/>
        <w:gridCol w:w="3969"/>
      </w:tblGrid>
      <w:tr w:rsidR="00B44B71" w:rsidRPr="00B44B71" w14:paraId="52F4EB8C" w14:textId="77777777" w:rsidTr="00F918EC">
        <w:tc>
          <w:tcPr>
            <w:tcW w:w="1718" w:type="dxa"/>
            <w:vAlign w:val="center"/>
          </w:tcPr>
          <w:p w14:paraId="674F60E1" w14:textId="77777777" w:rsidR="00B44B71" w:rsidRPr="00B44B71" w:rsidRDefault="00B44B71" w:rsidP="00B6038D">
            <w:pPr>
              <w:tabs>
                <w:tab w:val="left" w:pos="9638"/>
              </w:tabs>
              <w:jc w:val="center"/>
              <w:rPr>
                <w:rFonts w:ascii="Times New Roman" w:eastAsia="Calibri" w:hAnsi="Times New Roman" w:cs="Times New Roman"/>
                <w:b/>
                <w:bCs/>
                <w:sz w:val="24"/>
                <w:szCs w:val="24"/>
              </w:rPr>
            </w:pPr>
            <w:r w:rsidRPr="00B44B71">
              <w:rPr>
                <w:rFonts w:ascii="Times New Roman" w:eastAsia="Times New Roman" w:hAnsi="Times New Roman" w:cs="Times New Roman"/>
                <w:b/>
                <w:bCs/>
                <w:sz w:val="24"/>
                <w:szCs w:val="24"/>
                <w:lang w:eastAsia="ru-RU"/>
              </w:rPr>
              <w:t>Parameter</w:t>
            </w:r>
          </w:p>
        </w:tc>
        <w:tc>
          <w:tcPr>
            <w:tcW w:w="3947" w:type="dxa"/>
            <w:vAlign w:val="center"/>
          </w:tcPr>
          <w:p w14:paraId="6B4483DC" w14:textId="77777777" w:rsidR="00B44B71" w:rsidRPr="00B44B71" w:rsidRDefault="00B44B71" w:rsidP="00B6038D">
            <w:pPr>
              <w:tabs>
                <w:tab w:val="left" w:pos="9638"/>
              </w:tabs>
              <w:jc w:val="center"/>
              <w:rPr>
                <w:rFonts w:ascii="Times New Roman" w:eastAsia="Calibri" w:hAnsi="Times New Roman" w:cs="Times New Roman"/>
                <w:b/>
                <w:bCs/>
                <w:sz w:val="24"/>
                <w:szCs w:val="24"/>
              </w:rPr>
            </w:pPr>
            <w:r w:rsidRPr="00B44B71">
              <w:rPr>
                <w:rFonts w:ascii="Times New Roman" w:eastAsia="Times New Roman" w:hAnsi="Times New Roman" w:cs="Times New Roman"/>
                <w:b/>
                <w:bCs/>
                <w:sz w:val="24"/>
                <w:szCs w:val="24"/>
                <w:lang w:eastAsia="ru-RU"/>
              </w:rPr>
              <w:t>Military leadership</w:t>
            </w:r>
          </w:p>
        </w:tc>
        <w:tc>
          <w:tcPr>
            <w:tcW w:w="3969" w:type="dxa"/>
            <w:vAlign w:val="center"/>
          </w:tcPr>
          <w:p w14:paraId="3E836CE2" w14:textId="77777777" w:rsidR="00B44B71" w:rsidRPr="00B44B71" w:rsidRDefault="00B44B71" w:rsidP="00B6038D">
            <w:pPr>
              <w:tabs>
                <w:tab w:val="left" w:pos="9638"/>
              </w:tabs>
              <w:ind w:firstLine="11"/>
              <w:jc w:val="center"/>
              <w:rPr>
                <w:rFonts w:ascii="Times New Roman" w:eastAsia="Calibri" w:hAnsi="Times New Roman" w:cs="Times New Roman"/>
                <w:b/>
                <w:bCs/>
                <w:sz w:val="24"/>
                <w:szCs w:val="24"/>
              </w:rPr>
            </w:pPr>
            <w:r w:rsidRPr="00B44B71">
              <w:rPr>
                <w:rFonts w:ascii="Times New Roman" w:eastAsia="Times New Roman" w:hAnsi="Times New Roman" w:cs="Times New Roman"/>
                <w:b/>
                <w:bCs/>
                <w:sz w:val="24"/>
                <w:szCs w:val="24"/>
                <w:lang w:eastAsia="ru-RU"/>
              </w:rPr>
              <w:t>Management</w:t>
            </w:r>
          </w:p>
        </w:tc>
      </w:tr>
      <w:tr w:rsidR="00B44B71" w:rsidRPr="00B44B71" w14:paraId="10B73421" w14:textId="77777777" w:rsidTr="00F918EC">
        <w:tc>
          <w:tcPr>
            <w:tcW w:w="1718" w:type="dxa"/>
            <w:vAlign w:val="center"/>
          </w:tcPr>
          <w:p w14:paraId="18FD44B6" w14:textId="77777777" w:rsidR="00B44B71" w:rsidRPr="00B44B71" w:rsidRDefault="00B44B71" w:rsidP="00B6038D">
            <w:pPr>
              <w:tabs>
                <w:tab w:val="left" w:pos="9638"/>
              </w:tabs>
              <w:jc w:val="both"/>
              <w:rPr>
                <w:rFonts w:ascii="Times New Roman" w:eastAsia="Calibri" w:hAnsi="Times New Roman" w:cs="Times New Roman"/>
                <w:b/>
                <w:bCs/>
                <w:sz w:val="24"/>
                <w:szCs w:val="24"/>
              </w:rPr>
            </w:pPr>
            <w:r w:rsidRPr="00B44B71">
              <w:rPr>
                <w:rFonts w:ascii="Times New Roman" w:eastAsia="Times New Roman" w:hAnsi="Times New Roman" w:cs="Times New Roman"/>
                <w:b/>
                <w:bCs/>
                <w:sz w:val="24"/>
                <w:szCs w:val="24"/>
                <w:lang w:eastAsia="ru-RU"/>
              </w:rPr>
              <w:t>Definition</w:t>
            </w:r>
          </w:p>
        </w:tc>
        <w:tc>
          <w:tcPr>
            <w:tcW w:w="3947" w:type="dxa"/>
            <w:vAlign w:val="center"/>
          </w:tcPr>
          <w:p w14:paraId="4741AE58" w14:textId="77777777" w:rsidR="00B44B71" w:rsidRPr="00B44B71" w:rsidRDefault="00B44B71" w:rsidP="00B6038D">
            <w:pPr>
              <w:tabs>
                <w:tab w:val="left" w:pos="9638"/>
              </w:tabs>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sz w:val="24"/>
                <w:szCs w:val="24"/>
                <w:lang w:val="en-US" w:eastAsia="ru-RU"/>
              </w:rPr>
              <w:t xml:space="preserve">Ability of a commander to influence subordinates, build trust, moral authority, and motivation, and maintain the psychological resilience </w:t>
            </w:r>
            <w:r w:rsidRPr="00B44B71">
              <w:rPr>
                <w:rFonts w:ascii="Times New Roman" w:eastAsia="Times New Roman" w:hAnsi="Times New Roman" w:cs="Times New Roman"/>
                <w:sz w:val="24"/>
                <w:szCs w:val="24"/>
                <w:lang w:val="en-US" w:eastAsia="ru-RU"/>
              </w:rPr>
              <w:lastRenderedPageBreak/>
              <w:t>of the unit (Buzid, 2024; Willink, 2021)</w:t>
            </w:r>
          </w:p>
        </w:tc>
        <w:tc>
          <w:tcPr>
            <w:tcW w:w="3969" w:type="dxa"/>
            <w:vAlign w:val="center"/>
          </w:tcPr>
          <w:p w14:paraId="3DCA3099" w14:textId="77777777" w:rsidR="00B44B71" w:rsidRPr="00B44B71" w:rsidRDefault="00B44B71" w:rsidP="00B6038D">
            <w:pPr>
              <w:tabs>
                <w:tab w:val="left" w:pos="9638"/>
              </w:tabs>
              <w:ind w:firstLine="11"/>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sz w:val="24"/>
                <w:szCs w:val="24"/>
                <w:lang w:val="en-US" w:eastAsia="ru-RU"/>
              </w:rPr>
              <w:lastRenderedPageBreak/>
              <w:t xml:space="preserve">Organizational and functional activity of a commander: planning, resource allocation, control, implementation of unit tasks (Zaitsev, Shevchuk, &amp; </w:t>
            </w:r>
            <w:r w:rsidRPr="00B44B71">
              <w:rPr>
                <w:rFonts w:ascii="Times New Roman" w:eastAsia="Times New Roman" w:hAnsi="Times New Roman" w:cs="Times New Roman"/>
                <w:sz w:val="24"/>
                <w:szCs w:val="24"/>
                <w:lang w:val="en-US" w:eastAsia="ru-RU"/>
              </w:rPr>
              <w:lastRenderedPageBreak/>
              <w:t>Melnyk, 2025)</w:t>
            </w:r>
          </w:p>
        </w:tc>
      </w:tr>
      <w:tr w:rsidR="00B44B71" w:rsidRPr="00B44B71" w14:paraId="1D0FFDA3" w14:textId="77777777" w:rsidTr="00F918EC">
        <w:tc>
          <w:tcPr>
            <w:tcW w:w="1718" w:type="dxa"/>
            <w:vAlign w:val="center"/>
          </w:tcPr>
          <w:p w14:paraId="5F578198" w14:textId="77777777" w:rsidR="00B44B71" w:rsidRPr="00B44B71" w:rsidRDefault="00B44B71" w:rsidP="00B6038D">
            <w:pPr>
              <w:tabs>
                <w:tab w:val="left" w:pos="9638"/>
              </w:tabs>
              <w:jc w:val="both"/>
              <w:rPr>
                <w:rFonts w:ascii="Times New Roman" w:eastAsia="Calibri" w:hAnsi="Times New Roman" w:cs="Times New Roman"/>
                <w:b/>
                <w:bCs/>
                <w:sz w:val="24"/>
                <w:szCs w:val="24"/>
              </w:rPr>
            </w:pPr>
            <w:r w:rsidRPr="00B44B71">
              <w:rPr>
                <w:rFonts w:ascii="Times New Roman" w:eastAsia="Times New Roman" w:hAnsi="Times New Roman" w:cs="Times New Roman"/>
                <w:b/>
                <w:bCs/>
                <w:sz w:val="24"/>
                <w:szCs w:val="24"/>
                <w:lang w:eastAsia="ru-RU"/>
              </w:rPr>
              <w:lastRenderedPageBreak/>
              <w:t>Focus of activity</w:t>
            </w:r>
          </w:p>
        </w:tc>
        <w:tc>
          <w:tcPr>
            <w:tcW w:w="3947" w:type="dxa"/>
            <w:vAlign w:val="center"/>
          </w:tcPr>
          <w:p w14:paraId="3B13997B" w14:textId="77777777" w:rsidR="00B44B71" w:rsidRPr="00B44B71" w:rsidRDefault="00B44B71" w:rsidP="00B6038D">
            <w:pPr>
              <w:tabs>
                <w:tab w:val="left" w:pos="9638"/>
              </w:tabs>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sz w:val="24"/>
                <w:szCs w:val="24"/>
                <w:lang w:val="en-US" w:eastAsia="ru-RU"/>
              </w:rPr>
              <w:t>Personal influence, moral authority, motivation, and psychological support (Diak, Markova, &amp; Volobuev, 2024)</w:t>
            </w:r>
          </w:p>
        </w:tc>
        <w:tc>
          <w:tcPr>
            <w:tcW w:w="3969" w:type="dxa"/>
            <w:vAlign w:val="center"/>
          </w:tcPr>
          <w:p w14:paraId="79F3E7C9" w14:textId="77777777" w:rsidR="00B44B71" w:rsidRPr="00B44B71" w:rsidRDefault="00B44B71" w:rsidP="00B6038D">
            <w:pPr>
              <w:tabs>
                <w:tab w:val="left" w:pos="9638"/>
              </w:tabs>
              <w:ind w:firstLine="11"/>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sz w:val="24"/>
                <w:szCs w:val="24"/>
                <w:lang w:val="en-US" w:eastAsia="ru-RU"/>
              </w:rPr>
              <w:t>Performance of formal managerial functions and achievement of tactical and strategic goals (Piren, 2012; Ryndin, 2024)</w:t>
            </w:r>
          </w:p>
        </w:tc>
      </w:tr>
      <w:tr w:rsidR="00B44B71" w:rsidRPr="00B44B71" w14:paraId="33E89072" w14:textId="77777777" w:rsidTr="00F918EC">
        <w:tc>
          <w:tcPr>
            <w:tcW w:w="1718" w:type="dxa"/>
            <w:vAlign w:val="center"/>
          </w:tcPr>
          <w:p w14:paraId="0982142F" w14:textId="77777777" w:rsidR="00B44B71" w:rsidRPr="00B44B71" w:rsidRDefault="00B44B71" w:rsidP="00B6038D">
            <w:pPr>
              <w:tabs>
                <w:tab w:val="left" w:pos="9638"/>
              </w:tabs>
              <w:jc w:val="both"/>
              <w:rPr>
                <w:rFonts w:ascii="Times New Roman" w:eastAsia="Calibri" w:hAnsi="Times New Roman" w:cs="Times New Roman"/>
                <w:b/>
                <w:bCs/>
                <w:sz w:val="24"/>
                <w:szCs w:val="24"/>
              </w:rPr>
            </w:pPr>
            <w:r w:rsidRPr="00B44B71">
              <w:rPr>
                <w:rFonts w:ascii="Times New Roman" w:eastAsia="Times New Roman" w:hAnsi="Times New Roman" w:cs="Times New Roman"/>
                <w:b/>
                <w:bCs/>
                <w:sz w:val="24"/>
                <w:szCs w:val="24"/>
                <w:lang w:eastAsia="ru-RU"/>
              </w:rPr>
              <w:t>Main tasks</w:t>
            </w:r>
          </w:p>
        </w:tc>
        <w:tc>
          <w:tcPr>
            <w:tcW w:w="3947" w:type="dxa"/>
            <w:vAlign w:val="center"/>
          </w:tcPr>
          <w:p w14:paraId="5E4D0ADE" w14:textId="77777777" w:rsidR="00B44B71" w:rsidRPr="00B44B71" w:rsidRDefault="00B44B71" w:rsidP="00B6038D">
            <w:pPr>
              <w:tabs>
                <w:tab w:val="left" w:pos="9638"/>
              </w:tabs>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sz w:val="24"/>
                <w:szCs w:val="24"/>
                <w:lang w:val="en-US" w:eastAsia="ru-RU"/>
              </w:rPr>
              <w:t>Maintaining morale, developing trust and team cohesion, adapting subordinates to stressful situations (Willink, 2021; Diak, Markova, &amp; Volobuev, 2024)</w:t>
            </w:r>
          </w:p>
        </w:tc>
        <w:tc>
          <w:tcPr>
            <w:tcW w:w="3969" w:type="dxa"/>
            <w:vAlign w:val="center"/>
          </w:tcPr>
          <w:p w14:paraId="4CA6BE8A" w14:textId="77777777" w:rsidR="00B44B71" w:rsidRPr="00B44B71" w:rsidRDefault="00B44B71" w:rsidP="00B6038D">
            <w:pPr>
              <w:tabs>
                <w:tab w:val="left" w:pos="9638"/>
              </w:tabs>
              <w:ind w:firstLine="11"/>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sz w:val="24"/>
                <w:szCs w:val="24"/>
                <w:lang w:val="en-US" w:eastAsia="ru-RU"/>
              </w:rPr>
              <w:t>Planning operations, monitoring task performance, effective allocation of resources and personnel (Zaitsev, Shevchuk, &amp; Melnyk, 2025)</w:t>
            </w:r>
          </w:p>
        </w:tc>
      </w:tr>
      <w:tr w:rsidR="00B44B71" w:rsidRPr="00B44B71" w14:paraId="00B0E8E8" w14:textId="77777777" w:rsidTr="00F918EC">
        <w:tc>
          <w:tcPr>
            <w:tcW w:w="1718" w:type="dxa"/>
            <w:vAlign w:val="center"/>
          </w:tcPr>
          <w:p w14:paraId="7BFA36DC" w14:textId="77777777" w:rsidR="00B44B71" w:rsidRPr="00B44B71" w:rsidRDefault="00B44B71" w:rsidP="00B6038D">
            <w:pPr>
              <w:tabs>
                <w:tab w:val="left" w:pos="9638"/>
              </w:tabs>
              <w:rPr>
                <w:rFonts w:ascii="Times New Roman" w:eastAsia="Calibri" w:hAnsi="Times New Roman" w:cs="Times New Roman"/>
                <w:b/>
                <w:bCs/>
                <w:sz w:val="24"/>
                <w:szCs w:val="24"/>
              </w:rPr>
            </w:pPr>
            <w:r w:rsidRPr="00B44B71">
              <w:rPr>
                <w:rFonts w:ascii="Times New Roman" w:eastAsia="Times New Roman" w:hAnsi="Times New Roman" w:cs="Times New Roman"/>
                <w:b/>
                <w:bCs/>
                <w:sz w:val="24"/>
                <w:szCs w:val="24"/>
                <w:lang w:eastAsia="ru-RU"/>
              </w:rPr>
              <w:t>Methods of influence</w:t>
            </w:r>
          </w:p>
        </w:tc>
        <w:tc>
          <w:tcPr>
            <w:tcW w:w="3947" w:type="dxa"/>
            <w:vAlign w:val="center"/>
          </w:tcPr>
          <w:p w14:paraId="491780C5" w14:textId="77777777" w:rsidR="00B44B71" w:rsidRPr="00B44B71" w:rsidRDefault="00B44B71" w:rsidP="00B6038D">
            <w:pPr>
              <w:tabs>
                <w:tab w:val="left" w:pos="9638"/>
              </w:tabs>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sz w:val="24"/>
                <w:szCs w:val="24"/>
                <w:lang w:val="en-US" w:eastAsia="ru-RU"/>
              </w:rPr>
              <w:t>Personal example, motivation, communication, psychological support (Buzid, 2024; Ryndin, 2024)</w:t>
            </w:r>
          </w:p>
        </w:tc>
        <w:tc>
          <w:tcPr>
            <w:tcW w:w="3969" w:type="dxa"/>
            <w:vAlign w:val="center"/>
          </w:tcPr>
          <w:p w14:paraId="25B3E04E" w14:textId="77777777" w:rsidR="00B44B71" w:rsidRPr="00B44B71" w:rsidRDefault="00B44B71" w:rsidP="00B6038D">
            <w:pPr>
              <w:tabs>
                <w:tab w:val="left" w:pos="9638"/>
              </w:tabs>
              <w:ind w:firstLine="11"/>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sz w:val="24"/>
                <w:szCs w:val="24"/>
                <w:lang w:val="en-US" w:eastAsia="ru-RU"/>
              </w:rPr>
              <w:t>Formal orders, regulation of processes, organizational procedures (Piren, 2012)</w:t>
            </w:r>
          </w:p>
        </w:tc>
      </w:tr>
      <w:tr w:rsidR="00B44B71" w:rsidRPr="00B44B71" w14:paraId="0426875A" w14:textId="77777777" w:rsidTr="00F918EC">
        <w:tc>
          <w:tcPr>
            <w:tcW w:w="1718" w:type="dxa"/>
            <w:vAlign w:val="center"/>
          </w:tcPr>
          <w:p w14:paraId="1DE3B438" w14:textId="77777777" w:rsidR="00B44B71" w:rsidRPr="00B44B71" w:rsidRDefault="00B44B71" w:rsidP="00B6038D">
            <w:pPr>
              <w:tabs>
                <w:tab w:val="left" w:pos="9638"/>
              </w:tabs>
              <w:jc w:val="both"/>
              <w:rPr>
                <w:rFonts w:ascii="Times New Roman" w:eastAsia="Calibri" w:hAnsi="Times New Roman" w:cs="Times New Roman"/>
                <w:b/>
                <w:bCs/>
                <w:sz w:val="24"/>
                <w:szCs w:val="24"/>
              </w:rPr>
            </w:pPr>
            <w:r w:rsidRPr="00B44B71">
              <w:rPr>
                <w:rFonts w:ascii="Times New Roman" w:eastAsia="Times New Roman" w:hAnsi="Times New Roman" w:cs="Times New Roman"/>
                <w:b/>
                <w:bCs/>
                <w:sz w:val="24"/>
                <w:szCs w:val="24"/>
                <w:lang w:eastAsia="ru-RU"/>
              </w:rPr>
              <w:t>Measuring effectiveness</w:t>
            </w:r>
          </w:p>
        </w:tc>
        <w:tc>
          <w:tcPr>
            <w:tcW w:w="3947" w:type="dxa"/>
            <w:vAlign w:val="center"/>
          </w:tcPr>
          <w:p w14:paraId="43859B11" w14:textId="77777777" w:rsidR="00B44B71" w:rsidRPr="00B44B71" w:rsidRDefault="00B44B71" w:rsidP="00B6038D">
            <w:pPr>
              <w:tabs>
                <w:tab w:val="left" w:pos="9638"/>
              </w:tabs>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sz w:val="24"/>
                <w:szCs w:val="24"/>
                <w:lang w:val="en-US" w:eastAsia="ru-RU"/>
              </w:rPr>
              <w:t>Subordinates' trust, moral authority, level of combat cohesion and psychological resilience of the unit (Diak, Markova, &amp; Volobuev, 2024; Willink, 2021)</w:t>
            </w:r>
          </w:p>
        </w:tc>
        <w:tc>
          <w:tcPr>
            <w:tcW w:w="3969" w:type="dxa"/>
            <w:vAlign w:val="center"/>
          </w:tcPr>
          <w:p w14:paraId="779AAE88" w14:textId="77777777" w:rsidR="00B44B71" w:rsidRPr="00B44B71" w:rsidRDefault="00B44B71" w:rsidP="00B6038D">
            <w:pPr>
              <w:tabs>
                <w:tab w:val="left" w:pos="9638"/>
              </w:tabs>
              <w:ind w:firstLine="11"/>
              <w:jc w:val="both"/>
              <w:rPr>
                <w:rFonts w:ascii="Times New Roman" w:eastAsia="Calibri" w:hAnsi="Times New Roman" w:cs="Times New Roman"/>
                <w:bCs/>
                <w:sz w:val="24"/>
                <w:szCs w:val="24"/>
                <w:lang w:val="en-US"/>
              </w:rPr>
            </w:pPr>
            <w:r w:rsidRPr="00B44B71">
              <w:rPr>
                <w:rFonts w:ascii="Times New Roman" w:eastAsia="Calibri" w:hAnsi="Times New Roman" w:cs="Times New Roman"/>
                <w:bCs/>
                <w:sz w:val="24"/>
                <w:szCs w:val="24"/>
                <w:lang w:val="en-US"/>
              </w:rPr>
              <w:t>Fulfillment of assigned tasks, resource control, achievement of operational and strategic objectives (Zaitsev, Shevchuk, &amp; Melnyk, 2025)</w:t>
            </w:r>
          </w:p>
        </w:tc>
      </w:tr>
    </w:tbl>
    <w:p w14:paraId="5523498E"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p>
    <w:p w14:paraId="45C9BFD3"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The regulatory and doctrinal framework for military leadership in the Armed Forces of Ukraine is defined by the Doctrine of Military Leadership Development (Main Department of Doctrine and Training of the General Staff of the Armed Forces of Ukraine, 2020), the Catalogue of Military-Professional Competencies (General Staff of the Armed Forces of Ukraine, 2025), and methodological recommendations aligned with NATO standards (Leadership Development Department of the Main Personnel Directorate of the General Staff of the Armed Forces of Ukraine, 2025). In these documents, a commander's professional competence is viewed as an integrated set of knowledge, skills, and leadership qualities necessary for effective unit management in peacetime and wartime.</w:t>
      </w:r>
    </w:p>
    <w:p w14:paraId="67D0E96D"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In practice, however, assessment of candidates for command positions remains largely formalized, relying on certification procedures and service characteristics that do not always reflect actual leadership potential (Zaluzhnyi, Nazarov, &amp; Hryshchuk, 2023). As Buzid (2024) notes, current regulatory documents reflect classical approaches and only partially account for the challenges of hybrid and full-scale war. Consequently, competency assessment often fails to identify real leadership potential.</w:t>
      </w:r>
    </w:p>
    <w:p w14:paraId="5497EA64"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The psychodiagnostic approach, emphasized by Piren (2012), focuses on psychological resilience, self-regulation, and emotional maturity as key characteristics of a military leader. Further research by Poltieva (2023) confirms that the development of leadership qualities is impossible without considering the individual psychological characteristics of commanders, which manifest themselves precisely in conditions of increased stress. While psychometric methods enable quantitative assessment of personal qualities, they often neglect the specifics of combat conditions, where commanders must act under uncertainty and direct threat to life (Punda &amp; Antonenko, </w:t>
      </w:r>
      <w:r w:rsidRPr="00B44B71">
        <w:rPr>
          <w:rFonts w:ascii="Times New Roman" w:eastAsia="Calibri" w:hAnsi="Times New Roman" w:cs="Times New Roman"/>
          <w:kern w:val="0"/>
          <w:sz w:val="28"/>
          <w:szCs w:val="28"/>
          <w:lang w:val="uk-UA"/>
          <w14:ligatures w14:val="none"/>
        </w:rPr>
        <w:lastRenderedPageBreak/>
        <w:t>2017). This calls for supplementing test methods with practice-oriented forms of assessment.</w:t>
      </w:r>
    </w:p>
    <w:p w14:paraId="6307D877"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Certification and expert methods, widely used in the Armed Forces of Ukraine, rely on commanders' conclusions and certification commission decisions (Zaitsev, Shevchuk, &amp; Melnyk, 2025; General Staff of the Armed Forces of Ukraine, 2025). Although they account for service and combat experience, they remain largely subjective. In contrast, NATO armed forces employ competency-oriented models that combine behavioral indicators, situational tasks, and long-term observation (Department of the Army, 2006, 2023; Ministry of Defence of the United Kingdom, 2021).</w:t>
      </w:r>
    </w:p>
    <w:p w14:paraId="3F083AC7"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Traditional approaches to assessing military leadership do not fully meet modern warfare requirements, as they emphasize regulatory compliance and prior experience rather than adaptability and psychological resilience (Buzid, 2024; Volobuev, Veretilnyk, &amp; Hnydiuk, 2024). Formalized procedures do not model extreme conditions, limiting the ability to assess a candidate's effectiveness under high risk and moral pressure. Foreign studies highlight the importance of adaptive and resilient leadership under hybrid threats (Cîrdei &amp; Alixandrescu, 2025; Leka &amp; Karasani, 2025; Teixeira, 2024), with Navas-Jiménez, Rico, Molero, and Alcover (2024) demonstrating that leadership effectiveness is directly linked to subordinates' trust and psychological safety within the unit. This provides a basis for adapting foreign assessment models to the Ukrainian context, considering national combat experience. In this context, the research by Repetukha (2024) is important, as it demonstrates that the development of leadership competence among future officers in military academies requires special pedagogical techniques and conditions, including the simulation of combat situations and reflective practices.</w:t>
      </w:r>
    </w:p>
    <w:p w14:paraId="39C3AD33"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14:ligatures w14:val="none"/>
        </w:rPr>
        <w:t>A comparative analysis of domestic and foreign (NATO) approaches to assessing professional competencies is summarized in Table 3.</w:t>
      </w:r>
    </w:p>
    <w:p w14:paraId="22D84D41"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b/>
          <w:bCs/>
          <w:kern w:val="0"/>
          <w:sz w:val="28"/>
          <w:szCs w:val="28"/>
          <w14:ligatures w14:val="none"/>
        </w:rPr>
      </w:pPr>
      <w:r w:rsidRPr="00B44B71">
        <w:rPr>
          <w:rFonts w:ascii="Times New Roman" w:eastAsia="Calibri" w:hAnsi="Times New Roman" w:cs="Times New Roman"/>
          <w:b/>
          <w:bCs/>
          <w:kern w:val="0"/>
          <w:sz w:val="28"/>
          <w:szCs w:val="28"/>
          <w14:ligatures w14:val="none"/>
        </w:rPr>
        <w:t>Analysis</w:t>
      </w:r>
    </w:p>
    <w:p w14:paraId="5F187447"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14:ligatures w14:val="none"/>
        </w:rPr>
        <w:t>The comparative analysis reveals that the domestic system for assessing professional competencies relies heavily on formalized certification procedures and regulatory compliance, limiting comprehensive assessment of leadership potential. In contrast, NATO armed forces employ a competency-oriented approach combining psychodiagnostic methods, behavioral indicators, and situational modeling, enabling more objective evaluation of a commander's ability to act under uncertainty and combat stress (Department of the Army, 2006, 2023; Ministry of Defence of the United Kingdom, 2021).</w:t>
      </w:r>
    </w:p>
    <w:p w14:paraId="4831B470"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14:ligatures w14:val="none"/>
        </w:rPr>
      </w:pPr>
    </w:p>
    <w:p w14:paraId="522205F7" w14:textId="77777777" w:rsidR="008604C3" w:rsidRDefault="008604C3" w:rsidP="00023291">
      <w:pPr>
        <w:tabs>
          <w:tab w:val="left" w:pos="9638"/>
        </w:tabs>
        <w:spacing w:after="0" w:line="240" w:lineRule="auto"/>
        <w:ind w:firstLine="709"/>
        <w:jc w:val="right"/>
        <w:rPr>
          <w:rFonts w:ascii="Times New Roman" w:eastAsia="Calibri" w:hAnsi="Times New Roman" w:cs="Times New Roman"/>
          <w:kern w:val="0"/>
          <w:sz w:val="28"/>
          <w:szCs w:val="28"/>
          <w:lang w:val="uk-UA"/>
          <w14:ligatures w14:val="none"/>
        </w:rPr>
      </w:pPr>
    </w:p>
    <w:p w14:paraId="35E41510" w14:textId="77777777" w:rsidR="00B44B71" w:rsidRPr="00B44B71" w:rsidRDefault="00B44B71" w:rsidP="00023291">
      <w:pPr>
        <w:tabs>
          <w:tab w:val="left" w:pos="9638"/>
        </w:tabs>
        <w:spacing w:after="0" w:line="240" w:lineRule="auto"/>
        <w:ind w:firstLine="709"/>
        <w:jc w:val="right"/>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14:ligatures w14:val="none"/>
        </w:rPr>
        <w:t>Table 3</w:t>
      </w:r>
    </w:p>
    <w:p w14:paraId="0A08E1A1" w14:textId="77777777" w:rsidR="00B44B71" w:rsidRPr="00B44B71" w:rsidRDefault="00B44B71" w:rsidP="00023291">
      <w:pPr>
        <w:tabs>
          <w:tab w:val="left" w:pos="9638"/>
        </w:tabs>
        <w:spacing w:after="0" w:line="240" w:lineRule="auto"/>
        <w:ind w:firstLine="709"/>
        <w:jc w:val="center"/>
        <w:rPr>
          <w:rFonts w:ascii="Times New Roman" w:eastAsia="Calibri" w:hAnsi="Times New Roman" w:cs="Times New Roman"/>
          <w:b/>
          <w:bCs/>
          <w:kern w:val="0"/>
          <w:sz w:val="28"/>
          <w:szCs w:val="28"/>
          <w14:ligatures w14:val="none"/>
        </w:rPr>
      </w:pPr>
      <w:r w:rsidRPr="00B44B71">
        <w:rPr>
          <w:rFonts w:ascii="Times New Roman" w:eastAsia="Calibri" w:hAnsi="Times New Roman" w:cs="Times New Roman"/>
          <w:b/>
          <w:bCs/>
          <w:kern w:val="0"/>
          <w:sz w:val="28"/>
          <w:szCs w:val="28"/>
          <w14:ligatures w14:val="none"/>
        </w:rPr>
        <w:t>Comparative characteristics of approaches to assessing professional competencies in the Armed Forces of Ukraine and the armed forces of NATO countries</w:t>
      </w:r>
    </w:p>
    <w:tbl>
      <w:tblPr>
        <w:tblStyle w:val="7"/>
        <w:tblW w:w="9634" w:type="dxa"/>
        <w:tblLook w:val="04A0" w:firstRow="1" w:lastRow="0" w:firstColumn="1" w:lastColumn="0" w:noHBand="0" w:noVBand="1"/>
      </w:tblPr>
      <w:tblGrid>
        <w:gridCol w:w="1670"/>
        <w:gridCol w:w="3854"/>
        <w:gridCol w:w="4110"/>
      </w:tblGrid>
      <w:tr w:rsidR="00B44B71" w:rsidRPr="00B44B71" w14:paraId="4A81D7D6" w14:textId="77777777" w:rsidTr="00F918EC">
        <w:tc>
          <w:tcPr>
            <w:tcW w:w="1670" w:type="dxa"/>
            <w:vAlign w:val="center"/>
          </w:tcPr>
          <w:p w14:paraId="11C496A9" w14:textId="77777777" w:rsidR="00B44B71" w:rsidRPr="00B44B71" w:rsidRDefault="00B44B71" w:rsidP="00B6038D">
            <w:pPr>
              <w:tabs>
                <w:tab w:val="left" w:pos="9638"/>
              </w:tabs>
              <w:jc w:val="both"/>
              <w:rPr>
                <w:rFonts w:ascii="Times New Roman" w:eastAsia="Calibri" w:hAnsi="Times New Roman" w:cs="Times New Roman"/>
                <w:b/>
                <w:bCs/>
                <w:sz w:val="24"/>
                <w:szCs w:val="24"/>
              </w:rPr>
            </w:pPr>
            <w:r w:rsidRPr="00B44B71">
              <w:rPr>
                <w:rFonts w:ascii="Times New Roman" w:eastAsia="Times New Roman" w:hAnsi="Times New Roman" w:cs="Times New Roman"/>
                <w:b/>
                <w:bCs/>
                <w:sz w:val="24"/>
                <w:szCs w:val="24"/>
                <w:lang w:eastAsia="ru-RU"/>
              </w:rPr>
              <w:t xml:space="preserve">Comparison </w:t>
            </w:r>
            <w:r w:rsidRPr="00B44B71">
              <w:rPr>
                <w:rFonts w:ascii="Times New Roman" w:eastAsia="Times New Roman" w:hAnsi="Times New Roman" w:cs="Times New Roman"/>
                <w:b/>
                <w:bCs/>
                <w:sz w:val="24"/>
                <w:szCs w:val="24"/>
                <w:lang w:eastAsia="ru-RU"/>
              </w:rPr>
              <w:lastRenderedPageBreak/>
              <w:t>criterion</w:t>
            </w:r>
          </w:p>
        </w:tc>
        <w:tc>
          <w:tcPr>
            <w:tcW w:w="3854" w:type="dxa"/>
            <w:vAlign w:val="center"/>
          </w:tcPr>
          <w:p w14:paraId="3DD49B93" w14:textId="77777777" w:rsidR="00B44B71" w:rsidRPr="00B44B71" w:rsidRDefault="00B44B71" w:rsidP="00B6038D">
            <w:pPr>
              <w:tabs>
                <w:tab w:val="left" w:pos="9638"/>
              </w:tabs>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b/>
                <w:bCs/>
                <w:sz w:val="24"/>
                <w:szCs w:val="24"/>
                <w:lang w:val="en-US" w:eastAsia="ru-RU"/>
              </w:rPr>
              <w:lastRenderedPageBreak/>
              <w:t xml:space="preserve">Domestic experience (Armed </w:t>
            </w:r>
            <w:r w:rsidRPr="00B44B71">
              <w:rPr>
                <w:rFonts w:ascii="Times New Roman" w:eastAsia="Times New Roman" w:hAnsi="Times New Roman" w:cs="Times New Roman"/>
                <w:b/>
                <w:bCs/>
                <w:sz w:val="24"/>
                <w:szCs w:val="24"/>
                <w:lang w:val="en-US" w:eastAsia="ru-RU"/>
              </w:rPr>
              <w:lastRenderedPageBreak/>
              <w:t>Forces of Ukraine)</w:t>
            </w:r>
          </w:p>
        </w:tc>
        <w:tc>
          <w:tcPr>
            <w:tcW w:w="4110" w:type="dxa"/>
            <w:vAlign w:val="center"/>
          </w:tcPr>
          <w:p w14:paraId="20612980" w14:textId="77777777" w:rsidR="00B44B71" w:rsidRPr="00B44B71" w:rsidRDefault="00B44B71" w:rsidP="00B6038D">
            <w:pPr>
              <w:tabs>
                <w:tab w:val="left" w:pos="9638"/>
              </w:tabs>
              <w:jc w:val="both"/>
              <w:rPr>
                <w:rFonts w:ascii="Times New Roman" w:eastAsia="Calibri" w:hAnsi="Times New Roman" w:cs="Times New Roman"/>
                <w:b/>
                <w:bCs/>
                <w:sz w:val="24"/>
                <w:szCs w:val="24"/>
              </w:rPr>
            </w:pPr>
            <w:r w:rsidRPr="00B44B71">
              <w:rPr>
                <w:rFonts w:ascii="Times New Roman" w:eastAsia="Times New Roman" w:hAnsi="Times New Roman" w:cs="Times New Roman"/>
                <w:b/>
                <w:bCs/>
                <w:sz w:val="24"/>
                <w:szCs w:val="24"/>
                <w:lang w:eastAsia="ru-RU"/>
              </w:rPr>
              <w:lastRenderedPageBreak/>
              <w:t>Foreign experience (NATO countries)</w:t>
            </w:r>
          </w:p>
        </w:tc>
      </w:tr>
      <w:tr w:rsidR="00B44B71" w:rsidRPr="00B44B71" w14:paraId="4AF96090" w14:textId="77777777" w:rsidTr="00F918EC">
        <w:tc>
          <w:tcPr>
            <w:tcW w:w="1670" w:type="dxa"/>
            <w:vAlign w:val="center"/>
          </w:tcPr>
          <w:p w14:paraId="7241F964" w14:textId="77777777" w:rsidR="00B44B71" w:rsidRPr="00B44B71" w:rsidRDefault="00B44B71" w:rsidP="00B6038D">
            <w:pPr>
              <w:tabs>
                <w:tab w:val="left" w:pos="9638"/>
              </w:tabs>
              <w:jc w:val="both"/>
              <w:rPr>
                <w:rFonts w:ascii="Times New Roman" w:eastAsia="Calibri" w:hAnsi="Times New Roman" w:cs="Times New Roman"/>
                <w:b/>
                <w:bCs/>
                <w:sz w:val="24"/>
                <w:szCs w:val="24"/>
              </w:rPr>
            </w:pPr>
            <w:r w:rsidRPr="00B44B71">
              <w:rPr>
                <w:rFonts w:ascii="Times New Roman" w:eastAsia="Times New Roman" w:hAnsi="Times New Roman" w:cs="Times New Roman"/>
                <w:b/>
                <w:bCs/>
                <w:sz w:val="24"/>
                <w:szCs w:val="24"/>
                <w:lang w:eastAsia="ru-RU"/>
              </w:rPr>
              <w:t>Regulatory framework</w:t>
            </w:r>
          </w:p>
        </w:tc>
        <w:tc>
          <w:tcPr>
            <w:tcW w:w="3854" w:type="dxa"/>
            <w:vAlign w:val="center"/>
          </w:tcPr>
          <w:p w14:paraId="68096A8F" w14:textId="77777777" w:rsidR="00B44B71" w:rsidRPr="00B44B71" w:rsidRDefault="00B44B71" w:rsidP="00B6038D">
            <w:pPr>
              <w:tabs>
                <w:tab w:val="left" w:pos="9638"/>
              </w:tabs>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sz w:val="24"/>
                <w:szCs w:val="24"/>
                <w:lang w:val="en-US" w:eastAsia="ru-RU"/>
              </w:rPr>
              <w:t>Doctrine of Military Leadership Development of the Armed Forces of Ukraine, Catalogue of Military Professional Competencies, orders of the Ministry of Defense of Ukraine</w:t>
            </w:r>
          </w:p>
        </w:tc>
        <w:tc>
          <w:tcPr>
            <w:tcW w:w="4110" w:type="dxa"/>
            <w:vAlign w:val="center"/>
          </w:tcPr>
          <w:p w14:paraId="4C49EC41" w14:textId="77777777" w:rsidR="00B44B71" w:rsidRPr="00B44B71" w:rsidRDefault="00B44B71" w:rsidP="00B6038D">
            <w:pPr>
              <w:tabs>
                <w:tab w:val="left" w:pos="9638"/>
              </w:tabs>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sz w:val="24"/>
                <w:szCs w:val="24"/>
                <w:lang w:val="en-US" w:eastAsia="ru-RU"/>
              </w:rPr>
              <w:t>FM 6-22 (USA), Army Leadership Doctrine (UK), national doctrines</w:t>
            </w:r>
          </w:p>
        </w:tc>
      </w:tr>
      <w:tr w:rsidR="00B44B71" w:rsidRPr="00B44B71" w14:paraId="36E855FA" w14:textId="77777777" w:rsidTr="00F918EC">
        <w:tc>
          <w:tcPr>
            <w:tcW w:w="1670" w:type="dxa"/>
            <w:vAlign w:val="center"/>
          </w:tcPr>
          <w:p w14:paraId="5BFA642E" w14:textId="77777777" w:rsidR="00B44B71" w:rsidRPr="00B44B71" w:rsidRDefault="00B44B71" w:rsidP="00B6038D">
            <w:pPr>
              <w:tabs>
                <w:tab w:val="left" w:pos="9638"/>
              </w:tabs>
              <w:jc w:val="both"/>
              <w:rPr>
                <w:rFonts w:ascii="Times New Roman" w:eastAsia="Calibri" w:hAnsi="Times New Roman" w:cs="Times New Roman"/>
                <w:b/>
                <w:bCs/>
                <w:sz w:val="24"/>
                <w:szCs w:val="24"/>
              </w:rPr>
            </w:pPr>
            <w:r w:rsidRPr="00B44B71">
              <w:rPr>
                <w:rFonts w:ascii="Times New Roman" w:eastAsia="Times New Roman" w:hAnsi="Times New Roman" w:cs="Times New Roman"/>
                <w:b/>
                <w:bCs/>
                <w:sz w:val="24"/>
                <w:szCs w:val="24"/>
                <w:lang w:eastAsia="ru-RU"/>
              </w:rPr>
              <w:t>Dominant assessment approach</w:t>
            </w:r>
          </w:p>
        </w:tc>
        <w:tc>
          <w:tcPr>
            <w:tcW w:w="3854" w:type="dxa"/>
            <w:vAlign w:val="center"/>
          </w:tcPr>
          <w:p w14:paraId="2FE219D2" w14:textId="77777777" w:rsidR="00B44B71" w:rsidRPr="00B44B71" w:rsidRDefault="00B44B71" w:rsidP="00B6038D">
            <w:pPr>
              <w:tabs>
                <w:tab w:val="left" w:pos="9638"/>
              </w:tabs>
              <w:jc w:val="both"/>
              <w:rPr>
                <w:rFonts w:ascii="Times New Roman" w:eastAsia="Calibri" w:hAnsi="Times New Roman" w:cs="Times New Roman"/>
                <w:b/>
                <w:bCs/>
                <w:sz w:val="24"/>
                <w:szCs w:val="24"/>
              </w:rPr>
            </w:pPr>
            <w:r w:rsidRPr="00B44B71">
              <w:rPr>
                <w:rFonts w:ascii="Times New Roman" w:eastAsia="Times New Roman" w:hAnsi="Times New Roman" w:cs="Times New Roman"/>
                <w:sz w:val="24"/>
                <w:szCs w:val="24"/>
                <w:lang w:eastAsia="ru-RU"/>
              </w:rPr>
              <w:t>Certification-formalized</w:t>
            </w:r>
          </w:p>
        </w:tc>
        <w:tc>
          <w:tcPr>
            <w:tcW w:w="4110" w:type="dxa"/>
            <w:vAlign w:val="center"/>
          </w:tcPr>
          <w:p w14:paraId="1005505A" w14:textId="77777777" w:rsidR="00B44B71" w:rsidRPr="00B44B71" w:rsidRDefault="00B44B71" w:rsidP="00B6038D">
            <w:pPr>
              <w:tabs>
                <w:tab w:val="left" w:pos="9638"/>
              </w:tabs>
              <w:jc w:val="both"/>
              <w:rPr>
                <w:rFonts w:ascii="Times New Roman" w:eastAsia="Calibri" w:hAnsi="Times New Roman" w:cs="Times New Roman"/>
                <w:b/>
                <w:bCs/>
                <w:sz w:val="24"/>
                <w:szCs w:val="24"/>
              </w:rPr>
            </w:pPr>
            <w:r w:rsidRPr="00B44B71">
              <w:rPr>
                <w:rFonts w:ascii="Times New Roman" w:eastAsia="Times New Roman" w:hAnsi="Times New Roman" w:cs="Times New Roman"/>
                <w:sz w:val="24"/>
                <w:szCs w:val="24"/>
                <w:lang w:eastAsia="ru-RU"/>
              </w:rPr>
              <w:t>Competency-behavioral</w:t>
            </w:r>
          </w:p>
        </w:tc>
      </w:tr>
      <w:tr w:rsidR="00B44B71" w:rsidRPr="00B44B71" w14:paraId="2A173700" w14:textId="77777777" w:rsidTr="00F918EC">
        <w:tc>
          <w:tcPr>
            <w:tcW w:w="1670" w:type="dxa"/>
            <w:vAlign w:val="center"/>
          </w:tcPr>
          <w:p w14:paraId="0A372407" w14:textId="77777777" w:rsidR="00B44B71" w:rsidRPr="00B44B71" w:rsidRDefault="00B44B71" w:rsidP="00B6038D">
            <w:pPr>
              <w:tabs>
                <w:tab w:val="left" w:pos="9638"/>
              </w:tabs>
              <w:jc w:val="both"/>
              <w:rPr>
                <w:rFonts w:ascii="Times New Roman" w:eastAsia="Calibri" w:hAnsi="Times New Roman" w:cs="Times New Roman"/>
                <w:b/>
                <w:bCs/>
                <w:sz w:val="24"/>
                <w:szCs w:val="24"/>
              </w:rPr>
            </w:pPr>
            <w:r w:rsidRPr="00B44B71">
              <w:rPr>
                <w:rFonts w:ascii="Times New Roman" w:eastAsia="Times New Roman" w:hAnsi="Times New Roman" w:cs="Times New Roman"/>
                <w:b/>
                <w:bCs/>
                <w:sz w:val="24"/>
                <w:szCs w:val="24"/>
                <w:lang w:eastAsia="ru-RU"/>
              </w:rPr>
              <w:t>Assessment tools</w:t>
            </w:r>
          </w:p>
        </w:tc>
        <w:tc>
          <w:tcPr>
            <w:tcW w:w="3854" w:type="dxa"/>
            <w:vAlign w:val="center"/>
          </w:tcPr>
          <w:p w14:paraId="006DC99C" w14:textId="77777777" w:rsidR="00B44B71" w:rsidRPr="00B44B71" w:rsidRDefault="00B44B71" w:rsidP="00B6038D">
            <w:pPr>
              <w:tabs>
                <w:tab w:val="left" w:pos="9638"/>
              </w:tabs>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sz w:val="24"/>
                <w:szCs w:val="24"/>
                <w:lang w:val="en-US" w:eastAsia="ru-RU"/>
              </w:rPr>
              <w:t>Service characteristics, certification sheets, commanders’ conclusions</w:t>
            </w:r>
          </w:p>
        </w:tc>
        <w:tc>
          <w:tcPr>
            <w:tcW w:w="4110" w:type="dxa"/>
            <w:vAlign w:val="center"/>
          </w:tcPr>
          <w:p w14:paraId="0EDC0778" w14:textId="77777777" w:rsidR="00B44B71" w:rsidRPr="00B44B71" w:rsidRDefault="00B44B71" w:rsidP="00B6038D">
            <w:pPr>
              <w:tabs>
                <w:tab w:val="left" w:pos="9638"/>
              </w:tabs>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sz w:val="24"/>
                <w:szCs w:val="24"/>
                <w:lang w:val="en-US" w:eastAsia="ru-RU"/>
              </w:rPr>
              <w:t>Behavioral indicators assessment, case methods, role-playing and situational exercises</w:t>
            </w:r>
          </w:p>
        </w:tc>
      </w:tr>
      <w:tr w:rsidR="00B44B71" w:rsidRPr="00B44B71" w14:paraId="7B661E73" w14:textId="77777777" w:rsidTr="00F918EC">
        <w:tc>
          <w:tcPr>
            <w:tcW w:w="1670" w:type="dxa"/>
            <w:vAlign w:val="center"/>
          </w:tcPr>
          <w:p w14:paraId="57A5C703" w14:textId="77777777" w:rsidR="00B44B71" w:rsidRPr="00B44B71" w:rsidRDefault="00B44B71" w:rsidP="00B6038D">
            <w:pPr>
              <w:tabs>
                <w:tab w:val="left" w:pos="9638"/>
              </w:tabs>
              <w:rPr>
                <w:rFonts w:ascii="Times New Roman" w:eastAsia="Calibri" w:hAnsi="Times New Roman" w:cs="Times New Roman"/>
                <w:b/>
                <w:bCs/>
                <w:sz w:val="24"/>
                <w:szCs w:val="24"/>
              </w:rPr>
            </w:pPr>
            <w:r w:rsidRPr="00B44B71">
              <w:rPr>
                <w:rFonts w:ascii="Times New Roman" w:eastAsia="Times New Roman" w:hAnsi="Times New Roman" w:cs="Times New Roman"/>
                <w:b/>
                <w:bCs/>
                <w:sz w:val="24"/>
                <w:szCs w:val="24"/>
                <w:lang w:eastAsia="ru-RU"/>
              </w:rPr>
              <w:t>Consideration of psychological resilience</w:t>
            </w:r>
          </w:p>
        </w:tc>
        <w:tc>
          <w:tcPr>
            <w:tcW w:w="3854" w:type="dxa"/>
            <w:vAlign w:val="center"/>
          </w:tcPr>
          <w:p w14:paraId="0DD0B5A4" w14:textId="77777777" w:rsidR="00B44B71" w:rsidRPr="00B44B71" w:rsidRDefault="00B44B71" w:rsidP="00B6038D">
            <w:pPr>
              <w:tabs>
                <w:tab w:val="left" w:pos="9638"/>
              </w:tabs>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sz w:val="24"/>
                <w:szCs w:val="24"/>
                <w:lang w:val="en-US" w:eastAsia="ru-RU"/>
              </w:rPr>
              <w:t>Limited, mainly through general conclusions</w:t>
            </w:r>
          </w:p>
        </w:tc>
        <w:tc>
          <w:tcPr>
            <w:tcW w:w="4110" w:type="dxa"/>
            <w:vAlign w:val="center"/>
          </w:tcPr>
          <w:p w14:paraId="1AD513D2" w14:textId="77777777" w:rsidR="00B44B71" w:rsidRPr="00B44B71" w:rsidRDefault="00B44B71" w:rsidP="00B6038D">
            <w:pPr>
              <w:tabs>
                <w:tab w:val="left" w:pos="9638"/>
              </w:tabs>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sz w:val="24"/>
                <w:szCs w:val="24"/>
                <w:lang w:val="en-US" w:eastAsia="ru-RU"/>
              </w:rPr>
              <w:t>Systemic: psychodiagnostics, assessment of resilience and stress resistance</w:t>
            </w:r>
          </w:p>
        </w:tc>
      </w:tr>
      <w:tr w:rsidR="00B44B71" w:rsidRPr="00B44B71" w14:paraId="71468E0E" w14:textId="77777777" w:rsidTr="00F918EC">
        <w:tc>
          <w:tcPr>
            <w:tcW w:w="1670" w:type="dxa"/>
            <w:vAlign w:val="center"/>
          </w:tcPr>
          <w:p w14:paraId="17AB26B4" w14:textId="77777777" w:rsidR="00B44B71" w:rsidRPr="00B44B71" w:rsidRDefault="00B44B71" w:rsidP="00B6038D">
            <w:pPr>
              <w:tabs>
                <w:tab w:val="left" w:pos="9638"/>
              </w:tabs>
              <w:rPr>
                <w:rFonts w:ascii="Times New Roman" w:eastAsia="Calibri" w:hAnsi="Times New Roman" w:cs="Times New Roman"/>
                <w:b/>
                <w:bCs/>
                <w:sz w:val="24"/>
                <w:szCs w:val="24"/>
                <w:lang w:val="en-US"/>
              </w:rPr>
            </w:pPr>
            <w:r w:rsidRPr="00B44B71">
              <w:rPr>
                <w:rFonts w:ascii="Times New Roman" w:eastAsia="Times New Roman" w:hAnsi="Times New Roman" w:cs="Times New Roman"/>
                <w:b/>
                <w:bCs/>
                <w:sz w:val="24"/>
                <w:szCs w:val="24"/>
                <w:lang w:val="en-US" w:eastAsia="ru-RU"/>
              </w:rPr>
              <w:t>Assessment in conditions close to combat</w:t>
            </w:r>
          </w:p>
        </w:tc>
        <w:tc>
          <w:tcPr>
            <w:tcW w:w="3854" w:type="dxa"/>
            <w:vAlign w:val="center"/>
          </w:tcPr>
          <w:p w14:paraId="1BF883DC" w14:textId="77777777" w:rsidR="00B44B71" w:rsidRPr="00B44B71" w:rsidRDefault="00B44B71" w:rsidP="00B6038D">
            <w:pPr>
              <w:tabs>
                <w:tab w:val="left" w:pos="9638"/>
              </w:tabs>
              <w:jc w:val="both"/>
              <w:rPr>
                <w:rFonts w:ascii="Times New Roman" w:eastAsia="Calibri" w:hAnsi="Times New Roman" w:cs="Times New Roman"/>
                <w:b/>
                <w:bCs/>
                <w:sz w:val="24"/>
                <w:szCs w:val="24"/>
              </w:rPr>
            </w:pPr>
            <w:r w:rsidRPr="00B44B71">
              <w:rPr>
                <w:rFonts w:ascii="Times New Roman" w:eastAsia="Times New Roman" w:hAnsi="Times New Roman" w:cs="Times New Roman"/>
                <w:sz w:val="24"/>
                <w:szCs w:val="24"/>
                <w:lang w:eastAsia="ru-RU"/>
              </w:rPr>
              <w:t>Episodic or absent</w:t>
            </w:r>
          </w:p>
        </w:tc>
        <w:tc>
          <w:tcPr>
            <w:tcW w:w="4110" w:type="dxa"/>
            <w:vAlign w:val="center"/>
          </w:tcPr>
          <w:p w14:paraId="27E758CE" w14:textId="77777777" w:rsidR="00B44B71" w:rsidRPr="00B44B71" w:rsidRDefault="00B44B71" w:rsidP="00B6038D">
            <w:pPr>
              <w:tabs>
                <w:tab w:val="left" w:pos="9638"/>
              </w:tabs>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sz w:val="24"/>
                <w:szCs w:val="24"/>
                <w:lang w:val="en-US" w:eastAsia="ru-RU"/>
              </w:rPr>
              <w:t>Wide use of training scenarios and simulations</w:t>
            </w:r>
          </w:p>
        </w:tc>
      </w:tr>
      <w:tr w:rsidR="00B44B71" w:rsidRPr="00B44B71" w14:paraId="39FB7A76" w14:textId="77777777" w:rsidTr="00F918EC">
        <w:tc>
          <w:tcPr>
            <w:tcW w:w="1670" w:type="dxa"/>
            <w:vAlign w:val="center"/>
          </w:tcPr>
          <w:p w14:paraId="3AC4AA45" w14:textId="77777777" w:rsidR="00B44B71" w:rsidRPr="00B44B71" w:rsidRDefault="00B44B71" w:rsidP="00B6038D">
            <w:pPr>
              <w:tabs>
                <w:tab w:val="left" w:pos="9638"/>
              </w:tabs>
              <w:rPr>
                <w:rFonts w:ascii="Times New Roman" w:eastAsia="Calibri" w:hAnsi="Times New Roman" w:cs="Times New Roman"/>
                <w:b/>
                <w:bCs/>
                <w:sz w:val="24"/>
                <w:szCs w:val="24"/>
              </w:rPr>
            </w:pPr>
            <w:r w:rsidRPr="00B44B71">
              <w:rPr>
                <w:rFonts w:ascii="Times New Roman" w:eastAsia="Times New Roman" w:hAnsi="Times New Roman" w:cs="Times New Roman"/>
                <w:b/>
                <w:bCs/>
                <w:sz w:val="24"/>
                <w:szCs w:val="24"/>
                <w:lang w:eastAsia="ru-RU"/>
              </w:rPr>
              <w:t>Role of expert observation</w:t>
            </w:r>
          </w:p>
        </w:tc>
        <w:tc>
          <w:tcPr>
            <w:tcW w:w="3854" w:type="dxa"/>
            <w:vAlign w:val="center"/>
          </w:tcPr>
          <w:p w14:paraId="25C4E439" w14:textId="77777777" w:rsidR="00B44B71" w:rsidRPr="00B44B71" w:rsidRDefault="00B44B71" w:rsidP="00B6038D">
            <w:pPr>
              <w:tabs>
                <w:tab w:val="left" w:pos="9638"/>
              </w:tabs>
              <w:jc w:val="both"/>
              <w:rPr>
                <w:rFonts w:ascii="Times New Roman" w:eastAsia="Calibri" w:hAnsi="Times New Roman" w:cs="Times New Roman"/>
                <w:b/>
                <w:bCs/>
                <w:sz w:val="24"/>
                <w:szCs w:val="24"/>
              </w:rPr>
            </w:pPr>
            <w:r w:rsidRPr="00B44B71">
              <w:rPr>
                <w:rFonts w:ascii="Times New Roman" w:eastAsia="Times New Roman" w:hAnsi="Times New Roman" w:cs="Times New Roman"/>
                <w:sz w:val="24"/>
                <w:szCs w:val="24"/>
                <w:lang w:eastAsia="ru-RU"/>
              </w:rPr>
              <w:t>Mostly subjective</w:t>
            </w:r>
          </w:p>
        </w:tc>
        <w:tc>
          <w:tcPr>
            <w:tcW w:w="4110" w:type="dxa"/>
            <w:vAlign w:val="center"/>
          </w:tcPr>
          <w:p w14:paraId="0D74194E" w14:textId="77777777" w:rsidR="00B44B71" w:rsidRPr="00B44B71" w:rsidRDefault="00B44B71" w:rsidP="00B6038D">
            <w:pPr>
              <w:tabs>
                <w:tab w:val="left" w:pos="9638"/>
              </w:tabs>
              <w:jc w:val="both"/>
              <w:rPr>
                <w:rFonts w:ascii="Times New Roman" w:eastAsia="Calibri" w:hAnsi="Times New Roman" w:cs="Times New Roman"/>
                <w:b/>
                <w:bCs/>
                <w:sz w:val="24"/>
                <w:szCs w:val="24"/>
              </w:rPr>
            </w:pPr>
            <w:r w:rsidRPr="00B44B71">
              <w:rPr>
                <w:rFonts w:ascii="Times New Roman" w:eastAsia="Times New Roman" w:hAnsi="Times New Roman" w:cs="Times New Roman"/>
                <w:sz w:val="24"/>
                <w:szCs w:val="24"/>
                <w:lang w:eastAsia="ru-RU"/>
              </w:rPr>
              <w:t>Structured, using standardized criteria</w:t>
            </w:r>
          </w:p>
        </w:tc>
      </w:tr>
      <w:tr w:rsidR="00B44B71" w:rsidRPr="00B44B71" w14:paraId="38130280" w14:textId="77777777" w:rsidTr="00F918EC">
        <w:tc>
          <w:tcPr>
            <w:tcW w:w="1670" w:type="dxa"/>
            <w:vAlign w:val="center"/>
          </w:tcPr>
          <w:p w14:paraId="7F95D263" w14:textId="77777777" w:rsidR="00B44B71" w:rsidRPr="00B44B71" w:rsidRDefault="00B44B71" w:rsidP="00B6038D">
            <w:pPr>
              <w:tabs>
                <w:tab w:val="left" w:pos="9638"/>
              </w:tabs>
              <w:rPr>
                <w:rFonts w:ascii="Times New Roman" w:eastAsia="Calibri" w:hAnsi="Times New Roman" w:cs="Times New Roman"/>
                <w:b/>
                <w:bCs/>
                <w:sz w:val="24"/>
                <w:szCs w:val="24"/>
                <w:lang w:val="en-US"/>
              </w:rPr>
            </w:pPr>
            <w:r w:rsidRPr="00B44B71">
              <w:rPr>
                <w:rFonts w:ascii="Times New Roman" w:eastAsia="Times New Roman" w:hAnsi="Times New Roman" w:cs="Times New Roman"/>
                <w:b/>
                <w:bCs/>
                <w:sz w:val="24"/>
                <w:szCs w:val="24"/>
                <w:lang w:val="en-US" w:eastAsia="ru-RU"/>
              </w:rPr>
              <w:t>Flexibility and adaptability of models</w:t>
            </w:r>
          </w:p>
        </w:tc>
        <w:tc>
          <w:tcPr>
            <w:tcW w:w="3854" w:type="dxa"/>
            <w:vAlign w:val="center"/>
          </w:tcPr>
          <w:p w14:paraId="31B511C8" w14:textId="77777777" w:rsidR="00B44B71" w:rsidRPr="00B44B71" w:rsidRDefault="00B44B71" w:rsidP="00B6038D">
            <w:pPr>
              <w:tabs>
                <w:tab w:val="left" w:pos="9638"/>
              </w:tabs>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sz w:val="24"/>
                <w:szCs w:val="24"/>
                <w:lang w:val="en-US" w:eastAsia="ru-RU"/>
              </w:rPr>
              <w:t>Limited, focus on regulatory compliance</w:t>
            </w:r>
          </w:p>
        </w:tc>
        <w:tc>
          <w:tcPr>
            <w:tcW w:w="4110" w:type="dxa"/>
            <w:vAlign w:val="center"/>
          </w:tcPr>
          <w:p w14:paraId="0A77FC34" w14:textId="77777777" w:rsidR="00B44B71" w:rsidRPr="00B44B71" w:rsidRDefault="00B44B71" w:rsidP="00B6038D">
            <w:pPr>
              <w:tabs>
                <w:tab w:val="left" w:pos="9638"/>
              </w:tabs>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sz w:val="24"/>
                <w:szCs w:val="24"/>
                <w:lang w:val="en-US" w:eastAsia="ru-RU"/>
              </w:rPr>
              <w:t>High, considering the dynamics of modern threats</w:t>
            </w:r>
          </w:p>
        </w:tc>
      </w:tr>
      <w:tr w:rsidR="00B44B71" w:rsidRPr="00B44B71" w14:paraId="23D341B3" w14:textId="77777777" w:rsidTr="00F918EC">
        <w:tc>
          <w:tcPr>
            <w:tcW w:w="1670" w:type="dxa"/>
            <w:vAlign w:val="center"/>
          </w:tcPr>
          <w:p w14:paraId="4C53B766" w14:textId="77777777" w:rsidR="00B44B71" w:rsidRPr="00B44B71" w:rsidRDefault="00B44B71" w:rsidP="00B6038D">
            <w:pPr>
              <w:tabs>
                <w:tab w:val="left" w:pos="9638"/>
              </w:tabs>
              <w:rPr>
                <w:rFonts w:ascii="Times New Roman" w:eastAsia="Calibri" w:hAnsi="Times New Roman" w:cs="Times New Roman"/>
                <w:b/>
                <w:bCs/>
                <w:sz w:val="24"/>
                <w:szCs w:val="24"/>
              </w:rPr>
            </w:pPr>
            <w:r w:rsidRPr="00B44B71">
              <w:rPr>
                <w:rFonts w:ascii="Times New Roman" w:eastAsia="Times New Roman" w:hAnsi="Times New Roman" w:cs="Times New Roman"/>
                <w:b/>
                <w:bCs/>
                <w:sz w:val="24"/>
                <w:szCs w:val="24"/>
                <w:lang w:eastAsia="ru-RU"/>
              </w:rPr>
              <w:t>Focus on subordinates’ trust</w:t>
            </w:r>
          </w:p>
        </w:tc>
        <w:tc>
          <w:tcPr>
            <w:tcW w:w="3854" w:type="dxa"/>
            <w:vAlign w:val="center"/>
          </w:tcPr>
          <w:p w14:paraId="42AFA829" w14:textId="77777777" w:rsidR="00B44B71" w:rsidRPr="00B44B71" w:rsidRDefault="00B44B71" w:rsidP="00B6038D">
            <w:pPr>
              <w:tabs>
                <w:tab w:val="left" w:pos="9638"/>
              </w:tabs>
              <w:jc w:val="both"/>
              <w:rPr>
                <w:rFonts w:ascii="Times New Roman" w:eastAsia="Calibri" w:hAnsi="Times New Roman" w:cs="Times New Roman"/>
                <w:b/>
                <w:bCs/>
                <w:sz w:val="24"/>
                <w:szCs w:val="24"/>
              </w:rPr>
            </w:pPr>
            <w:r w:rsidRPr="00B44B71">
              <w:rPr>
                <w:rFonts w:ascii="Times New Roman" w:eastAsia="Times New Roman" w:hAnsi="Times New Roman" w:cs="Times New Roman"/>
                <w:sz w:val="24"/>
                <w:szCs w:val="24"/>
                <w:lang w:eastAsia="ru-RU"/>
              </w:rPr>
              <w:t>Indirectly considered</w:t>
            </w:r>
          </w:p>
        </w:tc>
        <w:tc>
          <w:tcPr>
            <w:tcW w:w="4110" w:type="dxa"/>
            <w:vAlign w:val="center"/>
          </w:tcPr>
          <w:p w14:paraId="67D2FA25" w14:textId="77777777" w:rsidR="00B44B71" w:rsidRPr="00B44B71" w:rsidRDefault="00B44B71" w:rsidP="00B6038D">
            <w:pPr>
              <w:tabs>
                <w:tab w:val="left" w:pos="9638"/>
              </w:tabs>
              <w:jc w:val="both"/>
              <w:rPr>
                <w:rFonts w:ascii="Times New Roman" w:eastAsia="Calibri" w:hAnsi="Times New Roman" w:cs="Times New Roman"/>
                <w:b/>
                <w:bCs/>
                <w:sz w:val="24"/>
                <w:szCs w:val="24"/>
                <w:lang w:val="en-US"/>
              </w:rPr>
            </w:pPr>
            <w:r w:rsidRPr="00B44B71">
              <w:rPr>
                <w:rFonts w:ascii="Times New Roman" w:eastAsia="Times New Roman" w:hAnsi="Times New Roman" w:cs="Times New Roman"/>
                <w:sz w:val="24"/>
                <w:szCs w:val="24"/>
                <w:lang w:val="en-US" w:eastAsia="ru-RU"/>
              </w:rPr>
              <w:t>Considered a key indicator of leadership effectiveness</w:t>
            </w:r>
          </w:p>
        </w:tc>
      </w:tr>
    </w:tbl>
    <w:p w14:paraId="7A8C24D9"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p>
    <w:p w14:paraId="6D6E9B34"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However, adapting foreign experience to the Armed Forces of Ukraine requires consideration of national combat experience, organizational culture, and the realities of full-scale war. As emphasized by Volobuev and Zaruba (2018), mechanical transfer of NATO standards without accounting for Ukrainian realities may reduce the effectiveness of personnel decisions (Volobuev, Veretilnyk, &amp; Hnydiuk, 2024). The use of situational assessment elements and multi-level models can significantly increase objectivity in selecting candidates for command positions. While advantages of implementing international experience include greater transparency and focus on practical results, risks involve resource intensity and the need for trained experts (Teixeira, 2024). Thus, the comparative analysis suggests combining domestic regulatory approaches with best foreign practices based on adaptability and contextual appropriateness.</w:t>
      </w:r>
    </w:p>
    <w:p w14:paraId="47451C31"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Given modern wartime challenges, an authorial framework for structuring professional competencies of command staff is proposed, supplementing existing concepts (Diak, Markova, &amp; Volobuev, 2024; Leadership Development Department of the Main Personnel Directorate of the General Staff of the Armed Forces of Ukraine, </w:t>
      </w:r>
      <w:r w:rsidRPr="00B44B71">
        <w:rPr>
          <w:rFonts w:ascii="Times New Roman" w:eastAsia="Calibri" w:hAnsi="Times New Roman" w:cs="Times New Roman"/>
          <w:kern w:val="0"/>
          <w:sz w:val="28"/>
          <w:szCs w:val="28"/>
          <w:lang w:val="uk-UA"/>
          <w14:ligatures w14:val="none"/>
        </w:rPr>
        <w:lastRenderedPageBreak/>
        <w:t>2025). Within this framework, the concept of combat leadership reliability is introduced – the commander's ability to maintain managerial effectiveness, moral authority, and responsibility for personnel under combat losses, prolonged stress, and high uncertainty.</w:t>
      </w:r>
    </w:p>
    <w:p w14:paraId="415758D8"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14:ligatures w14:val="none"/>
        </w:rPr>
        <w:t>Considering the limitations of formalized certification procedures and fragmented use of psychodiagnostic methods, a hybrid assessment model is proposed. This model combines complementary approaches to enable comprehensive evaluation of both personal and behavioral characteristics under conditions close to real service and combat activity.</w:t>
      </w:r>
    </w:p>
    <w:p w14:paraId="4EF83687"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14:ligatures w14:val="none"/>
        </w:rPr>
        <w:t>The proposed hybrid model is based on a three-level approach and includes psychodiagnostic, situational-behavioral, and expert-observational levels (see Fig. 1).</w:t>
      </w:r>
    </w:p>
    <w:p w14:paraId="2350ADA4"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14:ligatures w14:val="none"/>
        </w:rPr>
        <w:t>The proposed hybrid assessment model comprises three complementary levels:</w:t>
      </w:r>
    </w:p>
    <w:p w14:paraId="692222D3" w14:textId="77777777" w:rsidR="00B44B71" w:rsidRPr="00B44B71" w:rsidRDefault="00B44B71" w:rsidP="00023291">
      <w:pPr>
        <w:tabs>
          <w:tab w:val="left" w:pos="851"/>
          <w:tab w:val="left" w:pos="9638"/>
        </w:tabs>
        <w:spacing w:after="0" w:line="240" w:lineRule="auto"/>
        <w:ind w:firstLine="709"/>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lang w:val="uk-UA"/>
          <w14:ligatures w14:val="none"/>
        </w:rPr>
        <w:t>1</w:t>
      </w:r>
      <w:r w:rsidRPr="00B44B71">
        <w:rPr>
          <w:rFonts w:ascii="Times New Roman" w:eastAsia="Calibri" w:hAnsi="Times New Roman" w:cs="Times New Roman"/>
          <w:b/>
          <w:bCs/>
          <w:kern w:val="0"/>
          <w:sz w:val="28"/>
          <w:szCs w:val="28"/>
          <w:lang w:val="uk-UA"/>
          <w14:ligatures w14:val="none"/>
        </w:rPr>
        <w:t>. </w:t>
      </w:r>
      <w:r w:rsidRPr="00B44B71">
        <w:rPr>
          <w:rFonts w:ascii="Times New Roman" w:eastAsia="Calibri" w:hAnsi="Times New Roman" w:cs="Times New Roman"/>
          <w:b/>
          <w:bCs/>
          <w:kern w:val="0"/>
          <w:sz w:val="28"/>
          <w:szCs w:val="28"/>
          <w14:ligatures w14:val="none"/>
        </w:rPr>
        <w:t>Psychodiagnostics</w:t>
      </w:r>
      <w:r w:rsidRPr="00B44B71">
        <w:rPr>
          <w:rFonts w:ascii="Times New Roman" w:eastAsia="Calibri" w:hAnsi="Times New Roman" w:cs="Times New Roman"/>
          <w:kern w:val="0"/>
          <w:sz w:val="28"/>
          <w:szCs w:val="28"/>
          <w14:ligatures w14:val="none"/>
        </w:rPr>
        <w:t> </w:t>
      </w:r>
      <w:bookmarkStart w:id="9" w:name="_Hlk225414567"/>
      <w:r w:rsidRPr="00B44B71">
        <w:rPr>
          <w:rFonts w:ascii="Times New Roman" w:eastAsia="Calibri" w:hAnsi="Times New Roman" w:cs="Times New Roman"/>
          <w:kern w:val="0"/>
          <w:sz w:val="28"/>
          <w:szCs w:val="28"/>
          <w14:ligatures w14:val="none"/>
        </w:rPr>
        <w:t>–</w:t>
      </w:r>
      <w:bookmarkEnd w:id="9"/>
      <w:r w:rsidRPr="00B44B71">
        <w:rPr>
          <w:rFonts w:ascii="Times New Roman" w:eastAsia="Calibri" w:hAnsi="Times New Roman" w:cs="Times New Roman"/>
          <w:kern w:val="0"/>
          <w:sz w:val="28"/>
          <w:szCs w:val="28"/>
          <w14:ligatures w14:val="none"/>
        </w:rPr>
        <w:t xml:space="preserve"> assesses psychological resilience, self-regulation, emotional control, and stress tolerance using standardized methods. Results identify potential risks (burnout, impulsivity, reduced adaptability) and form a basis for further interpretation of managerial behavior.</w:t>
      </w:r>
    </w:p>
    <w:p w14:paraId="5D9EE5F9" w14:textId="77777777" w:rsidR="00B44B71" w:rsidRPr="00B44B71" w:rsidRDefault="00B44B71" w:rsidP="00023291">
      <w:pPr>
        <w:tabs>
          <w:tab w:val="left" w:pos="851"/>
          <w:tab w:val="left" w:pos="9638"/>
        </w:tabs>
        <w:spacing w:after="0" w:line="240" w:lineRule="auto"/>
        <w:ind w:firstLine="709"/>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lang w:val="uk-UA"/>
          <w14:ligatures w14:val="none"/>
        </w:rPr>
        <w:t>2</w:t>
      </w:r>
      <w:r w:rsidRPr="00B44B71">
        <w:rPr>
          <w:rFonts w:ascii="Times New Roman" w:eastAsia="Calibri" w:hAnsi="Times New Roman" w:cs="Times New Roman"/>
          <w:b/>
          <w:bCs/>
          <w:kern w:val="0"/>
          <w:sz w:val="28"/>
          <w:szCs w:val="28"/>
          <w:lang w:val="uk-UA"/>
          <w14:ligatures w14:val="none"/>
        </w:rPr>
        <w:t>. </w:t>
      </w:r>
      <w:r w:rsidRPr="00B44B71">
        <w:rPr>
          <w:rFonts w:ascii="Times New Roman" w:eastAsia="Calibri" w:hAnsi="Times New Roman" w:cs="Times New Roman"/>
          <w:b/>
          <w:bCs/>
          <w:kern w:val="0"/>
          <w:sz w:val="28"/>
          <w:szCs w:val="28"/>
          <w14:ligatures w14:val="none"/>
        </w:rPr>
        <w:t>Situational tasks</w:t>
      </w:r>
      <w:r w:rsidRPr="00B44B71">
        <w:rPr>
          <w:rFonts w:ascii="Times New Roman" w:eastAsia="Calibri" w:hAnsi="Times New Roman" w:cs="Times New Roman"/>
          <w:kern w:val="0"/>
          <w:sz w:val="28"/>
          <w:szCs w:val="28"/>
          <w14:ligatures w14:val="none"/>
        </w:rPr>
        <w:t> – involves solving tactical and managerial cases modeled on real combat or crisis situations. It evaluates decision-making under uncertainty, time and information deficit, responsibility for subordinates, and the ability to anticipate consequences, shifting assessment from declarative descriptions to real behavioral reactions.</w:t>
      </w:r>
    </w:p>
    <w:p w14:paraId="33E95BD2" w14:textId="77777777" w:rsidR="00B44B71" w:rsidRPr="00B44B71" w:rsidRDefault="00B44B71" w:rsidP="00023291">
      <w:pPr>
        <w:tabs>
          <w:tab w:val="left" w:pos="851"/>
          <w:tab w:val="left" w:pos="9638"/>
        </w:tabs>
        <w:spacing w:after="0" w:line="240" w:lineRule="auto"/>
        <w:ind w:firstLine="709"/>
        <w:contextualSpacing/>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lang w:val="uk-UA"/>
          <w14:ligatures w14:val="none"/>
        </w:rPr>
        <w:t>3</w:t>
      </w:r>
      <w:r w:rsidRPr="00B44B71">
        <w:rPr>
          <w:rFonts w:ascii="Times New Roman" w:eastAsia="Calibri" w:hAnsi="Times New Roman" w:cs="Times New Roman"/>
          <w:b/>
          <w:bCs/>
          <w:kern w:val="0"/>
          <w:sz w:val="28"/>
          <w:szCs w:val="28"/>
          <w:lang w:val="uk-UA"/>
          <w14:ligatures w14:val="none"/>
        </w:rPr>
        <w:t>. </w:t>
      </w:r>
      <w:r w:rsidRPr="00B44B71">
        <w:rPr>
          <w:rFonts w:ascii="Times New Roman" w:eastAsia="Calibri" w:hAnsi="Times New Roman" w:cs="Times New Roman"/>
          <w:b/>
          <w:bCs/>
          <w:kern w:val="0"/>
          <w:sz w:val="28"/>
          <w:szCs w:val="28"/>
          <w14:ligatures w14:val="none"/>
        </w:rPr>
        <w:t>Expert observation in field conditions</w:t>
      </w:r>
      <w:r w:rsidRPr="00B44B71">
        <w:rPr>
          <w:rFonts w:ascii="Times New Roman" w:eastAsia="Calibri" w:hAnsi="Times New Roman" w:cs="Times New Roman"/>
          <w:kern w:val="0"/>
          <w:sz w:val="28"/>
          <w:szCs w:val="28"/>
          <w14:ligatures w14:val="none"/>
        </w:rPr>
        <w:t> – consists of long-term observation during exercises, combat coordination, or missions. It captures informal leadership manifestations, the ability to maintain subordinates’ trust, moral authority, and unit management effectiveness under stress</w:t>
      </w:r>
      <w:r w:rsidRPr="00B44B71">
        <w:rPr>
          <w:rFonts w:ascii="Times New Roman" w:eastAsia="Calibri" w:hAnsi="Times New Roman" w:cs="Times New Roman"/>
          <w:kern w:val="0"/>
          <w:sz w:val="28"/>
          <w:szCs w:val="28"/>
          <w:lang w:val="uk-UA"/>
          <w14:ligatures w14:val="none"/>
        </w:rPr>
        <w:t xml:space="preserve"> </w:t>
      </w:r>
      <w:r w:rsidRPr="00B44B71">
        <w:rPr>
          <w:rFonts w:ascii="Times New Roman" w:eastAsia="Calibri" w:hAnsi="Times New Roman" w:cs="Times New Roman"/>
          <w:kern w:val="0"/>
          <w:sz w:val="28"/>
          <w:szCs w:val="28"/>
          <w14:ligatures w14:val="none"/>
        </w:rPr>
        <w:t>–</w:t>
      </w:r>
      <w:r w:rsidRPr="00B44B71">
        <w:rPr>
          <w:rFonts w:ascii="Times New Roman" w:eastAsia="Calibri" w:hAnsi="Times New Roman" w:cs="Times New Roman"/>
          <w:kern w:val="0"/>
          <w:sz w:val="28"/>
          <w:szCs w:val="28"/>
          <w:lang w:val="uk-UA"/>
          <w14:ligatures w14:val="none"/>
        </w:rPr>
        <w:t xml:space="preserve"> </w:t>
      </w:r>
      <w:r w:rsidRPr="00B44B71">
        <w:rPr>
          <w:rFonts w:ascii="Times New Roman" w:eastAsia="Calibri" w:hAnsi="Times New Roman" w:cs="Times New Roman"/>
          <w:kern w:val="0"/>
          <w:sz w:val="28"/>
          <w:szCs w:val="28"/>
          <w14:ligatures w14:val="none"/>
        </w:rPr>
        <w:t>aspects not easily measured by standardized instruments.</w:t>
      </w:r>
    </w:p>
    <w:p w14:paraId="1A746361" w14:textId="77777777" w:rsid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14:ligatures w14:val="none"/>
        </w:rPr>
        <w:t>Together, these levels enable a holistic assessment of professional suitability, combining objective psychological indicators with analysis of practical managerial activity, thereby increasing the validity of personnel decisions under wartime conditions.</w:t>
      </w:r>
    </w:p>
    <w:p w14:paraId="49EF99C5" w14:textId="77777777" w:rsidR="00C40986" w:rsidRPr="00B44B71" w:rsidRDefault="00C40986" w:rsidP="00023291">
      <w:pPr>
        <w:tabs>
          <w:tab w:val="left" w:pos="9638"/>
        </w:tabs>
        <w:spacing w:after="0" w:line="240" w:lineRule="auto"/>
        <w:ind w:firstLine="709"/>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14:ligatures w14:val="none"/>
        </w:rPr>
        <w:t>Despite existing methodological approaches, several critical aspects of command activity remain underexplored. The assessment of a commander’s moral authority</w:t>
      </w:r>
      <w:r w:rsidRPr="00B44B71">
        <w:rPr>
          <w:rFonts w:ascii="Times New Roman" w:eastAsia="Calibri" w:hAnsi="Times New Roman" w:cs="Times New Roman"/>
          <w:kern w:val="0"/>
          <w:sz w:val="28"/>
          <w:szCs w:val="28"/>
          <w:lang w:val="uk-UA"/>
          <w14:ligatures w14:val="none"/>
        </w:rPr>
        <w:t xml:space="preserve"> –</w:t>
      </w:r>
      <w:r w:rsidRPr="00B44B71">
        <w:rPr>
          <w:rFonts w:ascii="Times New Roman" w:eastAsia="Calibri" w:hAnsi="Times New Roman" w:cs="Times New Roman"/>
          <w:kern w:val="0"/>
          <w:sz w:val="28"/>
          <w:szCs w:val="28"/>
          <w14:ligatures w14:val="none"/>
        </w:rPr>
        <w:t>formed through personal example, responsibility, and ethically balanced decisions under risk</w:t>
      </w:r>
      <w:r w:rsidRPr="00B44B71">
        <w:rPr>
          <w:rFonts w:ascii="Times New Roman" w:eastAsia="Calibri" w:hAnsi="Times New Roman" w:cs="Times New Roman"/>
          <w:kern w:val="0"/>
          <w:sz w:val="28"/>
          <w:szCs w:val="28"/>
          <w:lang w:val="uk-UA"/>
          <w14:ligatures w14:val="none"/>
        </w:rPr>
        <w:t xml:space="preserve"> –</w:t>
      </w:r>
      <w:r w:rsidRPr="00B44B71">
        <w:rPr>
          <w:rFonts w:ascii="Times New Roman" w:eastAsia="Calibri" w:hAnsi="Times New Roman" w:cs="Times New Roman"/>
          <w:kern w:val="0"/>
          <w:sz w:val="28"/>
          <w:szCs w:val="28"/>
          <w14:ligatures w14:val="none"/>
        </w:rPr>
        <w:t>is fragmentarily addressed. Methods for measuring subordinates’ trust, a key determinant of unit cohesion and combat readiness, are underdeveloped. Furthermore, the impact of combat experience without proper reflection may consolidate rigid behavioral patterns, reducing adaptability, yet tools to evaluate a commander’s ability to reflect on experience and adjust strategies are practically absent.</w:t>
      </w:r>
    </w:p>
    <w:p w14:paraId="07EAF250" w14:textId="77777777" w:rsidR="00C40986" w:rsidRPr="00B44B71" w:rsidRDefault="00C40986" w:rsidP="00023291">
      <w:pPr>
        <w:tabs>
          <w:tab w:val="left" w:pos="9638"/>
        </w:tabs>
        <w:spacing w:after="0" w:line="240" w:lineRule="auto"/>
        <w:ind w:firstLine="709"/>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14:ligatures w14:val="none"/>
        </w:rPr>
        <w:t xml:space="preserve">The practical value of the research lies in its applicability to personnel selection, appointment, and rotation in the Armed Forces of Ukraine. The proposed comprehensive assessment approaches enhance the validity of managerial decisions, mitigate risks of formal certification, and account for wartime specifics. The materials </w:t>
      </w:r>
      <w:r w:rsidRPr="00B44B71">
        <w:rPr>
          <w:rFonts w:ascii="Times New Roman" w:eastAsia="Calibri" w:hAnsi="Times New Roman" w:cs="Times New Roman"/>
          <w:kern w:val="0"/>
          <w:sz w:val="28"/>
          <w:szCs w:val="28"/>
          <w14:ligatures w14:val="none"/>
        </w:rPr>
        <w:lastRenderedPageBreak/>
        <w:t>can also be used in professional training and advanced education of officers, sergeants, and warrant officers, providing a foundation for improving psychological support and developing leadership potential in combat conditions.</w:t>
      </w:r>
    </w:p>
    <w:p w14:paraId="5B5E8F13" w14:textId="77777777" w:rsidR="00C40986" w:rsidRPr="00B44B71" w:rsidRDefault="00C40986" w:rsidP="00023291">
      <w:pPr>
        <w:tabs>
          <w:tab w:val="left" w:pos="9638"/>
        </w:tabs>
        <w:spacing w:after="0" w:line="240" w:lineRule="auto"/>
        <w:ind w:firstLine="709"/>
        <w:jc w:val="both"/>
        <w:rPr>
          <w:rFonts w:ascii="Times New Roman" w:eastAsia="Calibri" w:hAnsi="Times New Roman" w:cs="Times New Roman"/>
          <w:b/>
          <w:bCs/>
          <w:kern w:val="0"/>
          <w:sz w:val="28"/>
          <w:szCs w:val="28"/>
          <w14:ligatures w14:val="none"/>
        </w:rPr>
      </w:pPr>
      <w:r w:rsidRPr="00B44B71">
        <w:rPr>
          <w:rFonts w:ascii="Times New Roman" w:eastAsia="Calibri" w:hAnsi="Times New Roman" w:cs="Times New Roman"/>
          <w:b/>
          <w:bCs/>
          <w:kern w:val="0"/>
          <w:sz w:val="28"/>
          <w:szCs w:val="28"/>
          <w14:ligatures w14:val="none"/>
        </w:rPr>
        <w:t>Conclusions</w:t>
      </w:r>
    </w:p>
    <w:p w14:paraId="55A3A597" w14:textId="77777777" w:rsidR="00C40986" w:rsidRDefault="00C40986" w:rsidP="00023291">
      <w:pPr>
        <w:tabs>
          <w:tab w:val="left" w:pos="9638"/>
        </w:tabs>
        <w:spacing w:after="0" w:line="240" w:lineRule="auto"/>
        <w:ind w:firstLine="709"/>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14:ligatures w14:val="none"/>
        </w:rPr>
        <w:t>The analysis of existing methodological approaches to assessing professional competencies of candidates for command positions in the Armed Forces of Ukraine has shown that traditional regulatory-doctrinal, psychodiagnostic, and certification methods ensure a certain level of objectivity and formalization; however, they do not always reflect the real leadership potential of servicemembers in complex combat conditions [1; 2; 6; 12]. Comparative analysis of foreign and domestic experience has demonstrated that NATO countries successfully integrate hybrid assessment models combining psychodiagnostics, situational cases, and expert observation, which increases the accuracy of selection and predictability of commanders’ effectiveness.</w:t>
      </w:r>
    </w:p>
    <w:p w14:paraId="301B1EEF" w14:textId="77777777" w:rsidR="007F460B" w:rsidRDefault="007F460B" w:rsidP="007F460B">
      <w:pPr>
        <w:tabs>
          <w:tab w:val="left" w:pos="9638"/>
        </w:tabs>
        <w:spacing w:after="0" w:line="240" w:lineRule="auto"/>
        <w:ind w:firstLine="709"/>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14:ligatures w14:val="none"/>
        </w:rPr>
        <w:t>The proposed authorial classification of professional competencies for wartime makes it possible to identify key blocks: command-operational, psychological-resilient, communicative-leadership, and moral-ethical, taking into account the specifics of unit management in high-risk conditions. Identification of “critical competencies,” such as the ability to make decisions under fire, psychological stability, and subordinates’ trust, makes it possible to determine those skills that cannot be compensated by experience and determine the effectiveness of command in combat conditions.</w:t>
      </w:r>
    </w:p>
    <w:p w14:paraId="6A8E28FC" w14:textId="77777777" w:rsidR="007F460B" w:rsidRPr="00B44B71" w:rsidRDefault="007F460B" w:rsidP="007F460B">
      <w:pPr>
        <w:tabs>
          <w:tab w:val="left" w:pos="9638"/>
        </w:tabs>
        <w:spacing w:after="0" w:line="240" w:lineRule="auto"/>
        <w:ind w:firstLine="709"/>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14:ligatures w14:val="none"/>
        </w:rPr>
        <w:t>Particularly important is the hybrid assessment model that combines three levels: psychodiagnostics, situational tasks, and expert observation in field conditions. This approach provides a comprehensive vision of a servicemember’s potential, allows identification of strengths and weaknesses, and adaptation of the training process to specific combat conditions.</w:t>
      </w:r>
    </w:p>
    <w:p w14:paraId="7E153CC7"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lang w:val="ru-RU"/>
          <w14:ligatures w14:val="none"/>
        </w:rPr>
      </w:pPr>
      <w:r w:rsidRPr="00B44B71">
        <w:rPr>
          <w:rFonts w:ascii="Times New Roman" w:eastAsia="Calibri" w:hAnsi="Times New Roman" w:cs="Times New Roman"/>
          <w:noProof/>
          <w:color w:val="000000"/>
          <w:kern w:val="0"/>
          <w:sz w:val="28"/>
          <w:szCs w:val="28"/>
          <w:lang w:val="uk-UA" w:eastAsia="uk-UA"/>
          <w14:ligatures w14:val="none"/>
        </w:rPr>
        <w:lastRenderedPageBreak/>
        <mc:AlternateContent>
          <mc:Choice Requires="wps">
            <w:drawing>
              <wp:anchor distT="0" distB="0" distL="114300" distR="114300" simplePos="0" relativeHeight="251667456" behindDoc="0" locked="0" layoutInCell="1" allowOverlap="1" wp14:anchorId="64366C36" wp14:editId="16E240B7">
                <wp:simplePos x="0" y="0"/>
                <wp:positionH relativeFrom="column">
                  <wp:posOffset>4638209</wp:posOffset>
                </wp:positionH>
                <wp:positionV relativeFrom="paragraph">
                  <wp:posOffset>5673050</wp:posOffset>
                </wp:positionV>
                <wp:extent cx="101600" cy="164925"/>
                <wp:effectExtent l="19050" t="0" r="31750" b="45085"/>
                <wp:wrapNone/>
                <wp:docPr id="19" name="Стрелка вниз 19"/>
                <wp:cNvGraphicFramePr/>
                <a:graphic xmlns:a="http://schemas.openxmlformats.org/drawingml/2006/main">
                  <a:graphicData uri="http://schemas.microsoft.com/office/word/2010/wordprocessingShape">
                    <wps:wsp>
                      <wps:cNvSpPr/>
                      <wps:spPr>
                        <a:xfrm>
                          <a:off x="0" y="0"/>
                          <a:ext cx="101600" cy="16492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D72778" id="Стрелка вниз 19" o:spid="_x0000_s1026" type="#_x0000_t67" style="position:absolute;margin-left:365.2pt;margin-top:446.7pt;width:8pt;height:13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" adj="14947" fillcolor="#4472c4" strokecolor="#2f528f" strokeweight="1pt"/>
            </w:pict>
          </mc:Fallback>
        </mc:AlternateContent>
      </w:r>
      <w:r w:rsidRPr="00B44B71">
        <w:rPr>
          <w:rFonts w:ascii="Times New Roman" w:eastAsia="Calibri" w:hAnsi="Times New Roman" w:cs="Times New Roman"/>
          <w:noProof/>
          <w:color w:val="000000"/>
          <w:kern w:val="0"/>
          <w:sz w:val="28"/>
          <w:szCs w:val="28"/>
          <w:lang w:val="uk-UA" w:eastAsia="uk-UA"/>
          <w14:ligatures w14:val="none"/>
        </w:rPr>
        <mc:AlternateContent>
          <mc:Choice Requires="wps">
            <w:drawing>
              <wp:anchor distT="0" distB="0" distL="114300" distR="114300" simplePos="0" relativeHeight="251666432" behindDoc="0" locked="0" layoutInCell="1" allowOverlap="1" wp14:anchorId="00D971F1" wp14:editId="30F4ECA4">
                <wp:simplePos x="0" y="0"/>
                <wp:positionH relativeFrom="column">
                  <wp:posOffset>1765748</wp:posOffset>
                </wp:positionH>
                <wp:positionV relativeFrom="paragraph">
                  <wp:posOffset>5674397</wp:posOffset>
                </wp:positionV>
                <wp:extent cx="101600" cy="164465"/>
                <wp:effectExtent l="19050" t="0" r="31750" b="45085"/>
                <wp:wrapNone/>
                <wp:docPr id="22" name="Стрелка вниз 22"/>
                <wp:cNvGraphicFramePr/>
                <a:graphic xmlns:a="http://schemas.openxmlformats.org/drawingml/2006/main">
                  <a:graphicData uri="http://schemas.microsoft.com/office/word/2010/wordprocessingShape">
                    <wps:wsp>
                      <wps:cNvSpPr/>
                      <wps:spPr>
                        <a:xfrm>
                          <a:off x="0" y="0"/>
                          <a:ext cx="101600" cy="16446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7757EB" id="Стрелка вниз 22" o:spid="_x0000_s1026" type="#_x0000_t67" style="position:absolute;margin-left:139.05pt;margin-top:446.8pt;width:8pt;height:12.9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" adj="14928" fillcolor="#4472c4" strokecolor="#2f528f" strokeweight="1pt"/>
            </w:pict>
          </mc:Fallback>
        </mc:AlternateContent>
      </w:r>
      <w:r w:rsidRPr="00B44B71">
        <w:rPr>
          <w:rFonts w:ascii="Times New Roman" w:eastAsia="Calibri" w:hAnsi="Times New Roman" w:cs="Times New Roman"/>
          <w:noProof/>
          <w:color w:val="000000"/>
          <w:kern w:val="0"/>
          <w:sz w:val="28"/>
          <w:szCs w:val="28"/>
          <w:lang w:val="uk-UA" w:eastAsia="uk-UA"/>
          <w14:ligatures w14:val="none"/>
        </w:rPr>
        <mc:AlternateContent>
          <mc:Choice Requires="wps">
            <w:drawing>
              <wp:anchor distT="0" distB="0" distL="114300" distR="114300" simplePos="0" relativeHeight="251669504" behindDoc="0" locked="0" layoutInCell="1" allowOverlap="1" wp14:anchorId="3F270AFF" wp14:editId="57DDBF8D">
                <wp:simplePos x="0" y="0"/>
                <wp:positionH relativeFrom="column">
                  <wp:posOffset>1769404</wp:posOffset>
                </wp:positionH>
                <wp:positionV relativeFrom="paragraph">
                  <wp:posOffset>3413209</wp:posOffset>
                </wp:positionV>
                <wp:extent cx="116282" cy="360031"/>
                <wp:effectExtent l="19050" t="0" r="36195" b="40640"/>
                <wp:wrapNone/>
                <wp:docPr id="25" name="Стрелка вниз 25"/>
                <wp:cNvGraphicFramePr/>
                <a:graphic xmlns:a="http://schemas.openxmlformats.org/drawingml/2006/main">
                  <a:graphicData uri="http://schemas.microsoft.com/office/word/2010/wordprocessingShape">
                    <wps:wsp>
                      <wps:cNvSpPr/>
                      <wps:spPr>
                        <a:xfrm>
                          <a:off x="0" y="0"/>
                          <a:ext cx="116282" cy="360031"/>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D428B" id="Стрелка вниз 25" o:spid="_x0000_s1026" type="#_x0000_t67" style="position:absolute;margin-left:139.3pt;margin-top:268.75pt;width:9.15pt;height:28.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" adj="18112" fillcolor="#4472c4" strokecolor="#2f528f" strokeweight="1pt"/>
            </w:pict>
          </mc:Fallback>
        </mc:AlternateContent>
      </w:r>
      <w:r w:rsidRPr="00B44B71">
        <w:rPr>
          <w:rFonts w:ascii="Times New Roman" w:eastAsia="Calibri" w:hAnsi="Times New Roman" w:cs="Times New Roman"/>
          <w:noProof/>
          <w:color w:val="000000"/>
          <w:kern w:val="0"/>
          <w:sz w:val="28"/>
          <w:szCs w:val="28"/>
          <w:lang w:val="uk-UA" w:eastAsia="uk-UA"/>
          <w14:ligatures w14:val="none"/>
        </w:rPr>
        <mc:AlternateContent>
          <mc:Choice Requires="wps">
            <w:drawing>
              <wp:anchor distT="0" distB="0" distL="114300" distR="114300" simplePos="0" relativeHeight="251670528" behindDoc="0" locked="0" layoutInCell="1" allowOverlap="1" wp14:anchorId="710A5D62" wp14:editId="35AD7EA6">
                <wp:simplePos x="0" y="0"/>
                <wp:positionH relativeFrom="column">
                  <wp:posOffset>4601621</wp:posOffset>
                </wp:positionH>
                <wp:positionV relativeFrom="paragraph">
                  <wp:posOffset>3609101</wp:posOffset>
                </wp:positionV>
                <wp:extent cx="91440" cy="164465"/>
                <wp:effectExtent l="19050" t="0" r="41910" b="45085"/>
                <wp:wrapNone/>
                <wp:docPr id="26" name="Стрелка вниз 26"/>
                <wp:cNvGraphicFramePr/>
                <a:graphic xmlns:a="http://schemas.openxmlformats.org/drawingml/2006/main">
                  <a:graphicData uri="http://schemas.microsoft.com/office/word/2010/wordprocessingShape">
                    <wps:wsp>
                      <wps:cNvSpPr/>
                      <wps:spPr>
                        <a:xfrm>
                          <a:off x="0" y="0"/>
                          <a:ext cx="91440" cy="16446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32F8E" id="Стрелка вниз 26" o:spid="_x0000_s1026" type="#_x0000_t67" style="position:absolute;margin-left:362.35pt;margin-top:284.2pt;width:7.2pt;height:12.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" adj="15595" fillcolor="#4472c4" strokecolor="#2f528f" strokeweight="1pt"/>
            </w:pict>
          </mc:Fallback>
        </mc:AlternateContent>
      </w:r>
      <w:r w:rsidRPr="00B44B71">
        <w:rPr>
          <w:rFonts w:ascii="Times New Roman" w:eastAsia="Calibri" w:hAnsi="Times New Roman" w:cs="Times New Roman"/>
          <w:noProof/>
          <w:color w:val="000000"/>
          <w:kern w:val="0"/>
          <w:sz w:val="28"/>
          <w:szCs w:val="28"/>
          <w:lang w:val="uk-UA" w:eastAsia="uk-UA"/>
          <w14:ligatures w14:val="none"/>
        </w:rPr>
        <mc:AlternateContent>
          <mc:Choice Requires="wps">
            <w:drawing>
              <wp:anchor distT="0" distB="0" distL="114300" distR="114300" simplePos="0" relativeHeight="251672576" behindDoc="0" locked="0" layoutInCell="1" allowOverlap="1" wp14:anchorId="5BE07E7E" wp14:editId="4E619FF5">
                <wp:simplePos x="0" y="0"/>
                <wp:positionH relativeFrom="column">
                  <wp:posOffset>1788590</wp:posOffset>
                </wp:positionH>
                <wp:positionV relativeFrom="paragraph">
                  <wp:posOffset>1352888</wp:posOffset>
                </wp:positionV>
                <wp:extent cx="101600" cy="164465"/>
                <wp:effectExtent l="19050" t="0" r="31750" b="45085"/>
                <wp:wrapNone/>
                <wp:docPr id="27" name="Стрелка вниз 27"/>
                <wp:cNvGraphicFramePr/>
                <a:graphic xmlns:a="http://schemas.openxmlformats.org/drawingml/2006/main">
                  <a:graphicData uri="http://schemas.microsoft.com/office/word/2010/wordprocessingShape">
                    <wps:wsp>
                      <wps:cNvSpPr/>
                      <wps:spPr>
                        <a:xfrm>
                          <a:off x="0" y="0"/>
                          <a:ext cx="101600" cy="16446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3A305" id="Стрелка вниз 27" o:spid="_x0000_s1026" type="#_x0000_t67" style="position:absolute;margin-left:140.85pt;margin-top:106.55pt;width:8pt;height:12.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" adj="14928" fillcolor="#4472c4" strokecolor="#2f528f" strokeweight="1pt"/>
            </w:pict>
          </mc:Fallback>
        </mc:AlternateContent>
      </w:r>
      <w:r w:rsidRPr="00B44B71">
        <w:rPr>
          <w:rFonts w:ascii="Times New Roman" w:eastAsia="Calibri" w:hAnsi="Times New Roman" w:cs="Times New Roman"/>
          <w:noProof/>
          <w:color w:val="000000"/>
          <w:kern w:val="0"/>
          <w:sz w:val="28"/>
          <w:szCs w:val="28"/>
          <w:lang w:val="uk-UA" w:eastAsia="uk-UA"/>
          <w14:ligatures w14:val="none"/>
        </w:rPr>
        <mc:AlternateContent>
          <mc:Choice Requires="wps">
            <w:drawing>
              <wp:anchor distT="0" distB="0" distL="114300" distR="114300" simplePos="0" relativeHeight="251673600" behindDoc="0" locked="0" layoutInCell="1" allowOverlap="1" wp14:anchorId="12426155" wp14:editId="179CBFDD">
                <wp:simplePos x="0" y="0"/>
                <wp:positionH relativeFrom="column">
                  <wp:posOffset>4623641</wp:posOffset>
                </wp:positionH>
                <wp:positionV relativeFrom="paragraph">
                  <wp:posOffset>1336376</wp:posOffset>
                </wp:positionV>
                <wp:extent cx="91440" cy="164465"/>
                <wp:effectExtent l="19050" t="0" r="41910" b="45085"/>
                <wp:wrapNone/>
                <wp:docPr id="28" name="Стрелка вниз 28"/>
                <wp:cNvGraphicFramePr/>
                <a:graphic xmlns:a="http://schemas.openxmlformats.org/drawingml/2006/main">
                  <a:graphicData uri="http://schemas.microsoft.com/office/word/2010/wordprocessingShape">
                    <wps:wsp>
                      <wps:cNvSpPr/>
                      <wps:spPr>
                        <a:xfrm>
                          <a:off x="0" y="0"/>
                          <a:ext cx="91440" cy="164465"/>
                        </a:xfrm>
                        <a:prstGeom prst="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7B141" id="Стрелка вниз 28" o:spid="_x0000_s1026" type="#_x0000_t67" style="position:absolute;margin-left:364.05pt;margin-top:105.25pt;width:7.2pt;height:12.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" adj="15595" fillcolor="#4472c4" strokecolor="#2f528f" strokeweight="1pt"/>
            </w:pict>
          </mc:Fallback>
        </mc:AlternateContent>
      </w:r>
      <w:r w:rsidRPr="00B44B71">
        <w:rPr>
          <w:rFonts w:ascii="Times New Roman" w:eastAsia="Calibri" w:hAnsi="Times New Roman" w:cs="Times New Roman"/>
          <w:noProof/>
          <w:color w:val="000000"/>
          <w:kern w:val="0"/>
          <w:sz w:val="28"/>
          <w:szCs w:val="28"/>
          <w:lang w:val="uk-UA" w:eastAsia="uk-UA"/>
          <w14:ligatures w14:val="none"/>
        </w:rPr>
        <mc:AlternateContent>
          <mc:Choice Requires="wps">
            <w:drawing>
              <wp:anchor distT="0" distB="0" distL="114300" distR="114300" simplePos="0" relativeHeight="251671552" behindDoc="0" locked="0" layoutInCell="1" allowOverlap="1" wp14:anchorId="73794DC9" wp14:editId="0FAA0352">
                <wp:simplePos x="0" y="0"/>
                <wp:positionH relativeFrom="column">
                  <wp:posOffset>3302196</wp:posOffset>
                </wp:positionH>
                <wp:positionV relativeFrom="paragraph">
                  <wp:posOffset>688975</wp:posOffset>
                </wp:positionV>
                <wp:extent cx="360680" cy="157480"/>
                <wp:effectExtent l="19050" t="19050" r="20320" b="33020"/>
                <wp:wrapNone/>
                <wp:docPr id="29" name="Двойная стрелка влево/вправо 29"/>
                <wp:cNvGraphicFramePr/>
                <a:graphic xmlns:a="http://schemas.openxmlformats.org/drawingml/2006/main">
                  <a:graphicData uri="http://schemas.microsoft.com/office/word/2010/wordprocessingShape">
                    <wps:wsp>
                      <wps:cNvSpPr/>
                      <wps:spPr>
                        <a:xfrm>
                          <a:off x="0" y="0"/>
                          <a:ext cx="360680" cy="157480"/>
                        </a:xfrm>
                        <a:prstGeom prst="lef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426BC7"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Двойная стрелка влево/вправо 29" o:spid="_x0000_s1026" type="#_x0000_t69" style="position:absolute;margin-left:260pt;margin-top:54.25pt;width:28.4pt;height:12.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" adj="4715" fillcolor="#4472c4" strokecolor="#2f528f" strokeweight="1pt"/>
            </w:pict>
          </mc:Fallback>
        </mc:AlternateContent>
      </w:r>
      <w:r w:rsidRPr="00B44B71">
        <w:rPr>
          <w:rFonts w:ascii="Times New Roman" w:eastAsia="Calibri" w:hAnsi="Times New Roman" w:cs="Times New Roman"/>
          <w:noProof/>
          <w:color w:val="000000"/>
          <w:kern w:val="0"/>
          <w:sz w:val="28"/>
          <w:szCs w:val="28"/>
          <w:lang w:val="uk-UA" w:eastAsia="uk-UA"/>
          <w14:ligatures w14:val="none"/>
        </w:rPr>
        <mc:AlternateContent>
          <mc:Choice Requires="wps">
            <w:drawing>
              <wp:anchor distT="0" distB="0" distL="114300" distR="114300" simplePos="0" relativeHeight="251668480" behindDoc="0" locked="0" layoutInCell="1" allowOverlap="1" wp14:anchorId="084E1877" wp14:editId="370D3F22">
                <wp:simplePos x="0" y="0"/>
                <wp:positionH relativeFrom="column">
                  <wp:posOffset>3274695</wp:posOffset>
                </wp:positionH>
                <wp:positionV relativeFrom="paragraph">
                  <wp:posOffset>2822575</wp:posOffset>
                </wp:positionV>
                <wp:extent cx="360680" cy="157480"/>
                <wp:effectExtent l="19050" t="19050" r="20320" b="33020"/>
                <wp:wrapNone/>
                <wp:docPr id="30" name="Двойная стрелка влево/вправо 30"/>
                <wp:cNvGraphicFramePr/>
                <a:graphic xmlns:a="http://schemas.openxmlformats.org/drawingml/2006/main">
                  <a:graphicData uri="http://schemas.microsoft.com/office/word/2010/wordprocessingShape">
                    <wps:wsp>
                      <wps:cNvSpPr/>
                      <wps:spPr>
                        <a:xfrm>
                          <a:off x="0" y="0"/>
                          <a:ext cx="360680" cy="157480"/>
                        </a:xfrm>
                        <a:prstGeom prst="lef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DC133" id="Двойная стрелка влево/вправо 30" o:spid="_x0000_s1026" type="#_x0000_t69" style="position:absolute;margin-left:257.85pt;margin-top:222.25pt;width:28.4pt;height:1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" adj="4715" fillcolor="#4472c4" strokecolor="#2f528f" strokeweight="1pt"/>
            </w:pict>
          </mc:Fallback>
        </mc:AlternateContent>
      </w:r>
      <w:r w:rsidRPr="00B44B71">
        <w:rPr>
          <w:rFonts w:ascii="Times New Roman" w:eastAsia="Calibri" w:hAnsi="Times New Roman" w:cs="Times New Roman"/>
          <w:noProof/>
          <w:color w:val="000000"/>
          <w:kern w:val="0"/>
          <w:sz w:val="28"/>
          <w:szCs w:val="28"/>
          <w:lang w:val="uk-UA" w:eastAsia="uk-UA"/>
          <w14:ligatures w14:val="none"/>
        </w:rPr>
        <mc:AlternateContent>
          <mc:Choice Requires="wps">
            <w:drawing>
              <wp:anchor distT="0" distB="0" distL="114300" distR="114300" simplePos="0" relativeHeight="251665408" behindDoc="0" locked="0" layoutInCell="1" allowOverlap="1" wp14:anchorId="123BD425" wp14:editId="1C464C49">
                <wp:simplePos x="0" y="0"/>
                <wp:positionH relativeFrom="column">
                  <wp:posOffset>3284855</wp:posOffset>
                </wp:positionH>
                <wp:positionV relativeFrom="paragraph">
                  <wp:posOffset>4834255</wp:posOffset>
                </wp:positionV>
                <wp:extent cx="360680" cy="157480"/>
                <wp:effectExtent l="19050" t="19050" r="20320" b="33020"/>
                <wp:wrapNone/>
                <wp:docPr id="31" name="Двойная стрелка влево/вправо 31"/>
                <wp:cNvGraphicFramePr/>
                <a:graphic xmlns:a="http://schemas.openxmlformats.org/drawingml/2006/main">
                  <a:graphicData uri="http://schemas.microsoft.com/office/word/2010/wordprocessingShape">
                    <wps:wsp>
                      <wps:cNvSpPr/>
                      <wps:spPr>
                        <a:xfrm>
                          <a:off x="0" y="0"/>
                          <a:ext cx="360680" cy="157480"/>
                        </a:xfrm>
                        <a:prstGeom prst="lef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81876" id="Двойная стрелка влево/вправо 31" o:spid="_x0000_s1026" type="#_x0000_t69" style="position:absolute;margin-left:258.65pt;margin-top:380.65pt;width:28.4pt;height:12.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" adj="4715" fillcolor="#4472c4" strokecolor="#2f528f" strokeweight="1pt"/>
            </w:pict>
          </mc:Fallback>
        </mc:AlternateContent>
      </w:r>
      <w:r w:rsidRPr="00B44B71">
        <w:rPr>
          <w:rFonts w:ascii="Times New Roman" w:eastAsia="Calibri" w:hAnsi="Times New Roman" w:cs="Times New Roman"/>
          <w:noProof/>
          <w:color w:val="000000"/>
          <w:kern w:val="0"/>
          <w:sz w:val="28"/>
          <w:szCs w:val="28"/>
          <w:lang w:val="uk-UA" w:eastAsia="uk-UA"/>
          <w14:ligatures w14:val="none"/>
        </w:rPr>
        <mc:AlternateContent>
          <mc:Choice Requires="wpg">
            <w:drawing>
              <wp:inline distT="0" distB="0" distL="0" distR="0" wp14:anchorId="4FE952E0" wp14:editId="3C54915C">
                <wp:extent cx="5734132" cy="8356821"/>
                <wp:effectExtent l="12700" t="12700" r="19050" b="12700"/>
                <wp:docPr id="904580800" name="Группа 904580800"/>
                <wp:cNvGraphicFramePr/>
                <a:graphic xmlns:a="http://schemas.openxmlformats.org/drawingml/2006/main">
                  <a:graphicData uri="http://schemas.microsoft.com/office/word/2010/wordprocessingGroup">
                    <wpg:wgp>
                      <wpg:cNvGrpSpPr/>
                      <wpg:grpSpPr>
                        <a:xfrm>
                          <a:off x="0" y="0"/>
                          <a:ext cx="5734132" cy="8356821"/>
                          <a:chOff x="-50706" y="228600"/>
                          <a:chExt cx="5779479" cy="8234152"/>
                        </a:xfrm>
                      </wpg:grpSpPr>
                      <wps:wsp>
                        <wps:cNvPr id="904580801" name="Надпись 923"/>
                        <wps:cNvSpPr txBox="1"/>
                        <wps:spPr>
                          <a:xfrm>
                            <a:off x="663771" y="581660"/>
                            <a:ext cx="2592000" cy="918000"/>
                          </a:xfrm>
                          <a:prstGeom prst="rect">
                            <a:avLst/>
                          </a:prstGeom>
                          <a:solidFill>
                            <a:sysClr val="window" lastClr="FFFFFF"/>
                          </a:solidFill>
                          <a:ln w="6350">
                            <a:solidFill>
                              <a:prstClr val="black"/>
                            </a:solidFill>
                          </a:ln>
                        </wps:spPr>
                        <wps:txbx>
                          <w:txbxContent>
                            <w:p w14:paraId="6AB367E6" w14:textId="77777777" w:rsidR="00F25FCF" w:rsidRPr="00C2051A"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neuropsychological resilience</w:t>
                              </w:r>
                              <w:r w:rsidRPr="00C2051A">
                                <w:rPr>
                                  <w:rFonts w:ascii="Times New Roman" w:hAnsi="Times New Roman"/>
                                </w:rPr>
                                <w:t>;</w:t>
                              </w:r>
                            </w:p>
                            <w:p w14:paraId="7FA5CA21" w14:textId="77777777" w:rsidR="00F25FCF" w:rsidRPr="00C2051A"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ability for self-regulation</w:t>
                              </w:r>
                              <w:r w:rsidRPr="00C2051A">
                                <w:rPr>
                                  <w:rFonts w:ascii="Times New Roman" w:hAnsi="Times New Roman"/>
                                </w:rPr>
                                <w:t>;</w:t>
                              </w:r>
                            </w:p>
                            <w:p w14:paraId="16485CA9" w14:textId="77777777" w:rsidR="00F25FCF" w:rsidRPr="00C2051A"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tolerance for uncertainty</w:t>
                              </w:r>
                              <w:r w:rsidRPr="00C2051A">
                                <w:rPr>
                                  <w:rFonts w:ascii="Times New Roman" w:hAnsi="Times New Roman"/>
                                </w:rPr>
                                <w:t>;</w:t>
                              </w:r>
                            </w:p>
                            <w:p w14:paraId="71177EDB" w14:textId="77777777" w:rsidR="00F25FCF" w:rsidRPr="00C2051A"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tendency toward impulsive decisions</w:t>
                              </w:r>
                              <w:r w:rsidRPr="00C2051A">
                                <w:rPr>
                                  <w:rFonts w:ascii="Times New Roman" w:hAnsi="Times New Roman"/>
                                </w:rPr>
                                <w:t>;</w:t>
                              </w:r>
                            </w:p>
                            <w:p w14:paraId="2D6A91FE"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level of internal locus of control.</w:t>
                              </w:r>
                            </w:p>
                          </w:txbxContent>
                        </wps:txbx>
                        <wps:bodyPr rot="0" spcFirstLastPara="0" vertOverflow="overflow" horzOverflow="overflow" vert="horz" wrap="square" lIns="18000" tIns="14400" rIns="18000" bIns="10800" numCol="1" spcCol="0" rtlCol="0" fromWordArt="0" anchor="t" anchorCtr="0" forceAA="0" compatLnSpc="1">
                          <a:prstTxWarp prst="textNoShape">
                            <a:avLst/>
                          </a:prstTxWarp>
                          <a:noAutofit/>
                        </wps:bodyPr>
                      </wps:wsp>
                      <wps:wsp>
                        <wps:cNvPr id="904580802" name="Скругленный прямоугольник 904580802"/>
                        <wps:cNvSpPr/>
                        <wps:spPr>
                          <a:xfrm>
                            <a:off x="0" y="228600"/>
                            <a:ext cx="3276600" cy="357975"/>
                          </a:xfrm>
                          <a:prstGeom prst="roundRect">
                            <a:avLst/>
                          </a:prstGeom>
                          <a:solidFill>
                            <a:srgbClr val="FFC000">
                              <a:lumMod val="40000"/>
                              <a:lumOff val="60000"/>
                            </a:srgbClr>
                          </a:solidFill>
                          <a:ln w="19050" cap="flat" cmpd="sng" algn="ctr">
                            <a:solidFill>
                              <a:sysClr val="windowText" lastClr="000000"/>
                            </a:solidFill>
                            <a:prstDash val="solid"/>
                            <a:miter lim="800000"/>
                          </a:ln>
                          <a:effectLst/>
                        </wps:spPr>
                        <wps:txbx>
                          <w:txbxContent>
                            <w:p w14:paraId="0EE59225" w14:textId="77777777" w:rsidR="00F25FCF" w:rsidRPr="008F2D3D" w:rsidRDefault="00F25FCF" w:rsidP="00B44B71">
                              <w:pPr>
                                <w:jc w:val="center"/>
                                <w:rPr>
                                  <w:rFonts w:ascii="Times New Roman" w:hAnsi="Times New Roman" w:cs="Times New Roman"/>
                                  <w:sz w:val="24"/>
                                  <w:szCs w:val="24"/>
                                </w:rPr>
                              </w:pPr>
                              <w:r w:rsidRPr="00D471DB">
                                <w:rPr>
                                  <w:rFonts w:ascii="Times New Roman" w:hAnsi="Times New Roman" w:cs="Times New Roman"/>
                                  <w:b/>
                                  <w:sz w:val="24"/>
                                  <w:szCs w:val="24"/>
                                </w:rPr>
                                <w:t>Level I</w:t>
                              </w:r>
                              <w:r>
                                <w:rPr>
                                  <w:rFonts w:ascii="Times New Roman" w:hAnsi="Times New Roman" w:cs="Times New Roman"/>
                                  <w:b/>
                                  <w:sz w:val="24"/>
                                  <w:szCs w:val="24"/>
                                </w:rPr>
                                <w:t xml:space="preserve"> </w:t>
                              </w:r>
                              <w:r>
                                <w:rPr>
                                  <w:rFonts w:ascii="Times New Roman" w:hAnsi="Times New Roman" w:cs="Times New Roman"/>
                                  <w:sz w:val="24"/>
                                  <w:szCs w:val="24"/>
                                </w:rPr>
                                <w:t>–</w:t>
                              </w:r>
                              <w:r w:rsidRPr="008F2D3D">
                                <w:rPr>
                                  <w:rFonts w:ascii="Times New Roman" w:hAnsi="Times New Roman" w:cs="Times New Roman"/>
                                  <w:sz w:val="24"/>
                                  <w:szCs w:val="24"/>
                                </w:rPr>
                                <w:t xml:space="preserve"> </w:t>
                              </w:r>
                              <w:r w:rsidRPr="00D471DB">
                                <w:rPr>
                                  <w:rFonts w:ascii="Times New Roman" w:hAnsi="Times New Roman" w:cs="Times New Roman"/>
                                  <w:sz w:val="24"/>
                                  <w:szCs w:val="24"/>
                                </w:rPr>
                                <w:t>Psychological-Resource Screening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4580804" name="Штриховая стрелка вправо 904580804"/>
                        <wps:cNvSpPr/>
                        <wps:spPr>
                          <a:xfrm rot="5400000">
                            <a:off x="-489681" y="1283719"/>
                            <a:ext cx="1690968" cy="466017"/>
                          </a:xfrm>
                          <a:prstGeom prst="stripedRightArrow">
                            <a:avLst>
                              <a:gd name="adj1" fmla="val 100000"/>
                              <a:gd name="adj2" fmla="val 51299"/>
                            </a:avLst>
                          </a:prstGeom>
                          <a:solidFill>
                            <a:srgbClr val="70AD47">
                              <a:lumMod val="60000"/>
                              <a:lumOff val="4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4580805" name="Надпись 16"/>
                        <wps:cNvSpPr txBox="1"/>
                        <wps:spPr>
                          <a:xfrm>
                            <a:off x="3632088" y="568151"/>
                            <a:ext cx="2096684" cy="918000"/>
                          </a:xfrm>
                          <a:prstGeom prst="rect">
                            <a:avLst/>
                          </a:prstGeom>
                          <a:solidFill>
                            <a:sysClr val="window" lastClr="FFFFFF"/>
                          </a:solidFill>
                          <a:ln w="6350">
                            <a:solidFill>
                              <a:prstClr val="black"/>
                            </a:solidFill>
                          </a:ln>
                        </wps:spPr>
                        <wps:txbx>
                          <w:txbxContent>
                            <w:p w14:paraId="418742A2" w14:textId="77777777" w:rsidR="00F25FCF" w:rsidRPr="00C2051A"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standardized psychodiagnostic methods</w:t>
                              </w:r>
                              <w:r w:rsidRPr="00C2051A">
                                <w:rPr>
                                  <w:rFonts w:ascii="Times New Roman" w:hAnsi="Times New Roman"/>
                                </w:rPr>
                                <w:t>;</w:t>
                              </w:r>
                            </w:p>
                            <w:p w14:paraId="7D140B41" w14:textId="77777777" w:rsidR="00F25FCF" w:rsidRPr="00C2051A"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short stress interviews</w:t>
                              </w:r>
                              <w:r w:rsidRPr="00C2051A">
                                <w:rPr>
                                  <w:rFonts w:ascii="Times New Roman" w:hAnsi="Times New Roman"/>
                                </w:rPr>
                                <w:t>;</w:t>
                              </w:r>
                            </w:p>
                            <w:p w14:paraId="0500A49E" w14:textId="77777777" w:rsidR="00F25FCF" w:rsidRPr="00C2051A"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individual risk profiles</w:t>
                              </w:r>
                              <w:r w:rsidRPr="00C2051A">
                                <w:rPr>
                                  <w:rFonts w:ascii="Times New Roman" w:hAnsi="Times New Roman"/>
                                </w:rPr>
                                <w:t>.</w:t>
                              </w:r>
                            </w:p>
                          </w:txbxContent>
                        </wps:txbx>
                        <wps:bodyPr rot="0" spcFirstLastPara="0" vertOverflow="overflow" horzOverflow="overflow" vert="horz" wrap="square" lIns="18000" tIns="14400" rIns="18000" bIns="10800" numCol="1" spcCol="0" rtlCol="0" fromWordArt="0" anchor="t" anchorCtr="0" forceAA="0" compatLnSpc="1">
                          <a:prstTxWarp prst="textNoShape">
                            <a:avLst/>
                          </a:prstTxWarp>
                          <a:noAutofit/>
                        </wps:bodyPr>
                      </wps:wsp>
                      <wps:wsp>
                        <wps:cNvPr id="904580806" name="Надпись 17"/>
                        <wps:cNvSpPr txBox="1"/>
                        <wps:spPr>
                          <a:xfrm>
                            <a:off x="663758" y="1664591"/>
                            <a:ext cx="5065015" cy="595957"/>
                          </a:xfrm>
                          <a:prstGeom prst="rect">
                            <a:avLst/>
                          </a:prstGeom>
                          <a:solidFill>
                            <a:sysClr val="window" lastClr="FFFFFF"/>
                          </a:solidFill>
                          <a:ln w="6350">
                            <a:solidFill>
                              <a:prstClr val="black"/>
                            </a:solidFill>
                          </a:ln>
                        </wps:spPr>
                        <wps:txbx>
                          <w:txbxContent>
                            <w:p w14:paraId="20E67F4A" w14:textId="77777777" w:rsidR="00F25FCF" w:rsidRPr="00D471DB" w:rsidRDefault="00F25FCF" w:rsidP="00B44B71">
                              <w:pPr>
                                <w:spacing w:after="0"/>
                                <w:jc w:val="center"/>
                                <w:rPr>
                                  <w:rFonts w:ascii="Times New Roman" w:hAnsi="Times New Roman" w:cs="Times New Roman"/>
                                </w:rPr>
                              </w:pPr>
                              <w:r w:rsidRPr="00D471DB">
                                <w:rPr>
                                  <w:rFonts w:ascii="Times New Roman" w:hAnsi="Times New Roman" w:cs="Times New Roman"/>
                                  <w:b/>
                                </w:rPr>
                                <w:t>Result</w:t>
                              </w:r>
                              <w:r w:rsidRPr="00D471DB">
                                <w:rPr>
                                  <w:rFonts w:ascii="Times New Roman" w:hAnsi="Times New Roman" w:cs="Times New Roman"/>
                                </w:rPr>
                                <w:t>:</w:t>
                              </w:r>
                            </w:p>
                            <w:p w14:paraId="45AE0230" w14:textId="77777777" w:rsidR="00F25FCF" w:rsidRPr="00D471DB" w:rsidRDefault="00F25FCF" w:rsidP="00B44B71">
                              <w:pPr>
                                <w:spacing w:after="0"/>
                                <w:jc w:val="center"/>
                                <w:rPr>
                                  <w:rFonts w:ascii="Times New Roman" w:hAnsi="Times New Roman" w:cs="Times New Roman"/>
                                </w:rPr>
                              </w:pPr>
                              <w:r w:rsidRPr="00D471DB">
                                <w:rPr>
                                  <w:rFonts w:ascii="Times New Roman" w:hAnsi="Times New Roman" w:cs="Times New Roman"/>
                                </w:rPr>
                                <w:t xml:space="preserve">formation of the candidate’s </w:t>
                              </w:r>
                              <w:r w:rsidRPr="00D471DB">
                                <w:rPr>
                                  <w:rFonts w:ascii="Times New Roman" w:hAnsi="Times New Roman" w:cs="Times New Roman"/>
                                  <w:b/>
                                  <w:bCs/>
                                </w:rPr>
                                <w:t>psychological profile</w:t>
                              </w:r>
                              <w:r w:rsidRPr="00D471DB">
                                <w:rPr>
                                  <w:rFonts w:ascii="Times New Roman" w:hAnsi="Times New Roman" w:cs="Times New Roman"/>
                                </w:rPr>
                                <w:t xml:space="preserve"> and identification of </w:t>
                              </w:r>
                              <w:r w:rsidRPr="00D471DB">
                                <w:rPr>
                                  <w:rFonts w:ascii="Times New Roman" w:hAnsi="Times New Roman" w:cs="Times New Roman"/>
                                  <w:b/>
                                  <w:bCs/>
                                </w:rPr>
                                <w:t>limitations or risk zones</w:t>
                              </w:r>
                              <w:r w:rsidRPr="00D471DB">
                                <w:rPr>
                                  <w:rFonts w:ascii="Times New Roman" w:hAnsi="Times New Roman" w:cs="Times New Roman"/>
                                </w:rPr>
                                <w:t>, which are taken into account at subsequent levels</w:t>
                              </w:r>
                            </w:p>
                          </w:txbxContent>
                        </wps:txbx>
                        <wps:bodyPr rot="0" spcFirstLastPara="0" vertOverflow="overflow" horzOverflow="overflow" vert="horz" wrap="square" lIns="18000" tIns="14400" rIns="18000" bIns="10800" numCol="1" spcCol="0" rtlCol="0" fromWordArt="0" anchor="t" anchorCtr="0" forceAA="0" compatLnSpc="1">
                          <a:prstTxWarp prst="textNoShape">
                            <a:avLst/>
                          </a:prstTxWarp>
                          <a:noAutofit/>
                        </wps:bodyPr>
                      </wps:wsp>
                      <wps:wsp>
                        <wps:cNvPr id="904580807" name="Скругленный прямоугольник 904580807"/>
                        <wps:cNvSpPr/>
                        <wps:spPr>
                          <a:xfrm>
                            <a:off x="-20256" y="2402840"/>
                            <a:ext cx="3276600" cy="357975"/>
                          </a:xfrm>
                          <a:prstGeom prst="roundRect">
                            <a:avLst/>
                          </a:prstGeom>
                          <a:solidFill>
                            <a:srgbClr val="FFC000">
                              <a:lumMod val="40000"/>
                              <a:lumOff val="60000"/>
                            </a:srgbClr>
                          </a:solidFill>
                          <a:ln w="19050" cap="flat" cmpd="sng" algn="ctr">
                            <a:solidFill>
                              <a:sysClr val="windowText" lastClr="000000"/>
                            </a:solidFill>
                            <a:prstDash val="solid"/>
                            <a:miter lim="800000"/>
                          </a:ln>
                          <a:effectLst/>
                        </wps:spPr>
                        <wps:txbx>
                          <w:txbxContent>
                            <w:p w14:paraId="17BBD3B7" w14:textId="77777777" w:rsidR="00F25FCF" w:rsidRPr="008F2D3D" w:rsidRDefault="00F25FCF" w:rsidP="00B44B71">
                              <w:pPr>
                                <w:jc w:val="center"/>
                                <w:rPr>
                                  <w:rFonts w:ascii="Times New Roman" w:hAnsi="Times New Roman" w:cs="Times New Roman"/>
                                  <w:sz w:val="24"/>
                                  <w:szCs w:val="24"/>
                                </w:rPr>
                              </w:pPr>
                              <w:r w:rsidRPr="00D471DB">
                                <w:rPr>
                                  <w:rFonts w:ascii="Times New Roman" w:hAnsi="Times New Roman" w:cs="Times New Roman"/>
                                  <w:b/>
                                  <w:sz w:val="24"/>
                                  <w:szCs w:val="24"/>
                                </w:rPr>
                                <w:t>Level II</w:t>
                              </w:r>
                              <w:r>
                                <w:rPr>
                                  <w:rFonts w:ascii="Times New Roman" w:hAnsi="Times New Roman" w:cs="Times New Roman"/>
                                  <w:b/>
                                  <w:sz w:val="24"/>
                                  <w:szCs w:val="24"/>
                                </w:rPr>
                                <w:t xml:space="preserve"> </w:t>
                              </w:r>
                              <w:r w:rsidRPr="00C2051A">
                                <w:rPr>
                                  <w:rFonts w:ascii="Times New Roman" w:hAnsi="Times New Roman" w:cs="Times New Roman"/>
                                  <w:sz w:val="24"/>
                                  <w:szCs w:val="24"/>
                                </w:rPr>
                                <w:t xml:space="preserve">– </w:t>
                              </w:r>
                              <w:r w:rsidRPr="00D471DB">
                                <w:rPr>
                                  <w:rFonts w:ascii="Times New Roman" w:hAnsi="Times New Roman" w:cs="Times New Roman"/>
                                  <w:sz w:val="24"/>
                                  <w:szCs w:val="24"/>
                                </w:rPr>
                                <w:t>Situational-Behavioral Assessment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4580808" name="Надпись 20"/>
                        <wps:cNvSpPr txBox="1"/>
                        <wps:spPr>
                          <a:xfrm>
                            <a:off x="638371" y="2745417"/>
                            <a:ext cx="2592000" cy="713637"/>
                          </a:xfrm>
                          <a:prstGeom prst="rect">
                            <a:avLst/>
                          </a:prstGeom>
                          <a:solidFill>
                            <a:sysClr val="window" lastClr="FFFFFF"/>
                          </a:solidFill>
                          <a:ln w="6350">
                            <a:solidFill>
                              <a:prstClr val="black"/>
                            </a:solidFill>
                          </a:ln>
                        </wps:spPr>
                        <wps:txbx>
                          <w:txbxContent>
                            <w:p w14:paraId="29FCFB64" w14:textId="77777777" w:rsidR="00F25FCF" w:rsidRPr="009A4EA4"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decision-making logic</w:t>
                              </w:r>
                              <w:r w:rsidRPr="009A4EA4">
                                <w:rPr>
                                  <w:rFonts w:ascii="Times New Roman" w:hAnsi="Times New Roman"/>
                                </w:rPr>
                                <w:t>;</w:t>
                              </w:r>
                            </w:p>
                            <w:p w14:paraId="6944EB2A" w14:textId="77777777" w:rsidR="00F25FCF" w:rsidRPr="009A4EA4"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responsibility for consequences</w:t>
                              </w:r>
                              <w:r w:rsidRPr="009A4EA4">
                                <w:rPr>
                                  <w:rFonts w:ascii="Times New Roman" w:hAnsi="Times New Roman"/>
                                </w:rPr>
                                <w:t>;</w:t>
                              </w:r>
                            </w:p>
                            <w:p w14:paraId="13FEA12C" w14:textId="77777777" w:rsidR="00F25FCF" w:rsidRPr="009A4EA4"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cognitive flexibility</w:t>
                              </w:r>
                              <w:r w:rsidRPr="009A4EA4">
                                <w:rPr>
                                  <w:rFonts w:ascii="Times New Roman" w:hAnsi="Times New Roman"/>
                                </w:rPr>
                                <w:t>;</w:t>
                              </w:r>
                            </w:p>
                            <w:p w14:paraId="2A79D294"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ability to maintain control of the unit.</w:t>
                              </w:r>
                            </w:p>
                          </w:txbxContent>
                        </wps:txbx>
                        <wps:bodyPr rot="0" spcFirstLastPara="0" vertOverflow="overflow" horzOverflow="overflow" vert="horz" wrap="square" lIns="18000" tIns="14400" rIns="18000" bIns="10800" numCol="1" spcCol="0" rtlCol="0" fromWordArt="0" anchor="t" anchorCtr="0" forceAA="0" compatLnSpc="1">
                          <a:prstTxWarp prst="textNoShape">
                            <a:avLst/>
                          </a:prstTxWarp>
                          <a:noAutofit/>
                        </wps:bodyPr>
                      </wps:wsp>
                      <wps:wsp>
                        <wps:cNvPr id="904580809" name="Надпись 21"/>
                        <wps:cNvSpPr txBox="1"/>
                        <wps:spPr>
                          <a:xfrm>
                            <a:off x="3606657" y="2407921"/>
                            <a:ext cx="2096684" cy="1242188"/>
                          </a:xfrm>
                          <a:prstGeom prst="rect">
                            <a:avLst/>
                          </a:prstGeom>
                          <a:solidFill>
                            <a:sysClr val="window" lastClr="FFFFFF"/>
                          </a:solidFill>
                          <a:ln w="6350">
                            <a:solidFill>
                              <a:prstClr val="black"/>
                            </a:solidFill>
                          </a:ln>
                        </wps:spPr>
                        <wps:txbx>
                          <w:txbxContent>
                            <w:p w14:paraId="1D9DE6C4"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sz w:val="21"/>
                                  <w:szCs w:val="21"/>
                                </w:rPr>
                              </w:pPr>
                              <w:r w:rsidRPr="00D471DB">
                                <w:rPr>
                                  <w:rFonts w:ascii="Times New Roman" w:hAnsi="Times New Roman"/>
                                  <w:sz w:val="21"/>
                                  <w:szCs w:val="21"/>
                                </w:rPr>
                                <w:t>tactical cases with time constraints;</w:t>
                              </w:r>
                            </w:p>
                            <w:p w14:paraId="4DAAA147"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sz w:val="21"/>
                                  <w:szCs w:val="21"/>
                                </w:rPr>
                              </w:pPr>
                              <w:r w:rsidRPr="00D471DB">
                                <w:rPr>
                                  <w:rFonts w:ascii="Times New Roman" w:hAnsi="Times New Roman"/>
                                  <w:sz w:val="21"/>
                                  <w:szCs w:val="21"/>
                                </w:rPr>
                                <w:t>managerial dilemmas (choice between mission accomplishment and safety of personnel);</w:t>
                              </w:r>
                            </w:p>
                            <w:p w14:paraId="25FA03DA"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sz w:val="21"/>
                                  <w:szCs w:val="21"/>
                                </w:rPr>
                              </w:pPr>
                              <w:r w:rsidRPr="00D471DB">
                                <w:rPr>
                                  <w:rFonts w:ascii="Times New Roman" w:hAnsi="Times New Roman"/>
                                  <w:sz w:val="21"/>
                                  <w:szCs w:val="21"/>
                                </w:rPr>
                                <w:t>modeling of crisis situations (losses, disruption of command and control, moral pressure).</w:t>
                              </w:r>
                            </w:p>
                          </w:txbxContent>
                        </wps:txbx>
                        <wps:bodyPr rot="0" spcFirstLastPara="0" vertOverflow="overflow" horzOverflow="overflow" vert="horz" wrap="square" lIns="18000" tIns="14400" rIns="18000" bIns="10800" numCol="1" spcCol="0" rtlCol="0" fromWordArt="0" anchor="t" anchorCtr="0" forceAA="0" compatLnSpc="1">
                          <a:prstTxWarp prst="textNoShape">
                            <a:avLst/>
                          </a:prstTxWarp>
                          <a:noAutofit/>
                        </wps:bodyPr>
                      </wps:wsp>
                      <wps:wsp>
                        <wps:cNvPr id="904580810" name="Надпись 22"/>
                        <wps:cNvSpPr txBox="1"/>
                        <wps:spPr>
                          <a:xfrm>
                            <a:off x="638352" y="3828541"/>
                            <a:ext cx="5065015" cy="387859"/>
                          </a:xfrm>
                          <a:prstGeom prst="rect">
                            <a:avLst/>
                          </a:prstGeom>
                          <a:solidFill>
                            <a:sysClr val="window" lastClr="FFFFFF"/>
                          </a:solidFill>
                          <a:ln w="6350">
                            <a:solidFill>
                              <a:prstClr val="black"/>
                            </a:solidFill>
                          </a:ln>
                        </wps:spPr>
                        <wps:txbx>
                          <w:txbxContent>
                            <w:p w14:paraId="59D6D09F" w14:textId="77777777" w:rsidR="00F25FCF" w:rsidRPr="00BC2AAE" w:rsidRDefault="00F25FCF" w:rsidP="00B44B71">
                              <w:pPr>
                                <w:spacing w:after="0"/>
                                <w:jc w:val="center"/>
                                <w:rPr>
                                  <w:rFonts w:ascii="Times New Roman" w:hAnsi="Times New Roman" w:cs="Times New Roman"/>
                                </w:rPr>
                              </w:pPr>
                              <w:r w:rsidRPr="00BC2AAE">
                                <w:rPr>
                                  <w:rFonts w:ascii="Times New Roman" w:hAnsi="Times New Roman" w:cs="Times New Roman"/>
                                  <w:b/>
                                </w:rPr>
                                <w:t>Result</w:t>
                              </w:r>
                              <w:r w:rsidRPr="00BC2AAE">
                                <w:rPr>
                                  <w:rFonts w:ascii="Times New Roman" w:hAnsi="Times New Roman" w:cs="Times New Roman"/>
                                </w:rPr>
                                <w:t>:</w:t>
                              </w:r>
                            </w:p>
                            <w:p w14:paraId="210E39B5" w14:textId="77777777" w:rsidR="00F25FCF" w:rsidRPr="00D471DB" w:rsidRDefault="00F25FCF" w:rsidP="00B44B71">
                              <w:pPr>
                                <w:spacing w:after="0"/>
                                <w:jc w:val="center"/>
                                <w:rPr>
                                  <w:rFonts w:ascii="Times New Roman" w:hAnsi="Times New Roman" w:cs="Times New Roman"/>
                                </w:rPr>
                              </w:pPr>
                              <w:r w:rsidRPr="00D471DB">
                                <w:rPr>
                                  <w:rFonts w:ascii="Times New Roman" w:hAnsi="Times New Roman" w:cs="Times New Roman"/>
                                </w:rPr>
                                <w:t xml:space="preserve">assessment of the candidate’s </w:t>
                              </w:r>
                              <w:r w:rsidRPr="00D471DB">
                                <w:rPr>
                                  <w:rFonts w:ascii="Times New Roman" w:hAnsi="Times New Roman" w:cs="Times New Roman"/>
                                  <w:b/>
                                  <w:bCs/>
                                </w:rPr>
                                <w:t>functional managerial effectiveness</w:t>
                              </w:r>
                            </w:p>
                          </w:txbxContent>
                        </wps:txbx>
                        <wps:bodyPr rot="0" spcFirstLastPara="0" vertOverflow="overflow" horzOverflow="overflow" vert="horz" wrap="square" lIns="18000" tIns="14400" rIns="18000" bIns="10800" numCol="1" spcCol="0" rtlCol="0" fromWordArt="0" anchor="t" anchorCtr="0" forceAA="0" compatLnSpc="1">
                          <a:prstTxWarp prst="textNoShape">
                            <a:avLst/>
                          </a:prstTxWarp>
                          <a:noAutofit/>
                        </wps:bodyPr>
                      </wps:wsp>
                      <wps:wsp>
                        <wps:cNvPr id="904580811" name="Штриховая стрелка вправо 904580811"/>
                        <wps:cNvSpPr/>
                        <wps:spPr>
                          <a:xfrm rot="5400000">
                            <a:off x="-426238" y="3343606"/>
                            <a:ext cx="1482795" cy="466017"/>
                          </a:xfrm>
                          <a:prstGeom prst="stripedRightArrow">
                            <a:avLst>
                              <a:gd name="adj1" fmla="val 100000"/>
                              <a:gd name="adj2" fmla="val 51299"/>
                            </a:avLst>
                          </a:prstGeom>
                          <a:solidFill>
                            <a:srgbClr val="70AD47">
                              <a:lumMod val="60000"/>
                              <a:lumOff val="4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4580812" name="Скругленный прямоугольник 904580812"/>
                        <wps:cNvSpPr/>
                        <wps:spPr>
                          <a:xfrm>
                            <a:off x="-15176" y="4353263"/>
                            <a:ext cx="3270919" cy="357975"/>
                          </a:xfrm>
                          <a:prstGeom prst="roundRect">
                            <a:avLst/>
                          </a:prstGeom>
                          <a:solidFill>
                            <a:srgbClr val="FFC000">
                              <a:lumMod val="40000"/>
                              <a:lumOff val="60000"/>
                            </a:srgbClr>
                          </a:solidFill>
                          <a:ln w="19050" cap="flat" cmpd="sng" algn="ctr">
                            <a:solidFill>
                              <a:sysClr val="windowText" lastClr="000000"/>
                            </a:solidFill>
                            <a:prstDash val="solid"/>
                            <a:miter lim="800000"/>
                          </a:ln>
                          <a:effectLst/>
                        </wps:spPr>
                        <wps:txbx>
                          <w:txbxContent>
                            <w:p w14:paraId="5F161A79" w14:textId="77777777" w:rsidR="00F25FCF" w:rsidRPr="008F2D3D" w:rsidRDefault="00F25FCF" w:rsidP="00B44B71">
                              <w:pPr>
                                <w:jc w:val="center"/>
                                <w:rPr>
                                  <w:rFonts w:ascii="Times New Roman" w:hAnsi="Times New Roman" w:cs="Times New Roman"/>
                                  <w:sz w:val="24"/>
                                  <w:szCs w:val="24"/>
                                </w:rPr>
                              </w:pPr>
                              <w:r w:rsidRPr="00D471DB">
                                <w:rPr>
                                  <w:rFonts w:ascii="Times New Roman" w:hAnsi="Times New Roman" w:cs="Times New Roman"/>
                                  <w:b/>
                                  <w:sz w:val="24"/>
                                  <w:szCs w:val="24"/>
                                </w:rPr>
                                <w:t>Level III</w:t>
                              </w:r>
                              <w:r>
                                <w:rPr>
                                  <w:rFonts w:ascii="Times New Roman" w:hAnsi="Times New Roman" w:cs="Times New Roman"/>
                                  <w:b/>
                                  <w:sz w:val="24"/>
                                  <w:szCs w:val="24"/>
                                </w:rPr>
                                <w:t xml:space="preserve"> </w:t>
                              </w:r>
                              <w:r w:rsidRPr="00C2051A">
                                <w:rPr>
                                  <w:rFonts w:ascii="Times New Roman" w:hAnsi="Times New Roman" w:cs="Times New Roman"/>
                                  <w:sz w:val="24"/>
                                  <w:szCs w:val="24"/>
                                </w:rPr>
                                <w:t xml:space="preserve">– </w:t>
                              </w:r>
                              <w:r w:rsidRPr="00D471DB">
                                <w:rPr>
                                  <w:rFonts w:ascii="Times New Roman" w:hAnsi="Times New Roman" w:cs="Times New Roman"/>
                                  <w:bCs/>
                                  <w:sz w:val="24"/>
                                  <w:szCs w:val="24"/>
                                </w:rPr>
                                <w:t>Social-Leadership Verification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4580813" name="Надпись 28"/>
                        <wps:cNvSpPr txBox="1"/>
                        <wps:spPr>
                          <a:xfrm>
                            <a:off x="628211" y="4711543"/>
                            <a:ext cx="2592000" cy="918000"/>
                          </a:xfrm>
                          <a:prstGeom prst="rect">
                            <a:avLst/>
                          </a:prstGeom>
                          <a:solidFill>
                            <a:sysClr val="window" lastClr="FFFFFF"/>
                          </a:solidFill>
                          <a:ln w="6350">
                            <a:solidFill>
                              <a:prstClr val="black"/>
                            </a:solidFill>
                          </a:ln>
                        </wps:spPr>
                        <wps:txbx>
                          <w:txbxContent>
                            <w:p w14:paraId="6F51D03C" w14:textId="77777777" w:rsidR="00F25FCF" w:rsidRPr="00DD316C" w:rsidRDefault="00F25FCF" w:rsidP="008F7109">
                              <w:pPr>
                                <w:pStyle w:val="ListParagraph"/>
                                <w:numPr>
                                  <w:ilvl w:val="0"/>
                                  <w:numId w:val="10"/>
                                </w:numPr>
                                <w:tabs>
                                  <w:tab w:val="left" w:pos="284"/>
                                </w:tabs>
                                <w:spacing w:after="0"/>
                                <w:ind w:left="0" w:firstLine="0"/>
                                <w:jc w:val="both"/>
                                <w:rPr>
                                  <w:rFonts w:ascii="Times New Roman" w:hAnsi="Times New Roman"/>
                                  <w:spacing w:val="-4"/>
                                  <w:sz w:val="21"/>
                                  <w:szCs w:val="21"/>
                                </w:rPr>
                              </w:pPr>
                              <w:r w:rsidRPr="00D471DB">
                                <w:rPr>
                                  <w:rFonts w:ascii="Times New Roman" w:hAnsi="Times New Roman"/>
                                  <w:spacing w:val="-4"/>
                                  <w:sz w:val="21"/>
                                  <w:szCs w:val="21"/>
                                </w:rPr>
                                <w:t>level of subordinates’ trust</w:t>
                              </w:r>
                              <w:r w:rsidRPr="00DD316C">
                                <w:rPr>
                                  <w:rFonts w:ascii="Times New Roman" w:hAnsi="Times New Roman"/>
                                  <w:spacing w:val="-4"/>
                                  <w:sz w:val="21"/>
                                  <w:szCs w:val="21"/>
                                </w:rPr>
                                <w:t>;</w:t>
                              </w:r>
                            </w:p>
                            <w:p w14:paraId="30AE7D84" w14:textId="77777777" w:rsidR="00F25FCF" w:rsidRPr="00DD316C" w:rsidRDefault="00F25FCF" w:rsidP="008F7109">
                              <w:pPr>
                                <w:pStyle w:val="ListParagraph"/>
                                <w:numPr>
                                  <w:ilvl w:val="0"/>
                                  <w:numId w:val="10"/>
                                </w:numPr>
                                <w:tabs>
                                  <w:tab w:val="left" w:pos="284"/>
                                </w:tabs>
                                <w:spacing w:after="0"/>
                                <w:ind w:left="0" w:firstLine="0"/>
                                <w:jc w:val="both"/>
                                <w:rPr>
                                  <w:rFonts w:ascii="Times New Roman" w:hAnsi="Times New Roman"/>
                                  <w:spacing w:val="-4"/>
                                  <w:sz w:val="21"/>
                                  <w:szCs w:val="21"/>
                                </w:rPr>
                              </w:pPr>
                              <w:r w:rsidRPr="00D471DB">
                                <w:rPr>
                                  <w:rFonts w:ascii="Times New Roman" w:hAnsi="Times New Roman"/>
                                  <w:spacing w:val="-4"/>
                                  <w:sz w:val="21"/>
                                  <w:szCs w:val="21"/>
                                </w:rPr>
                                <w:t>moral authority</w:t>
                              </w:r>
                              <w:r w:rsidRPr="00DD316C">
                                <w:rPr>
                                  <w:rFonts w:ascii="Times New Roman" w:hAnsi="Times New Roman"/>
                                  <w:spacing w:val="-4"/>
                                  <w:sz w:val="21"/>
                                  <w:szCs w:val="21"/>
                                </w:rPr>
                                <w:t>;</w:t>
                              </w:r>
                            </w:p>
                            <w:p w14:paraId="31120433"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spacing w:val="-4"/>
                                  <w:sz w:val="21"/>
                                  <w:szCs w:val="21"/>
                                </w:rPr>
                              </w:pPr>
                              <w:r w:rsidRPr="00D471DB">
                                <w:rPr>
                                  <w:rFonts w:ascii="Times New Roman" w:hAnsi="Times New Roman"/>
                                  <w:spacing w:val="-4"/>
                                  <w:sz w:val="21"/>
                                  <w:szCs w:val="21"/>
                                </w:rPr>
                                <w:t>ability to maintain unit motivation;</w:t>
                              </w:r>
                            </w:p>
                            <w:p w14:paraId="1B37EACD"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spacing w:val="-4"/>
                                  <w:sz w:val="21"/>
                                  <w:szCs w:val="21"/>
                                </w:rPr>
                              </w:pPr>
                              <w:r w:rsidRPr="00D471DB">
                                <w:rPr>
                                  <w:rFonts w:ascii="Times New Roman" w:hAnsi="Times New Roman"/>
                                  <w:spacing w:val="-4"/>
                                  <w:sz w:val="21"/>
                                  <w:szCs w:val="21"/>
                                </w:rPr>
                                <w:t>behavior under conditions of losses and overload.</w:t>
                              </w:r>
                            </w:p>
                          </w:txbxContent>
                        </wps:txbx>
                        <wps:bodyPr rot="0" spcFirstLastPara="0" vertOverflow="overflow" horzOverflow="overflow" vert="horz" wrap="square" lIns="18000" tIns="14400" rIns="18000" bIns="10800" numCol="1" spcCol="0" rtlCol="0" fromWordArt="0" anchor="t" anchorCtr="0" forceAA="0" compatLnSpc="1">
                          <a:prstTxWarp prst="textNoShape">
                            <a:avLst/>
                          </a:prstTxWarp>
                          <a:noAutofit/>
                        </wps:bodyPr>
                      </wps:wsp>
                      <wps:wsp>
                        <wps:cNvPr id="904580814" name="Надпись 29"/>
                        <wps:cNvSpPr txBox="1"/>
                        <wps:spPr>
                          <a:xfrm>
                            <a:off x="3626820" y="4414809"/>
                            <a:ext cx="2096684" cy="1213648"/>
                          </a:xfrm>
                          <a:prstGeom prst="rect">
                            <a:avLst/>
                          </a:prstGeom>
                          <a:solidFill>
                            <a:sysClr val="window" lastClr="FFFFFF"/>
                          </a:solidFill>
                          <a:ln w="6350">
                            <a:solidFill>
                              <a:prstClr val="black"/>
                            </a:solidFill>
                          </a:ln>
                        </wps:spPr>
                        <wps:txbx>
                          <w:txbxContent>
                            <w:p w14:paraId="2B0B77B9"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sz w:val="21"/>
                                  <w:szCs w:val="21"/>
                                </w:rPr>
                              </w:pPr>
                              <w:r w:rsidRPr="00D471DB">
                                <w:rPr>
                                  <w:rFonts w:ascii="Times New Roman" w:hAnsi="Times New Roman"/>
                                  <w:sz w:val="21"/>
                                  <w:szCs w:val="21"/>
                                </w:rPr>
                                <w:t>expert observation in field conditions;</w:t>
                              </w:r>
                            </w:p>
                            <w:p w14:paraId="71FCC2F4"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sz w:val="21"/>
                                  <w:szCs w:val="21"/>
                                </w:rPr>
                              </w:pPr>
                              <w:r w:rsidRPr="00D471DB">
                                <w:rPr>
                                  <w:rFonts w:ascii="Times New Roman" w:hAnsi="Times New Roman"/>
                                  <w:sz w:val="21"/>
                                  <w:szCs w:val="21"/>
                                </w:rPr>
                                <w:t>analysis of interaction with subordinates;</w:t>
                              </w:r>
                            </w:p>
                            <w:p w14:paraId="08D0072D" w14:textId="77777777" w:rsidR="00F25FCF" w:rsidRPr="00DD316C" w:rsidRDefault="00F25FCF" w:rsidP="008F7109">
                              <w:pPr>
                                <w:pStyle w:val="ListParagraph"/>
                                <w:numPr>
                                  <w:ilvl w:val="0"/>
                                  <w:numId w:val="10"/>
                                </w:numPr>
                                <w:tabs>
                                  <w:tab w:val="left" w:pos="284"/>
                                </w:tabs>
                                <w:spacing w:after="0"/>
                                <w:ind w:left="0" w:firstLine="0"/>
                                <w:jc w:val="both"/>
                                <w:rPr>
                                  <w:rFonts w:ascii="Times New Roman" w:hAnsi="Times New Roman"/>
                                  <w:sz w:val="21"/>
                                  <w:szCs w:val="21"/>
                                </w:rPr>
                              </w:pPr>
                              <w:r w:rsidRPr="00D471DB">
                                <w:rPr>
                                  <w:rFonts w:ascii="Times New Roman" w:hAnsi="Times New Roman"/>
                                  <w:sz w:val="21"/>
                                  <w:szCs w:val="21"/>
                                </w:rPr>
                                <w:t>elements of sociometry</w:t>
                              </w:r>
                              <w:r w:rsidRPr="00DD316C">
                                <w:rPr>
                                  <w:rFonts w:ascii="Times New Roman" w:hAnsi="Times New Roman"/>
                                  <w:sz w:val="21"/>
                                  <w:szCs w:val="21"/>
                                </w:rPr>
                                <w:t>;</w:t>
                              </w:r>
                            </w:p>
                            <w:p w14:paraId="2FAFF8A1"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sz w:val="21"/>
                                  <w:szCs w:val="21"/>
                                </w:rPr>
                              </w:pPr>
                              <w:r w:rsidRPr="00D471DB">
                                <w:rPr>
                                  <w:rFonts w:ascii="Times New Roman" w:hAnsi="Times New Roman"/>
                                  <w:sz w:val="21"/>
                                  <w:szCs w:val="21"/>
                                </w:rPr>
                                <w:t>feedback from officers and non-commissioned personnel</w:t>
                              </w:r>
                            </w:p>
                          </w:txbxContent>
                        </wps:txbx>
                        <wps:bodyPr rot="0" spcFirstLastPara="0" vertOverflow="overflow" horzOverflow="overflow" vert="horz" wrap="square" lIns="18000" tIns="14400" rIns="18000" bIns="10800" numCol="1" spcCol="0" rtlCol="0" fromWordArt="0" anchor="t" anchorCtr="0" forceAA="0" compatLnSpc="1">
                          <a:prstTxWarp prst="textNoShape">
                            <a:avLst/>
                          </a:prstTxWarp>
                          <a:noAutofit/>
                        </wps:bodyPr>
                      </wps:wsp>
                      <wps:wsp>
                        <wps:cNvPr id="904580815" name="Надпись 30"/>
                        <wps:cNvSpPr txBox="1"/>
                        <wps:spPr>
                          <a:xfrm>
                            <a:off x="628192" y="5794344"/>
                            <a:ext cx="5065015" cy="387859"/>
                          </a:xfrm>
                          <a:prstGeom prst="rect">
                            <a:avLst/>
                          </a:prstGeom>
                          <a:solidFill>
                            <a:sysClr val="window" lastClr="FFFFFF"/>
                          </a:solidFill>
                          <a:ln w="6350">
                            <a:solidFill>
                              <a:prstClr val="black"/>
                            </a:solidFill>
                          </a:ln>
                        </wps:spPr>
                        <wps:txbx>
                          <w:txbxContent>
                            <w:p w14:paraId="55AFABAA" w14:textId="77777777" w:rsidR="00F25FCF" w:rsidRPr="00D471DB" w:rsidRDefault="00F25FCF" w:rsidP="00B44B71">
                              <w:pPr>
                                <w:spacing w:after="0"/>
                                <w:jc w:val="center"/>
                                <w:rPr>
                                  <w:rFonts w:ascii="Times New Roman" w:hAnsi="Times New Roman" w:cs="Times New Roman"/>
                                </w:rPr>
                              </w:pPr>
                              <w:r w:rsidRPr="00D471DB">
                                <w:rPr>
                                  <w:rFonts w:ascii="Times New Roman" w:hAnsi="Times New Roman" w:cs="Times New Roman"/>
                                  <w:b/>
                                </w:rPr>
                                <w:t>Result</w:t>
                              </w:r>
                              <w:r w:rsidRPr="00D471DB">
                                <w:rPr>
                                  <w:rFonts w:ascii="Times New Roman" w:hAnsi="Times New Roman" w:cs="Times New Roman"/>
                                </w:rPr>
                                <w:t>:</w:t>
                              </w:r>
                            </w:p>
                            <w:p w14:paraId="4F59785E" w14:textId="77777777" w:rsidR="00F25FCF" w:rsidRPr="00BC2AAE" w:rsidRDefault="00F25FCF" w:rsidP="00B44B71">
                              <w:pPr>
                                <w:spacing w:after="0"/>
                                <w:jc w:val="center"/>
                                <w:rPr>
                                  <w:rFonts w:ascii="Times New Roman" w:hAnsi="Times New Roman" w:cs="Times New Roman"/>
                                </w:rPr>
                              </w:pPr>
                              <w:r w:rsidRPr="00BC2AAE">
                                <w:rPr>
                                  <w:rFonts w:ascii="Times New Roman" w:hAnsi="Times New Roman" w:cs="Times New Roman"/>
                                </w:rPr>
                                <w:t xml:space="preserve">determination of </w:t>
                              </w:r>
                              <w:r w:rsidRPr="00BC2AAE">
                                <w:rPr>
                                  <w:rFonts w:ascii="Times New Roman" w:hAnsi="Times New Roman" w:cs="Times New Roman"/>
                                  <w:b/>
                                  <w:bCs/>
                                </w:rPr>
                                <w:t>actual leadership capacity</w:t>
                              </w:r>
                              <w:r w:rsidRPr="00BC2AAE">
                                <w:rPr>
                                  <w:rFonts w:ascii="Times New Roman" w:hAnsi="Times New Roman" w:cs="Times New Roman"/>
                                </w:rPr>
                                <w:t>, rather than merely formal compliance with the position</w:t>
                              </w:r>
                            </w:p>
                            <w:p w14:paraId="366B7F4C" w14:textId="77777777" w:rsidR="00F25FCF" w:rsidRPr="00BC2AAE" w:rsidRDefault="00F25FCF" w:rsidP="00B44B71">
                              <w:pPr>
                                <w:spacing w:after="0"/>
                                <w:jc w:val="center"/>
                                <w:rPr>
                                  <w:rFonts w:ascii="Times New Roman" w:hAnsi="Times New Roman" w:cs="Times New Roman"/>
                                </w:rPr>
                              </w:pPr>
                            </w:p>
                          </w:txbxContent>
                        </wps:txbx>
                        <wps:bodyPr rot="0" spcFirstLastPara="0" vertOverflow="overflow" horzOverflow="overflow" vert="horz" wrap="square" lIns="18000" tIns="14400" rIns="18000" bIns="10800" numCol="1" spcCol="0" rtlCol="0" fromWordArt="0" anchor="t" anchorCtr="0" forceAA="0" compatLnSpc="1">
                          <a:prstTxWarp prst="textNoShape">
                            <a:avLst/>
                          </a:prstTxWarp>
                          <a:noAutofit/>
                        </wps:bodyPr>
                      </wps:wsp>
                      <wps:wsp>
                        <wps:cNvPr id="904580816" name="Штриховая стрелка вправо 904580816"/>
                        <wps:cNvSpPr/>
                        <wps:spPr>
                          <a:xfrm rot="5400000">
                            <a:off x="-441478" y="5304486"/>
                            <a:ext cx="1482795" cy="466017"/>
                          </a:xfrm>
                          <a:prstGeom prst="stripedRightArrow">
                            <a:avLst>
                              <a:gd name="adj1" fmla="val 100000"/>
                              <a:gd name="adj2" fmla="val 51299"/>
                            </a:avLst>
                          </a:prstGeom>
                          <a:solidFill>
                            <a:srgbClr val="70AD47">
                              <a:lumMod val="60000"/>
                              <a:lumOff val="4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4580817" name="Скругленный прямоугольник 904580817"/>
                        <wps:cNvSpPr/>
                        <wps:spPr>
                          <a:xfrm>
                            <a:off x="-20256" y="6329383"/>
                            <a:ext cx="3270919" cy="357975"/>
                          </a:xfrm>
                          <a:prstGeom prst="roundRect">
                            <a:avLst/>
                          </a:prstGeom>
                          <a:solidFill>
                            <a:srgbClr val="FFC000">
                              <a:lumMod val="40000"/>
                              <a:lumOff val="60000"/>
                            </a:srgbClr>
                          </a:solidFill>
                          <a:ln w="19050" cap="flat" cmpd="sng" algn="ctr">
                            <a:solidFill>
                              <a:sysClr val="windowText" lastClr="000000"/>
                            </a:solidFill>
                            <a:prstDash val="solid"/>
                            <a:miter lim="800000"/>
                          </a:ln>
                          <a:effectLst/>
                        </wps:spPr>
                        <wps:txbx>
                          <w:txbxContent>
                            <w:p w14:paraId="62832033" w14:textId="77777777" w:rsidR="00F25FCF" w:rsidRPr="00DD316C" w:rsidRDefault="00F25FCF" w:rsidP="00B44B71">
                              <w:pPr>
                                <w:jc w:val="center"/>
                                <w:rPr>
                                  <w:rFonts w:ascii="Times New Roman" w:hAnsi="Times New Roman" w:cs="Times New Roman"/>
                                  <w:sz w:val="24"/>
                                  <w:szCs w:val="24"/>
                                </w:rPr>
                              </w:pPr>
                              <w:r w:rsidRPr="00D471DB">
                                <w:rPr>
                                  <w:rFonts w:ascii="Times New Roman" w:hAnsi="Times New Roman" w:cs="Times New Roman"/>
                                  <w:b/>
                                  <w:sz w:val="24"/>
                                  <w:szCs w:val="24"/>
                                </w:rPr>
                                <w:t>Level IV</w:t>
                              </w:r>
                              <w:r>
                                <w:rPr>
                                  <w:rFonts w:ascii="Times New Roman" w:hAnsi="Times New Roman" w:cs="Times New Roman"/>
                                  <w:b/>
                                  <w:sz w:val="24"/>
                                  <w:szCs w:val="24"/>
                                </w:rPr>
                                <w:t xml:space="preserve"> </w:t>
                              </w:r>
                              <w:r w:rsidRPr="00C2051A">
                                <w:rPr>
                                  <w:rFonts w:ascii="Times New Roman" w:hAnsi="Times New Roman" w:cs="Times New Roman"/>
                                  <w:sz w:val="24"/>
                                  <w:szCs w:val="24"/>
                                </w:rPr>
                                <w:t xml:space="preserve">– </w:t>
                              </w:r>
                              <w:r w:rsidRPr="00D471DB">
                                <w:rPr>
                                  <w:rFonts w:ascii="Times New Roman" w:hAnsi="Times New Roman" w:cs="Times New Roman"/>
                                  <w:bCs/>
                                  <w:sz w:val="24"/>
                                  <w:szCs w:val="24"/>
                                </w:rPr>
                                <w:t>Integrative Expert Decision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4580818" name="Надпись 36"/>
                        <wps:cNvSpPr txBox="1"/>
                        <wps:spPr>
                          <a:xfrm>
                            <a:off x="628009" y="6687318"/>
                            <a:ext cx="5065015" cy="892042"/>
                          </a:xfrm>
                          <a:prstGeom prst="rect">
                            <a:avLst/>
                          </a:prstGeom>
                          <a:solidFill>
                            <a:sysClr val="window" lastClr="FFFFFF"/>
                          </a:solidFill>
                          <a:ln w="6350">
                            <a:solidFill>
                              <a:prstClr val="black"/>
                            </a:solidFill>
                          </a:ln>
                        </wps:spPr>
                        <wps:txbx>
                          <w:txbxContent>
                            <w:p w14:paraId="07138873" w14:textId="77777777" w:rsidR="00F25FCF" w:rsidRPr="00D471DB" w:rsidRDefault="00F25FCF" w:rsidP="00B44B71">
                              <w:pPr>
                                <w:spacing w:after="0"/>
                                <w:jc w:val="center"/>
                                <w:rPr>
                                  <w:rFonts w:ascii="Times New Roman" w:hAnsi="Times New Roman" w:cs="Times New Roman"/>
                                </w:rPr>
                              </w:pPr>
                              <w:r w:rsidRPr="00D471DB">
                                <w:rPr>
                                  <w:rFonts w:ascii="Times New Roman" w:hAnsi="Times New Roman" w:cs="Times New Roman"/>
                                  <w:b/>
                                  <w:bCs/>
                                </w:rPr>
                                <w:t xml:space="preserve">Specific feature of the level: </w:t>
                              </w:r>
                              <w:r w:rsidRPr="00D471DB">
                                <w:rPr>
                                  <w:rFonts w:ascii="Times New Roman" w:hAnsi="Times New Roman" w:cs="Times New Roman"/>
                                </w:rPr>
                                <w:t>not mechanical summation of scores, but integration of the results of all previous levels taking into account:</w:t>
                              </w:r>
                            </w:p>
                            <w:p w14:paraId="13665515" w14:textId="77777777" w:rsidR="00F25FCF" w:rsidRPr="00D471DB" w:rsidRDefault="00F25FCF" w:rsidP="008F7109">
                              <w:pPr>
                                <w:numPr>
                                  <w:ilvl w:val="0"/>
                                  <w:numId w:val="11"/>
                                </w:numPr>
                                <w:spacing w:after="0"/>
                                <w:rPr>
                                  <w:rFonts w:ascii="Times New Roman" w:hAnsi="Times New Roman" w:cs="Times New Roman"/>
                                </w:rPr>
                              </w:pPr>
                              <w:r w:rsidRPr="00D471DB">
                                <w:rPr>
                                  <w:rFonts w:ascii="Times New Roman" w:hAnsi="Times New Roman" w:cs="Times New Roman"/>
                                </w:rPr>
                                <w:t>combat conditions;</w:t>
                              </w:r>
                            </w:p>
                            <w:p w14:paraId="57DACE09" w14:textId="77777777" w:rsidR="00F25FCF" w:rsidRPr="00D471DB" w:rsidRDefault="00F25FCF" w:rsidP="008F7109">
                              <w:pPr>
                                <w:numPr>
                                  <w:ilvl w:val="0"/>
                                  <w:numId w:val="11"/>
                                </w:numPr>
                                <w:spacing w:after="0"/>
                                <w:rPr>
                                  <w:rFonts w:ascii="Times New Roman" w:hAnsi="Times New Roman" w:cs="Times New Roman"/>
                                </w:rPr>
                              </w:pPr>
                              <w:r w:rsidRPr="00D471DB">
                                <w:rPr>
                                  <w:rFonts w:ascii="Times New Roman" w:hAnsi="Times New Roman" w:cs="Times New Roman"/>
                                </w:rPr>
                                <w:t>specifics of the future position;</w:t>
                              </w:r>
                            </w:p>
                            <w:p w14:paraId="001F0D15" w14:textId="77777777" w:rsidR="00F25FCF" w:rsidRPr="00DD316C" w:rsidRDefault="00F25FCF" w:rsidP="008F7109">
                              <w:pPr>
                                <w:pStyle w:val="ListParagraph"/>
                                <w:numPr>
                                  <w:ilvl w:val="0"/>
                                  <w:numId w:val="11"/>
                                </w:numPr>
                                <w:spacing w:after="0"/>
                                <w:rPr>
                                  <w:rFonts w:ascii="Times New Roman" w:hAnsi="Times New Roman"/>
                                </w:rPr>
                              </w:pPr>
                              <w:r w:rsidRPr="00D471DB">
                                <w:rPr>
                                  <w:rFonts w:ascii="Times New Roman" w:hAnsi="Times New Roman"/>
                                </w:rPr>
                                <w:t>type of unit</w:t>
                              </w:r>
                              <w:r w:rsidRPr="00DD316C">
                                <w:rPr>
                                  <w:rFonts w:ascii="Times New Roman" w:hAnsi="Times New Roman"/>
                                </w:rPr>
                                <w:t>.</w:t>
                              </w:r>
                            </w:p>
                          </w:txbxContent>
                        </wps:txbx>
                        <wps:bodyPr rot="0" spcFirstLastPara="0" vertOverflow="overflow" horzOverflow="overflow" vert="horz" wrap="square" lIns="18000" tIns="14400" rIns="18000" bIns="10800" numCol="1" spcCol="0" rtlCol="0" fromWordArt="0" anchor="t" anchorCtr="0" forceAA="0" compatLnSpc="1">
                          <a:prstTxWarp prst="textNoShape">
                            <a:avLst/>
                          </a:prstTxWarp>
                          <a:noAutofit/>
                        </wps:bodyPr>
                      </wps:wsp>
                      <wps:wsp>
                        <wps:cNvPr id="904580819" name="Штриховая стрелка вправо 904580819"/>
                        <wps:cNvSpPr/>
                        <wps:spPr>
                          <a:xfrm rot="5400000">
                            <a:off x="-200177" y="6993616"/>
                            <a:ext cx="969632" cy="466017"/>
                          </a:xfrm>
                          <a:prstGeom prst="stripedRightArrow">
                            <a:avLst>
                              <a:gd name="adj1" fmla="val 100000"/>
                              <a:gd name="adj2" fmla="val 51299"/>
                            </a:avLst>
                          </a:prstGeom>
                          <a:solidFill>
                            <a:srgbClr val="70AD47">
                              <a:lumMod val="60000"/>
                              <a:lumOff val="4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4580820" name="Скругленный прямоугольник 904580820"/>
                        <wps:cNvSpPr/>
                        <wps:spPr>
                          <a:xfrm>
                            <a:off x="-50706" y="7728095"/>
                            <a:ext cx="5773866" cy="734657"/>
                          </a:xfrm>
                          <a:prstGeom prst="roundRect">
                            <a:avLst/>
                          </a:prstGeom>
                          <a:solidFill>
                            <a:srgbClr val="FFC000">
                              <a:lumMod val="40000"/>
                              <a:lumOff val="60000"/>
                            </a:srgbClr>
                          </a:solidFill>
                          <a:ln w="19050" cap="flat" cmpd="sng" algn="ctr">
                            <a:solidFill>
                              <a:sysClr val="windowText" lastClr="000000"/>
                            </a:solidFill>
                            <a:prstDash val="solid"/>
                            <a:miter lim="800000"/>
                          </a:ln>
                          <a:effectLst/>
                        </wps:spPr>
                        <wps:txbx>
                          <w:txbxContent>
                            <w:p w14:paraId="04644C12" w14:textId="77777777" w:rsidR="00F25FCF" w:rsidRPr="00D471DB" w:rsidRDefault="00F25FCF" w:rsidP="00B44B71">
                              <w:pPr>
                                <w:jc w:val="center"/>
                                <w:rPr>
                                  <w:rFonts w:ascii="Times New Roman" w:hAnsi="Times New Roman" w:cs="Times New Roman"/>
                                  <w:sz w:val="24"/>
                                  <w:szCs w:val="24"/>
                                </w:rPr>
                              </w:pPr>
                              <w:r w:rsidRPr="00D471DB">
                                <w:rPr>
                                  <w:rFonts w:ascii="Times New Roman" w:hAnsi="Times New Roman" w:cs="Times New Roman"/>
                                  <w:b/>
                                  <w:bCs/>
                                  <w:sz w:val="24"/>
                                  <w:szCs w:val="24"/>
                                </w:rPr>
                                <w:t>Final result:</w:t>
                              </w:r>
                              <w:r w:rsidRPr="00D471DB">
                                <w:rPr>
                                  <w:rFonts w:ascii="Times New Roman" w:hAnsi="Times New Roman" w:cs="Times New Roman"/>
                                  <w:b/>
                                  <w:sz w:val="24"/>
                                  <w:szCs w:val="24"/>
                                </w:rPr>
                                <w:br/>
                              </w:r>
                              <w:r w:rsidRPr="00D471DB">
                                <w:rPr>
                                  <w:rFonts w:ascii="Times New Roman" w:hAnsi="Times New Roman" w:cs="Times New Roman"/>
                                  <w:sz w:val="24"/>
                                  <w:szCs w:val="24"/>
                                </w:rPr>
                                <w:t xml:space="preserve">determination of the level of the candidate’s </w:t>
                              </w:r>
                              <w:r w:rsidRPr="00D471DB">
                                <w:rPr>
                                  <w:rFonts w:ascii="Times New Roman" w:hAnsi="Times New Roman" w:cs="Times New Roman"/>
                                  <w:b/>
                                  <w:bCs/>
                                  <w:sz w:val="24"/>
                                  <w:szCs w:val="24"/>
                                </w:rPr>
                                <w:t>combat leadership reliability</w:t>
                              </w:r>
                              <w:r w:rsidRPr="00D471DB">
                                <w:rPr>
                                  <w:rFonts w:ascii="Times New Roman" w:hAnsi="Times New Roman" w:cs="Times New Roman"/>
                                  <w:sz w:val="24"/>
                                  <w:szCs w:val="24"/>
                                </w:rPr>
                                <w:t xml:space="preserve"> as an integrated indicator of his readiness for command activity.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FE952E0" id="Группа 904580800" o:spid="_x0000_s1145" style="width:451.5pt;height:658pt;mso-position-horizontal-relative:char;mso-position-vertical-relative:line" coordorigin="-507,2286" coordsize="57794,823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">
                <v:shapetype id="_x0000_t202" coordsize="21600,21600" o:spt="202" path="m,l,21600r21600,l21600,xe">
                  <v:stroke joinstyle="miter"/>
                  <v:path gradientshapeok="t" o:connecttype="rect"/>
                </v:shapetype>
                <v:shape id="Надпись 923" o:spid="_x0000_s1146" type="#_x0000_t202" style="position:absolute;left:6637;top:5816;width:25920;height:9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" fillcolor="window" strokeweight=".5pt">
                  <v:textbox inset=".5mm,.4mm,.5mm,.3mm">
                    <w:txbxContent>
                      <w:p w14:paraId="6AB367E6" w14:textId="77777777" w:rsidR="00F25FCF" w:rsidRPr="00C2051A"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neuropsychological resilience</w:t>
                        </w:r>
                        <w:r w:rsidRPr="00C2051A">
                          <w:rPr>
                            <w:rFonts w:ascii="Times New Roman" w:hAnsi="Times New Roman"/>
                          </w:rPr>
                          <w:t>;</w:t>
                        </w:r>
                      </w:p>
                      <w:p w14:paraId="7FA5CA21" w14:textId="77777777" w:rsidR="00F25FCF" w:rsidRPr="00C2051A"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ability for self-regulation</w:t>
                        </w:r>
                        <w:r w:rsidRPr="00C2051A">
                          <w:rPr>
                            <w:rFonts w:ascii="Times New Roman" w:hAnsi="Times New Roman"/>
                          </w:rPr>
                          <w:t>;</w:t>
                        </w:r>
                      </w:p>
                      <w:p w14:paraId="16485CA9" w14:textId="77777777" w:rsidR="00F25FCF" w:rsidRPr="00C2051A"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tolerance for uncertainty</w:t>
                        </w:r>
                        <w:r w:rsidRPr="00C2051A">
                          <w:rPr>
                            <w:rFonts w:ascii="Times New Roman" w:hAnsi="Times New Roman"/>
                          </w:rPr>
                          <w:t>;</w:t>
                        </w:r>
                      </w:p>
                      <w:p w14:paraId="71177EDB" w14:textId="77777777" w:rsidR="00F25FCF" w:rsidRPr="00C2051A"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tendency toward impulsive decisions</w:t>
                        </w:r>
                        <w:r w:rsidRPr="00C2051A">
                          <w:rPr>
                            <w:rFonts w:ascii="Times New Roman" w:hAnsi="Times New Roman"/>
                          </w:rPr>
                          <w:t>;</w:t>
                        </w:r>
                      </w:p>
                      <w:p w14:paraId="2D6A91FE"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level of internal locus of control.</w:t>
                        </w:r>
                      </w:p>
                    </w:txbxContent>
                  </v:textbox>
                </v:shape>
                <v:roundrect id="Скругленный прямоугольник 904580802" o:spid="_x0000_s1147" style="position:absolute;top:2286;width:32766;height:357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" fillcolor="#ffe699" strokecolor="windowText" strokeweight="1.5pt">
                  <v:stroke joinstyle="miter"/>
                  <v:textbox>
                    <w:txbxContent>
                      <w:p w14:paraId="0EE59225" w14:textId="77777777" w:rsidR="00F25FCF" w:rsidRPr="008F2D3D" w:rsidRDefault="00F25FCF" w:rsidP="00B44B71">
                        <w:pPr>
                          <w:jc w:val="center"/>
                          <w:rPr>
                            <w:rFonts w:ascii="Times New Roman" w:hAnsi="Times New Roman" w:cs="Times New Roman"/>
                            <w:sz w:val="24"/>
                            <w:szCs w:val="24"/>
                          </w:rPr>
                        </w:pPr>
                        <w:r w:rsidRPr="00D471DB">
                          <w:rPr>
                            <w:rFonts w:ascii="Times New Roman" w:hAnsi="Times New Roman" w:cs="Times New Roman"/>
                            <w:b/>
                            <w:sz w:val="24"/>
                            <w:szCs w:val="24"/>
                          </w:rPr>
                          <w:t>Level I</w:t>
                        </w:r>
                        <w:r>
                          <w:rPr>
                            <w:rFonts w:ascii="Times New Roman" w:hAnsi="Times New Roman" w:cs="Times New Roman"/>
                            <w:b/>
                            <w:sz w:val="24"/>
                            <w:szCs w:val="24"/>
                          </w:rPr>
                          <w:t xml:space="preserve"> </w:t>
                        </w:r>
                        <w:r>
                          <w:rPr>
                            <w:rFonts w:ascii="Times New Roman" w:hAnsi="Times New Roman" w:cs="Times New Roman"/>
                            <w:sz w:val="24"/>
                            <w:szCs w:val="24"/>
                          </w:rPr>
                          <w:t>–</w:t>
                        </w:r>
                        <w:r w:rsidRPr="008F2D3D">
                          <w:rPr>
                            <w:rFonts w:ascii="Times New Roman" w:hAnsi="Times New Roman" w:cs="Times New Roman"/>
                            <w:sz w:val="24"/>
                            <w:szCs w:val="24"/>
                          </w:rPr>
                          <w:t xml:space="preserve"> </w:t>
                        </w:r>
                        <w:r w:rsidRPr="00D471DB">
                          <w:rPr>
                            <w:rFonts w:ascii="Times New Roman" w:hAnsi="Times New Roman" w:cs="Times New Roman"/>
                            <w:sz w:val="24"/>
                            <w:szCs w:val="24"/>
                          </w:rPr>
                          <w:t>Psychological-Resource Screening</w:t>
                        </w:r>
                      </w:p>
                    </w:txbxContent>
                  </v:textbox>
                </v:roundre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Штриховая стрелка вправо 904580804" o:spid="_x0000_s1148" type="#_x0000_t93" style="position:absolute;left:-4897;top:12836;width:16910;height:4661;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" adj="18546,0" fillcolor="#a9d18e" strokecolor="#41719c" strokeweight="1pt"/>
                <v:shape id="Надпись 16" o:spid="_x0000_s1149" type="#_x0000_t202" style="position:absolute;left:36320;top:5681;width:20967;height:9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" fillcolor="window" strokeweight=".5pt">
                  <v:textbox inset=".5mm,.4mm,.5mm,.3mm">
                    <w:txbxContent>
                      <w:p w14:paraId="418742A2" w14:textId="77777777" w:rsidR="00F25FCF" w:rsidRPr="00C2051A"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standardized psychodiagnostic methods</w:t>
                        </w:r>
                        <w:r w:rsidRPr="00C2051A">
                          <w:rPr>
                            <w:rFonts w:ascii="Times New Roman" w:hAnsi="Times New Roman"/>
                          </w:rPr>
                          <w:t>;</w:t>
                        </w:r>
                      </w:p>
                      <w:p w14:paraId="7D140B41" w14:textId="77777777" w:rsidR="00F25FCF" w:rsidRPr="00C2051A"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short stress interviews</w:t>
                        </w:r>
                        <w:r w:rsidRPr="00C2051A">
                          <w:rPr>
                            <w:rFonts w:ascii="Times New Roman" w:hAnsi="Times New Roman"/>
                          </w:rPr>
                          <w:t>;</w:t>
                        </w:r>
                      </w:p>
                      <w:p w14:paraId="0500A49E" w14:textId="77777777" w:rsidR="00F25FCF" w:rsidRPr="00C2051A"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individual risk profiles</w:t>
                        </w:r>
                        <w:r w:rsidRPr="00C2051A">
                          <w:rPr>
                            <w:rFonts w:ascii="Times New Roman" w:hAnsi="Times New Roman"/>
                          </w:rPr>
                          <w:t>.</w:t>
                        </w:r>
                      </w:p>
                    </w:txbxContent>
                  </v:textbox>
                </v:shape>
                <v:shape id="Надпись 17" o:spid="_x0000_s1150" type="#_x0000_t202" style="position:absolute;left:6637;top:16645;width:50650;height:59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" fillcolor="window" strokeweight=".5pt">
                  <v:textbox inset=".5mm,.4mm,.5mm,.3mm">
                    <w:txbxContent>
                      <w:p w14:paraId="20E67F4A" w14:textId="77777777" w:rsidR="00F25FCF" w:rsidRPr="00D471DB" w:rsidRDefault="00F25FCF" w:rsidP="00B44B71">
                        <w:pPr>
                          <w:spacing w:after="0"/>
                          <w:jc w:val="center"/>
                          <w:rPr>
                            <w:rFonts w:ascii="Times New Roman" w:hAnsi="Times New Roman" w:cs="Times New Roman"/>
                          </w:rPr>
                        </w:pPr>
                        <w:r w:rsidRPr="00D471DB">
                          <w:rPr>
                            <w:rFonts w:ascii="Times New Roman" w:hAnsi="Times New Roman" w:cs="Times New Roman"/>
                            <w:b/>
                          </w:rPr>
                          <w:t>Result</w:t>
                        </w:r>
                        <w:r w:rsidRPr="00D471DB">
                          <w:rPr>
                            <w:rFonts w:ascii="Times New Roman" w:hAnsi="Times New Roman" w:cs="Times New Roman"/>
                          </w:rPr>
                          <w:t>:</w:t>
                        </w:r>
                      </w:p>
                      <w:p w14:paraId="45AE0230" w14:textId="77777777" w:rsidR="00F25FCF" w:rsidRPr="00D471DB" w:rsidRDefault="00F25FCF" w:rsidP="00B44B71">
                        <w:pPr>
                          <w:spacing w:after="0"/>
                          <w:jc w:val="center"/>
                          <w:rPr>
                            <w:rFonts w:ascii="Times New Roman" w:hAnsi="Times New Roman" w:cs="Times New Roman"/>
                          </w:rPr>
                        </w:pPr>
                        <w:r w:rsidRPr="00D471DB">
                          <w:rPr>
                            <w:rFonts w:ascii="Times New Roman" w:hAnsi="Times New Roman" w:cs="Times New Roman"/>
                          </w:rPr>
                          <w:t xml:space="preserve">formation of the candidate’s </w:t>
                        </w:r>
                        <w:r w:rsidRPr="00D471DB">
                          <w:rPr>
                            <w:rFonts w:ascii="Times New Roman" w:hAnsi="Times New Roman" w:cs="Times New Roman"/>
                            <w:b/>
                            <w:bCs/>
                          </w:rPr>
                          <w:t>psychological profile</w:t>
                        </w:r>
                        <w:r w:rsidRPr="00D471DB">
                          <w:rPr>
                            <w:rFonts w:ascii="Times New Roman" w:hAnsi="Times New Roman" w:cs="Times New Roman"/>
                          </w:rPr>
                          <w:t xml:space="preserve"> and identification of </w:t>
                        </w:r>
                        <w:r w:rsidRPr="00D471DB">
                          <w:rPr>
                            <w:rFonts w:ascii="Times New Roman" w:hAnsi="Times New Roman" w:cs="Times New Roman"/>
                            <w:b/>
                            <w:bCs/>
                          </w:rPr>
                          <w:t>limitations or risk zones</w:t>
                        </w:r>
                        <w:r w:rsidRPr="00D471DB">
                          <w:rPr>
                            <w:rFonts w:ascii="Times New Roman" w:hAnsi="Times New Roman" w:cs="Times New Roman"/>
                          </w:rPr>
                          <w:t>, which are taken into account at subsequent levels</w:t>
                        </w:r>
                      </w:p>
                    </w:txbxContent>
                  </v:textbox>
                </v:shape>
                <v:roundrect id="Скругленный прямоугольник 904580807" o:spid="_x0000_s1151" style="position:absolute;left:-202;top:24028;width:32765;height:35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" fillcolor="#ffe699" strokecolor="windowText" strokeweight="1.5pt">
                  <v:stroke joinstyle="miter"/>
                  <v:textbox>
                    <w:txbxContent>
                      <w:p w14:paraId="17BBD3B7" w14:textId="77777777" w:rsidR="00F25FCF" w:rsidRPr="008F2D3D" w:rsidRDefault="00F25FCF" w:rsidP="00B44B71">
                        <w:pPr>
                          <w:jc w:val="center"/>
                          <w:rPr>
                            <w:rFonts w:ascii="Times New Roman" w:hAnsi="Times New Roman" w:cs="Times New Roman"/>
                            <w:sz w:val="24"/>
                            <w:szCs w:val="24"/>
                          </w:rPr>
                        </w:pPr>
                        <w:r w:rsidRPr="00D471DB">
                          <w:rPr>
                            <w:rFonts w:ascii="Times New Roman" w:hAnsi="Times New Roman" w:cs="Times New Roman"/>
                            <w:b/>
                            <w:sz w:val="24"/>
                            <w:szCs w:val="24"/>
                          </w:rPr>
                          <w:t>Level II</w:t>
                        </w:r>
                        <w:r>
                          <w:rPr>
                            <w:rFonts w:ascii="Times New Roman" w:hAnsi="Times New Roman" w:cs="Times New Roman"/>
                            <w:b/>
                            <w:sz w:val="24"/>
                            <w:szCs w:val="24"/>
                          </w:rPr>
                          <w:t xml:space="preserve"> </w:t>
                        </w:r>
                        <w:r w:rsidRPr="00C2051A">
                          <w:rPr>
                            <w:rFonts w:ascii="Times New Roman" w:hAnsi="Times New Roman" w:cs="Times New Roman"/>
                            <w:sz w:val="24"/>
                            <w:szCs w:val="24"/>
                          </w:rPr>
                          <w:t xml:space="preserve">– </w:t>
                        </w:r>
                        <w:r w:rsidRPr="00D471DB">
                          <w:rPr>
                            <w:rFonts w:ascii="Times New Roman" w:hAnsi="Times New Roman" w:cs="Times New Roman"/>
                            <w:sz w:val="24"/>
                            <w:szCs w:val="24"/>
                          </w:rPr>
                          <w:t>Situational-Behavioral Assessment</w:t>
                        </w:r>
                      </w:p>
                    </w:txbxContent>
                  </v:textbox>
                </v:roundrect>
                <v:shape id="Надпись 20" o:spid="_x0000_s1152" type="#_x0000_t202" style="position:absolute;left:6383;top:27454;width:25920;height:71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" fillcolor="window" strokeweight=".5pt">
                  <v:textbox inset=".5mm,.4mm,.5mm,.3mm">
                    <w:txbxContent>
                      <w:p w14:paraId="29FCFB64" w14:textId="77777777" w:rsidR="00F25FCF" w:rsidRPr="009A4EA4"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decision-making logic</w:t>
                        </w:r>
                        <w:r w:rsidRPr="009A4EA4">
                          <w:rPr>
                            <w:rFonts w:ascii="Times New Roman" w:hAnsi="Times New Roman"/>
                          </w:rPr>
                          <w:t>;</w:t>
                        </w:r>
                      </w:p>
                      <w:p w14:paraId="6944EB2A" w14:textId="77777777" w:rsidR="00F25FCF" w:rsidRPr="009A4EA4"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responsibility for consequences</w:t>
                        </w:r>
                        <w:r w:rsidRPr="009A4EA4">
                          <w:rPr>
                            <w:rFonts w:ascii="Times New Roman" w:hAnsi="Times New Roman"/>
                          </w:rPr>
                          <w:t>;</w:t>
                        </w:r>
                      </w:p>
                      <w:p w14:paraId="13FEA12C" w14:textId="77777777" w:rsidR="00F25FCF" w:rsidRPr="009A4EA4"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cognitive flexibility</w:t>
                        </w:r>
                        <w:r w:rsidRPr="009A4EA4">
                          <w:rPr>
                            <w:rFonts w:ascii="Times New Roman" w:hAnsi="Times New Roman"/>
                          </w:rPr>
                          <w:t>;</w:t>
                        </w:r>
                      </w:p>
                      <w:p w14:paraId="2A79D294"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rPr>
                        </w:pPr>
                        <w:r w:rsidRPr="00D471DB">
                          <w:rPr>
                            <w:rFonts w:ascii="Times New Roman" w:hAnsi="Times New Roman"/>
                          </w:rPr>
                          <w:t>ability to maintain control of the unit.</w:t>
                        </w:r>
                      </w:p>
                    </w:txbxContent>
                  </v:textbox>
                </v:shape>
                <v:shape id="Надпись 21" o:spid="_x0000_s1153" type="#_x0000_t202" style="position:absolute;left:36066;top:24079;width:20967;height:124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" fillcolor="window" strokeweight=".5pt">
                  <v:textbox inset=".5mm,.4mm,.5mm,.3mm">
                    <w:txbxContent>
                      <w:p w14:paraId="1D9DE6C4"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sz w:val="21"/>
                            <w:szCs w:val="21"/>
                          </w:rPr>
                        </w:pPr>
                        <w:r w:rsidRPr="00D471DB">
                          <w:rPr>
                            <w:rFonts w:ascii="Times New Roman" w:hAnsi="Times New Roman"/>
                            <w:sz w:val="21"/>
                            <w:szCs w:val="21"/>
                          </w:rPr>
                          <w:t>tactical cases with time constraints;</w:t>
                        </w:r>
                      </w:p>
                      <w:p w14:paraId="4DAAA147"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sz w:val="21"/>
                            <w:szCs w:val="21"/>
                          </w:rPr>
                        </w:pPr>
                        <w:r w:rsidRPr="00D471DB">
                          <w:rPr>
                            <w:rFonts w:ascii="Times New Roman" w:hAnsi="Times New Roman"/>
                            <w:sz w:val="21"/>
                            <w:szCs w:val="21"/>
                          </w:rPr>
                          <w:t>managerial dilemmas (choice between mission accomplishment and safety of personnel);</w:t>
                        </w:r>
                      </w:p>
                      <w:p w14:paraId="25FA03DA"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sz w:val="21"/>
                            <w:szCs w:val="21"/>
                          </w:rPr>
                        </w:pPr>
                        <w:r w:rsidRPr="00D471DB">
                          <w:rPr>
                            <w:rFonts w:ascii="Times New Roman" w:hAnsi="Times New Roman"/>
                            <w:sz w:val="21"/>
                            <w:szCs w:val="21"/>
                          </w:rPr>
                          <w:t>modeling of crisis situations (losses, disruption of command and control, moral pressure).</w:t>
                        </w:r>
                      </w:p>
                    </w:txbxContent>
                  </v:textbox>
                </v:shape>
                <v:shape id="Надпись 22" o:spid="_x0000_s1154" type="#_x0000_t202" style="position:absolute;left:6383;top:38285;width:50650;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" fillcolor="window" strokeweight=".5pt">
                  <v:textbox inset=".5mm,.4mm,.5mm,.3mm">
                    <w:txbxContent>
                      <w:p w14:paraId="59D6D09F" w14:textId="77777777" w:rsidR="00F25FCF" w:rsidRPr="00BC2AAE" w:rsidRDefault="00F25FCF" w:rsidP="00B44B71">
                        <w:pPr>
                          <w:spacing w:after="0"/>
                          <w:jc w:val="center"/>
                          <w:rPr>
                            <w:rFonts w:ascii="Times New Roman" w:hAnsi="Times New Roman" w:cs="Times New Roman"/>
                          </w:rPr>
                        </w:pPr>
                        <w:r w:rsidRPr="00BC2AAE">
                          <w:rPr>
                            <w:rFonts w:ascii="Times New Roman" w:hAnsi="Times New Roman" w:cs="Times New Roman"/>
                            <w:b/>
                          </w:rPr>
                          <w:t>Result</w:t>
                        </w:r>
                        <w:r w:rsidRPr="00BC2AAE">
                          <w:rPr>
                            <w:rFonts w:ascii="Times New Roman" w:hAnsi="Times New Roman" w:cs="Times New Roman"/>
                          </w:rPr>
                          <w:t>:</w:t>
                        </w:r>
                      </w:p>
                      <w:p w14:paraId="210E39B5" w14:textId="77777777" w:rsidR="00F25FCF" w:rsidRPr="00D471DB" w:rsidRDefault="00F25FCF" w:rsidP="00B44B71">
                        <w:pPr>
                          <w:spacing w:after="0"/>
                          <w:jc w:val="center"/>
                          <w:rPr>
                            <w:rFonts w:ascii="Times New Roman" w:hAnsi="Times New Roman" w:cs="Times New Roman"/>
                          </w:rPr>
                        </w:pPr>
                        <w:r w:rsidRPr="00D471DB">
                          <w:rPr>
                            <w:rFonts w:ascii="Times New Roman" w:hAnsi="Times New Roman" w:cs="Times New Roman"/>
                          </w:rPr>
                          <w:t xml:space="preserve">assessment of the candidate’s </w:t>
                        </w:r>
                        <w:r w:rsidRPr="00D471DB">
                          <w:rPr>
                            <w:rFonts w:ascii="Times New Roman" w:hAnsi="Times New Roman" w:cs="Times New Roman"/>
                            <w:b/>
                            <w:bCs/>
                          </w:rPr>
                          <w:t>functional managerial effectiveness</w:t>
                        </w:r>
                      </w:p>
                    </w:txbxContent>
                  </v:textbox>
                </v:shape>
                <v:shape id="Штриховая стрелка вправо 904580811" o:spid="_x0000_s1155" type="#_x0000_t93" style="position:absolute;left:-4263;top:33436;width:14828;height:4660;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" adj="18118,0" fillcolor="#a9d18e" strokecolor="#41719c" strokeweight="1pt"/>
                <v:roundrect id="Скругленный прямоугольник 904580812" o:spid="_x0000_s1156" style="position:absolute;left:-151;top:43532;width:32708;height:35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" fillcolor="#ffe699" strokecolor="windowText" strokeweight="1.5pt">
                  <v:stroke joinstyle="miter"/>
                  <v:textbox>
                    <w:txbxContent>
                      <w:p w14:paraId="5F161A79" w14:textId="77777777" w:rsidR="00F25FCF" w:rsidRPr="008F2D3D" w:rsidRDefault="00F25FCF" w:rsidP="00B44B71">
                        <w:pPr>
                          <w:jc w:val="center"/>
                          <w:rPr>
                            <w:rFonts w:ascii="Times New Roman" w:hAnsi="Times New Roman" w:cs="Times New Roman"/>
                            <w:sz w:val="24"/>
                            <w:szCs w:val="24"/>
                          </w:rPr>
                        </w:pPr>
                        <w:r w:rsidRPr="00D471DB">
                          <w:rPr>
                            <w:rFonts w:ascii="Times New Roman" w:hAnsi="Times New Roman" w:cs="Times New Roman"/>
                            <w:b/>
                            <w:sz w:val="24"/>
                            <w:szCs w:val="24"/>
                          </w:rPr>
                          <w:t>Level III</w:t>
                        </w:r>
                        <w:r>
                          <w:rPr>
                            <w:rFonts w:ascii="Times New Roman" w:hAnsi="Times New Roman" w:cs="Times New Roman"/>
                            <w:b/>
                            <w:sz w:val="24"/>
                            <w:szCs w:val="24"/>
                          </w:rPr>
                          <w:t xml:space="preserve"> </w:t>
                        </w:r>
                        <w:r w:rsidRPr="00C2051A">
                          <w:rPr>
                            <w:rFonts w:ascii="Times New Roman" w:hAnsi="Times New Roman" w:cs="Times New Roman"/>
                            <w:sz w:val="24"/>
                            <w:szCs w:val="24"/>
                          </w:rPr>
                          <w:t xml:space="preserve">– </w:t>
                        </w:r>
                        <w:r w:rsidRPr="00D471DB">
                          <w:rPr>
                            <w:rFonts w:ascii="Times New Roman" w:hAnsi="Times New Roman" w:cs="Times New Roman"/>
                            <w:bCs/>
                            <w:sz w:val="24"/>
                            <w:szCs w:val="24"/>
                          </w:rPr>
                          <w:t>Social-Leadership Verification</w:t>
                        </w:r>
                      </w:p>
                    </w:txbxContent>
                  </v:textbox>
                </v:roundrect>
                <v:shape id="Надпись 28" o:spid="_x0000_s1157" type="#_x0000_t202" style="position:absolute;left:6282;top:47115;width:25920;height:9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" fillcolor="window" strokeweight=".5pt">
                  <v:textbox inset=".5mm,.4mm,.5mm,.3mm">
                    <w:txbxContent>
                      <w:p w14:paraId="6F51D03C" w14:textId="77777777" w:rsidR="00F25FCF" w:rsidRPr="00DD316C" w:rsidRDefault="00F25FCF" w:rsidP="008F7109">
                        <w:pPr>
                          <w:pStyle w:val="ListParagraph"/>
                          <w:numPr>
                            <w:ilvl w:val="0"/>
                            <w:numId w:val="10"/>
                          </w:numPr>
                          <w:tabs>
                            <w:tab w:val="left" w:pos="284"/>
                          </w:tabs>
                          <w:spacing w:after="0"/>
                          <w:ind w:left="0" w:firstLine="0"/>
                          <w:jc w:val="both"/>
                          <w:rPr>
                            <w:rFonts w:ascii="Times New Roman" w:hAnsi="Times New Roman"/>
                            <w:spacing w:val="-4"/>
                            <w:sz w:val="21"/>
                            <w:szCs w:val="21"/>
                          </w:rPr>
                        </w:pPr>
                        <w:r w:rsidRPr="00D471DB">
                          <w:rPr>
                            <w:rFonts w:ascii="Times New Roman" w:hAnsi="Times New Roman"/>
                            <w:spacing w:val="-4"/>
                            <w:sz w:val="21"/>
                            <w:szCs w:val="21"/>
                          </w:rPr>
                          <w:t>level of subordinates’ trust</w:t>
                        </w:r>
                        <w:r w:rsidRPr="00DD316C">
                          <w:rPr>
                            <w:rFonts w:ascii="Times New Roman" w:hAnsi="Times New Roman"/>
                            <w:spacing w:val="-4"/>
                            <w:sz w:val="21"/>
                            <w:szCs w:val="21"/>
                          </w:rPr>
                          <w:t>;</w:t>
                        </w:r>
                      </w:p>
                      <w:p w14:paraId="30AE7D84" w14:textId="77777777" w:rsidR="00F25FCF" w:rsidRPr="00DD316C" w:rsidRDefault="00F25FCF" w:rsidP="008F7109">
                        <w:pPr>
                          <w:pStyle w:val="ListParagraph"/>
                          <w:numPr>
                            <w:ilvl w:val="0"/>
                            <w:numId w:val="10"/>
                          </w:numPr>
                          <w:tabs>
                            <w:tab w:val="left" w:pos="284"/>
                          </w:tabs>
                          <w:spacing w:after="0"/>
                          <w:ind w:left="0" w:firstLine="0"/>
                          <w:jc w:val="both"/>
                          <w:rPr>
                            <w:rFonts w:ascii="Times New Roman" w:hAnsi="Times New Roman"/>
                            <w:spacing w:val="-4"/>
                            <w:sz w:val="21"/>
                            <w:szCs w:val="21"/>
                          </w:rPr>
                        </w:pPr>
                        <w:r w:rsidRPr="00D471DB">
                          <w:rPr>
                            <w:rFonts w:ascii="Times New Roman" w:hAnsi="Times New Roman"/>
                            <w:spacing w:val="-4"/>
                            <w:sz w:val="21"/>
                            <w:szCs w:val="21"/>
                          </w:rPr>
                          <w:t>moral authority</w:t>
                        </w:r>
                        <w:r w:rsidRPr="00DD316C">
                          <w:rPr>
                            <w:rFonts w:ascii="Times New Roman" w:hAnsi="Times New Roman"/>
                            <w:spacing w:val="-4"/>
                            <w:sz w:val="21"/>
                            <w:szCs w:val="21"/>
                          </w:rPr>
                          <w:t>;</w:t>
                        </w:r>
                      </w:p>
                      <w:p w14:paraId="31120433"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spacing w:val="-4"/>
                            <w:sz w:val="21"/>
                            <w:szCs w:val="21"/>
                          </w:rPr>
                        </w:pPr>
                        <w:r w:rsidRPr="00D471DB">
                          <w:rPr>
                            <w:rFonts w:ascii="Times New Roman" w:hAnsi="Times New Roman"/>
                            <w:spacing w:val="-4"/>
                            <w:sz w:val="21"/>
                            <w:szCs w:val="21"/>
                          </w:rPr>
                          <w:t>ability to maintain unit motivation;</w:t>
                        </w:r>
                      </w:p>
                      <w:p w14:paraId="1B37EACD"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spacing w:val="-4"/>
                            <w:sz w:val="21"/>
                            <w:szCs w:val="21"/>
                          </w:rPr>
                        </w:pPr>
                        <w:r w:rsidRPr="00D471DB">
                          <w:rPr>
                            <w:rFonts w:ascii="Times New Roman" w:hAnsi="Times New Roman"/>
                            <w:spacing w:val="-4"/>
                            <w:sz w:val="21"/>
                            <w:szCs w:val="21"/>
                          </w:rPr>
                          <w:t>behavior under conditions of losses and overload.</w:t>
                        </w:r>
                      </w:p>
                    </w:txbxContent>
                  </v:textbox>
                </v:shape>
                <v:shape id="Надпись 29" o:spid="_x0000_s1158" type="#_x0000_t202" style="position:absolute;left:36268;top:44148;width:20967;height:121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" fillcolor="window" strokeweight=".5pt">
                  <v:textbox inset=".5mm,.4mm,.5mm,.3mm">
                    <w:txbxContent>
                      <w:p w14:paraId="2B0B77B9"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sz w:val="21"/>
                            <w:szCs w:val="21"/>
                          </w:rPr>
                        </w:pPr>
                        <w:r w:rsidRPr="00D471DB">
                          <w:rPr>
                            <w:rFonts w:ascii="Times New Roman" w:hAnsi="Times New Roman"/>
                            <w:sz w:val="21"/>
                            <w:szCs w:val="21"/>
                          </w:rPr>
                          <w:t>expert observation in field conditions;</w:t>
                        </w:r>
                      </w:p>
                      <w:p w14:paraId="71FCC2F4"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sz w:val="21"/>
                            <w:szCs w:val="21"/>
                          </w:rPr>
                        </w:pPr>
                        <w:r w:rsidRPr="00D471DB">
                          <w:rPr>
                            <w:rFonts w:ascii="Times New Roman" w:hAnsi="Times New Roman"/>
                            <w:sz w:val="21"/>
                            <w:szCs w:val="21"/>
                          </w:rPr>
                          <w:t>analysis of interaction with subordinates;</w:t>
                        </w:r>
                      </w:p>
                      <w:p w14:paraId="08D0072D" w14:textId="77777777" w:rsidR="00F25FCF" w:rsidRPr="00DD316C" w:rsidRDefault="00F25FCF" w:rsidP="008F7109">
                        <w:pPr>
                          <w:pStyle w:val="ListParagraph"/>
                          <w:numPr>
                            <w:ilvl w:val="0"/>
                            <w:numId w:val="10"/>
                          </w:numPr>
                          <w:tabs>
                            <w:tab w:val="left" w:pos="284"/>
                          </w:tabs>
                          <w:spacing w:after="0"/>
                          <w:ind w:left="0" w:firstLine="0"/>
                          <w:jc w:val="both"/>
                          <w:rPr>
                            <w:rFonts w:ascii="Times New Roman" w:hAnsi="Times New Roman"/>
                            <w:sz w:val="21"/>
                            <w:szCs w:val="21"/>
                          </w:rPr>
                        </w:pPr>
                        <w:r w:rsidRPr="00D471DB">
                          <w:rPr>
                            <w:rFonts w:ascii="Times New Roman" w:hAnsi="Times New Roman"/>
                            <w:sz w:val="21"/>
                            <w:szCs w:val="21"/>
                          </w:rPr>
                          <w:t>elements of sociometry</w:t>
                        </w:r>
                        <w:r w:rsidRPr="00DD316C">
                          <w:rPr>
                            <w:rFonts w:ascii="Times New Roman" w:hAnsi="Times New Roman"/>
                            <w:sz w:val="21"/>
                            <w:szCs w:val="21"/>
                          </w:rPr>
                          <w:t>;</w:t>
                        </w:r>
                      </w:p>
                      <w:p w14:paraId="2FAFF8A1" w14:textId="77777777" w:rsidR="00F25FCF" w:rsidRPr="00D471DB" w:rsidRDefault="00F25FCF" w:rsidP="008F7109">
                        <w:pPr>
                          <w:pStyle w:val="ListParagraph"/>
                          <w:numPr>
                            <w:ilvl w:val="0"/>
                            <w:numId w:val="10"/>
                          </w:numPr>
                          <w:tabs>
                            <w:tab w:val="left" w:pos="284"/>
                          </w:tabs>
                          <w:spacing w:after="0"/>
                          <w:ind w:left="0" w:firstLine="0"/>
                          <w:jc w:val="both"/>
                          <w:rPr>
                            <w:rFonts w:ascii="Times New Roman" w:hAnsi="Times New Roman"/>
                            <w:sz w:val="21"/>
                            <w:szCs w:val="21"/>
                          </w:rPr>
                        </w:pPr>
                        <w:r w:rsidRPr="00D471DB">
                          <w:rPr>
                            <w:rFonts w:ascii="Times New Roman" w:hAnsi="Times New Roman"/>
                            <w:sz w:val="21"/>
                            <w:szCs w:val="21"/>
                          </w:rPr>
                          <w:t>feedback from officers and non-commissioned personnel</w:t>
                        </w:r>
                      </w:p>
                    </w:txbxContent>
                  </v:textbox>
                </v:shape>
                <v:shape id="Надпись 30" o:spid="_x0000_s1159" type="#_x0000_t202" style="position:absolute;left:6281;top:57943;width:50651;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" fillcolor="window" strokeweight=".5pt">
                  <v:textbox inset=".5mm,.4mm,.5mm,.3mm">
                    <w:txbxContent>
                      <w:p w14:paraId="55AFABAA" w14:textId="77777777" w:rsidR="00F25FCF" w:rsidRPr="00D471DB" w:rsidRDefault="00F25FCF" w:rsidP="00B44B71">
                        <w:pPr>
                          <w:spacing w:after="0"/>
                          <w:jc w:val="center"/>
                          <w:rPr>
                            <w:rFonts w:ascii="Times New Roman" w:hAnsi="Times New Roman" w:cs="Times New Roman"/>
                          </w:rPr>
                        </w:pPr>
                        <w:r w:rsidRPr="00D471DB">
                          <w:rPr>
                            <w:rFonts w:ascii="Times New Roman" w:hAnsi="Times New Roman" w:cs="Times New Roman"/>
                            <w:b/>
                          </w:rPr>
                          <w:t>Result</w:t>
                        </w:r>
                        <w:r w:rsidRPr="00D471DB">
                          <w:rPr>
                            <w:rFonts w:ascii="Times New Roman" w:hAnsi="Times New Roman" w:cs="Times New Roman"/>
                          </w:rPr>
                          <w:t>:</w:t>
                        </w:r>
                      </w:p>
                      <w:p w14:paraId="4F59785E" w14:textId="77777777" w:rsidR="00F25FCF" w:rsidRPr="00BC2AAE" w:rsidRDefault="00F25FCF" w:rsidP="00B44B71">
                        <w:pPr>
                          <w:spacing w:after="0"/>
                          <w:jc w:val="center"/>
                          <w:rPr>
                            <w:rFonts w:ascii="Times New Roman" w:hAnsi="Times New Roman" w:cs="Times New Roman"/>
                          </w:rPr>
                        </w:pPr>
                        <w:r w:rsidRPr="00BC2AAE">
                          <w:rPr>
                            <w:rFonts w:ascii="Times New Roman" w:hAnsi="Times New Roman" w:cs="Times New Roman"/>
                          </w:rPr>
                          <w:t xml:space="preserve">determination of </w:t>
                        </w:r>
                        <w:r w:rsidRPr="00BC2AAE">
                          <w:rPr>
                            <w:rFonts w:ascii="Times New Roman" w:hAnsi="Times New Roman" w:cs="Times New Roman"/>
                            <w:b/>
                            <w:bCs/>
                          </w:rPr>
                          <w:t>actual leadership capacity</w:t>
                        </w:r>
                        <w:r w:rsidRPr="00BC2AAE">
                          <w:rPr>
                            <w:rFonts w:ascii="Times New Roman" w:hAnsi="Times New Roman" w:cs="Times New Roman"/>
                          </w:rPr>
                          <w:t>, rather than merely formal compliance with the position</w:t>
                        </w:r>
                      </w:p>
                      <w:p w14:paraId="366B7F4C" w14:textId="77777777" w:rsidR="00F25FCF" w:rsidRPr="00BC2AAE" w:rsidRDefault="00F25FCF" w:rsidP="00B44B71">
                        <w:pPr>
                          <w:spacing w:after="0"/>
                          <w:jc w:val="center"/>
                          <w:rPr>
                            <w:rFonts w:ascii="Times New Roman" w:hAnsi="Times New Roman" w:cs="Times New Roman"/>
                          </w:rPr>
                        </w:pPr>
                      </w:p>
                    </w:txbxContent>
                  </v:textbox>
                </v:shape>
                <v:shape id="Штриховая стрелка вправо 904580816" o:spid="_x0000_s1160" type="#_x0000_t93" style="position:absolute;left:-4415;top:53044;width:14828;height:4660;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" adj="18118,0" fillcolor="#a9d18e" strokecolor="#41719c" strokeweight="1pt"/>
                <v:roundrect id="Скругленный прямоугольник 904580817" o:spid="_x0000_s1161" style="position:absolute;left:-202;top:63293;width:32708;height:35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" fillcolor="#ffe699" strokecolor="windowText" strokeweight="1.5pt">
                  <v:stroke joinstyle="miter"/>
                  <v:textbox>
                    <w:txbxContent>
                      <w:p w14:paraId="62832033" w14:textId="77777777" w:rsidR="00F25FCF" w:rsidRPr="00DD316C" w:rsidRDefault="00F25FCF" w:rsidP="00B44B71">
                        <w:pPr>
                          <w:jc w:val="center"/>
                          <w:rPr>
                            <w:rFonts w:ascii="Times New Roman" w:hAnsi="Times New Roman" w:cs="Times New Roman"/>
                            <w:sz w:val="24"/>
                            <w:szCs w:val="24"/>
                          </w:rPr>
                        </w:pPr>
                        <w:r w:rsidRPr="00D471DB">
                          <w:rPr>
                            <w:rFonts w:ascii="Times New Roman" w:hAnsi="Times New Roman" w:cs="Times New Roman"/>
                            <w:b/>
                            <w:sz w:val="24"/>
                            <w:szCs w:val="24"/>
                          </w:rPr>
                          <w:t>Level IV</w:t>
                        </w:r>
                        <w:r>
                          <w:rPr>
                            <w:rFonts w:ascii="Times New Roman" w:hAnsi="Times New Roman" w:cs="Times New Roman"/>
                            <w:b/>
                            <w:sz w:val="24"/>
                            <w:szCs w:val="24"/>
                          </w:rPr>
                          <w:t xml:space="preserve"> </w:t>
                        </w:r>
                        <w:r w:rsidRPr="00C2051A">
                          <w:rPr>
                            <w:rFonts w:ascii="Times New Roman" w:hAnsi="Times New Roman" w:cs="Times New Roman"/>
                            <w:sz w:val="24"/>
                            <w:szCs w:val="24"/>
                          </w:rPr>
                          <w:t xml:space="preserve">– </w:t>
                        </w:r>
                        <w:r w:rsidRPr="00D471DB">
                          <w:rPr>
                            <w:rFonts w:ascii="Times New Roman" w:hAnsi="Times New Roman" w:cs="Times New Roman"/>
                            <w:bCs/>
                            <w:sz w:val="24"/>
                            <w:szCs w:val="24"/>
                          </w:rPr>
                          <w:t>Integrative Expert Decision</w:t>
                        </w:r>
                      </w:p>
                    </w:txbxContent>
                  </v:textbox>
                </v:roundrect>
                <v:shape id="Надпись 36" o:spid="_x0000_s1162" type="#_x0000_t202" style="position:absolute;left:6280;top:66873;width:50650;height:89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" fillcolor="window" strokeweight=".5pt">
                  <v:textbox inset=".5mm,.4mm,.5mm,.3mm">
                    <w:txbxContent>
                      <w:p w14:paraId="07138873" w14:textId="77777777" w:rsidR="00F25FCF" w:rsidRPr="00D471DB" w:rsidRDefault="00F25FCF" w:rsidP="00B44B71">
                        <w:pPr>
                          <w:spacing w:after="0"/>
                          <w:jc w:val="center"/>
                          <w:rPr>
                            <w:rFonts w:ascii="Times New Roman" w:hAnsi="Times New Roman" w:cs="Times New Roman"/>
                          </w:rPr>
                        </w:pPr>
                        <w:r w:rsidRPr="00D471DB">
                          <w:rPr>
                            <w:rFonts w:ascii="Times New Roman" w:hAnsi="Times New Roman" w:cs="Times New Roman"/>
                            <w:b/>
                            <w:bCs/>
                          </w:rPr>
                          <w:t xml:space="preserve">Specific feature of the level: </w:t>
                        </w:r>
                        <w:r w:rsidRPr="00D471DB">
                          <w:rPr>
                            <w:rFonts w:ascii="Times New Roman" w:hAnsi="Times New Roman" w:cs="Times New Roman"/>
                          </w:rPr>
                          <w:t>not mechanical summation of scores, but integration of the results of all previous levels taking into account:</w:t>
                        </w:r>
                      </w:p>
                      <w:p w14:paraId="13665515" w14:textId="77777777" w:rsidR="00F25FCF" w:rsidRPr="00D471DB" w:rsidRDefault="00F25FCF" w:rsidP="008F7109">
                        <w:pPr>
                          <w:numPr>
                            <w:ilvl w:val="0"/>
                            <w:numId w:val="11"/>
                          </w:numPr>
                          <w:spacing w:after="0"/>
                          <w:rPr>
                            <w:rFonts w:ascii="Times New Roman" w:hAnsi="Times New Roman" w:cs="Times New Roman"/>
                          </w:rPr>
                        </w:pPr>
                        <w:r w:rsidRPr="00D471DB">
                          <w:rPr>
                            <w:rFonts w:ascii="Times New Roman" w:hAnsi="Times New Roman" w:cs="Times New Roman"/>
                          </w:rPr>
                          <w:t>combat conditions;</w:t>
                        </w:r>
                      </w:p>
                      <w:p w14:paraId="57DACE09" w14:textId="77777777" w:rsidR="00F25FCF" w:rsidRPr="00D471DB" w:rsidRDefault="00F25FCF" w:rsidP="008F7109">
                        <w:pPr>
                          <w:numPr>
                            <w:ilvl w:val="0"/>
                            <w:numId w:val="11"/>
                          </w:numPr>
                          <w:spacing w:after="0"/>
                          <w:rPr>
                            <w:rFonts w:ascii="Times New Roman" w:hAnsi="Times New Roman" w:cs="Times New Roman"/>
                          </w:rPr>
                        </w:pPr>
                        <w:r w:rsidRPr="00D471DB">
                          <w:rPr>
                            <w:rFonts w:ascii="Times New Roman" w:hAnsi="Times New Roman" w:cs="Times New Roman"/>
                          </w:rPr>
                          <w:t>specifics of the future position;</w:t>
                        </w:r>
                      </w:p>
                      <w:p w14:paraId="001F0D15" w14:textId="77777777" w:rsidR="00F25FCF" w:rsidRPr="00DD316C" w:rsidRDefault="00F25FCF" w:rsidP="008F7109">
                        <w:pPr>
                          <w:pStyle w:val="ListParagraph"/>
                          <w:numPr>
                            <w:ilvl w:val="0"/>
                            <w:numId w:val="11"/>
                          </w:numPr>
                          <w:spacing w:after="0"/>
                          <w:rPr>
                            <w:rFonts w:ascii="Times New Roman" w:hAnsi="Times New Roman"/>
                          </w:rPr>
                        </w:pPr>
                        <w:r w:rsidRPr="00D471DB">
                          <w:rPr>
                            <w:rFonts w:ascii="Times New Roman" w:hAnsi="Times New Roman"/>
                          </w:rPr>
                          <w:t>type of unit</w:t>
                        </w:r>
                        <w:r w:rsidRPr="00DD316C">
                          <w:rPr>
                            <w:rFonts w:ascii="Times New Roman" w:hAnsi="Times New Roman"/>
                          </w:rPr>
                          <w:t>.</w:t>
                        </w:r>
                      </w:p>
                    </w:txbxContent>
                  </v:textbox>
                </v:shape>
                <v:shape id="Штриховая стрелка вправо 904580819" o:spid="_x0000_s1163" type="#_x0000_t93" style="position:absolute;left:-2002;top:69936;width:9696;height:4660;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" adj="16275,0" fillcolor="#a9d18e" strokecolor="#41719c" strokeweight="1pt"/>
                <v:roundrect id="Скругленный прямоугольник 904580820" o:spid="_x0000_s1164" style="position:absolute;left:-507;top:77280;width:57738;height:7347;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" fillcolor="#ffe699" strokecolor="windowText" strokeweight="1.5pt">
                  <v:stroke joinstyle="miter"/>
                  <v:textbox>
                    <w:txbxContent>
                      <w:p w14:paraId="04644C12" w14:textId="77777777" w:rsidR="00F25FCF" w:rsidRPr="00D471DB" w:rsidRDefault="00F25FCF" w:rsidP="00B44B71">
                        <w:pPr>
                          <w:jc w:val="center"/>
                          <w:rPr>
                            <w:rFonts w:ascii="Times New Roman" w:hAnsi="Times New Roman" w:cs="Times New Roman"/>
                            <w:sz w:val="24"/>
                            <w:szCs w:val="24"/>
                          </w:rPr>
                        </w:pPr>
                        <w:r w:rsidRPr="00D471DB">
                          <w:rPr>
                            <w:rFonts w:ascii="Times New Roman" w:hAnsi="Times New Roman" w:cs="Times New Roman"/>
                            <w:b/>
                            <w:bCs/>
                            <w:sz w:val="24"/>
                            <w:szCs w:val="24"/>
                          </w:rPr>
                          <w:t>Final result:</w:t>
                        </w:r>
                        <w:r w:rsidRPr="00D471DB">
                          <w:rPr>
                            <w:rFonts w:ascii="Times New Roman" w:hAnsi="Times New Roman" w:cs="Times New Roman"/>
                            <w:b/>
                            <w:sz w:val="24"/>
                            <w:szCs w:val="24"/>
                          </w:rPr>
                          <w:br/>
                        </w:r>
                        <w:r w:rsidRPr="00D471DB">
                          <w:rPr>
                            <w:rFonts w:ascii="Times New Roman" w:hAnsi="Times New Roman" w:cs="Times New Roman"/>
                            <w:sz w:val="24"/>
                            <w:szCs w:val="24"/>
                          </w:rPr>
                          <w:t xml:space="preserve">determination of the level of the candidate’s </w:t>
                        </w:r>
                        <w:r w:rsidRPr="00D471DB">
                          <w:rPr>
                            <w:rFonts w:ascii="Times New Roman" w:hAnsi="Times New Roman" w:cs="Times New Roman"/>
                            <w:b/>
                            <w:bCs/>
                            <w:sz w:val="24"/>
                            <w:szCs w:val="24"/>
                          </w:rPr>
                          <w:t>combat leadership reliability</w:t>
                        </w:r>
                        <w:r w:rsidRPr="00D471DB">
                          <w:rPr>
                            <w:rFonts w:ascii="Times New Roman" w:hAnsi="Times New Roman" w:cs="Times New Roman"/>
                            <w:sz w:val="24"/>
                            <w:szCs w:val="24"/>
                          </w:rPr>
                          <w:t xml:space="preserve"> as an integrated indicator of his readiness for command activity.</w:t>
                        </w:r>
                      </w:p>
                    </w:txbxContent>
                  </v:textbox>
                </v:roundrect>
                <w10:anchorlock/>
              </v:group>
            </w:pict>
          </mc:Fallback>
        </mc:AlternateContent>
      </w:r>
    </w:p>
    <w:p w14:paraId="0FC99582"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bCs/>
          <w:kern w:val="0"/>
          <w:sz w:val="28"/>
          <w:szCs w:val="28"/>
          <w:lang w:val="uk-UA"/>
          <w14:ligatures w14:val="none"/>
        </w:rPr>
      </w:pPr>
      <w:r w:rsidRPr="00B117D5">
        <w:rPr>
          <w:rFonts w:ascii="Times New Roman" w:eastAsia="Calibri" w:hAnsi="Times New Roman" w:cs="Times New Roman"/>
          <w:bCs/>
          <w:kern w:val="0"/>
          <w:sz w:val="28"/>
          <w:szCs w:val="28"/>
          <w14:ligatures w14:val="none"/>
        </w:rPr>
        <w:t>Fig</w:t>
      </w:r>
      <w:r w:rsidRPr="00B117D5">
        <w:rPr>
          <w:rFonts w:ascii="Times New Roman" w:eastAsia="Calibri" w:hAnsi="Times New Roman" w:cs="Times New Roman"/>
          <w:bCs/>
          <w:kern w:val="0"/>
          <w:sz w:val="28"/>
          <w:szCs w:val="28"/>
          <w:lang w:val="uk-UA"/>
          <w14:ligatures w14:val="none"/>
        </w:rPr>
        <w:t>.</w:t>
      </w:r>
      <w:r w:rsidRPr="00B117D5">
        <w:rPr>
          <w:rFonts w:ascii="Times New Roman" w:eastAsia="Calibri" w:hAnsi="Times New Roman" w:cs="Times New Roman"/>
          <w:bCs/>
          <w:kern w:val="0"/>
          <w:sz w:val="28"/>
          <w:szCs w:val="28"/>
          <w14:ligatures w14:val="none"/>
        </w:rPr>
        <w:t xml:space="preserve"> 1</w:t>
      </w:r>
      <w:r w:rsidRPr="00B117D5">
        <w:rPr>
          <w:rFonts w:ascii="Times New Roman" w:eastAsia="Calibri" w:hAnsi="Times New Roman" w:cs="Times New Roman"/>
          <w:bCs/>
          <w:kern w:val="0"/>
          <w:sz w:val="28"/>
          <w:szCs w:val="28"/>
          <w:lang w:val="uk-UA"/>
          <w14:ligatures w14:val="none"/>
        </w:rPr>
        <w:t xml:space="preserve">. </w:t>
      </w:r>
      <w:r w:rsidRPr="00B117D5">
        <w:rPr>
          <w:rFonts w:ascii="Times New Roman" w:eastAsia="Calibri" w:hAnsi="Times New Roman" w:cs="Times New Roman"/>
          <w:bCs/>
          <w:kern w:val="0"/>
          <w:sz w:val="28"/>
          <w:szCs w:val="28"/>
          <w14:ligatures w14:val="none"/>
        </w:rPr>
        <w:t>Hybrid model for assessing professional competencies of candidates for command positions</w:t>
      </w:r>
    </w:p>
    <w:p w14:paraId="57B007C6"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14:ligatures w14:val="none"/>
        </w:rPr>
        <w:lastRenderedPageBreak/>
        <w:t>At the same time, a number of aspects remain insufficiently studied. These include assessment of the commander’s moral authority, level of subordinates’ trust as an indicator of leadership, and the impact of combat experience without proper reflection on managerial decision-making. Their study is critically necessary to increase assessment accuracy and form full-fledged competencies of a modern commander.</w:t>
      </w:r>
    </w:p>
    <w:p w14:paraId="172729DF"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14:ligatures w14:val="none"/>
        </w:rPr>
        <w:t>The practical value of the conducted research lies in the possibility of using the obtained results by personnel bodies of the Armed Forces of Ukraine, military educational institutions, and unit commanders for:</w:t>
      </w:r>
    </w:p>
    <w:p w14:paraId="547E1BEA" w14:textId="78CD2E6E" w:rsidR="00B44B71" w:rsidRPr="00B44B71" w:rsidRDefault="007F460B" w:rsidP="007F460B">
      <w:pPr>
        <w:tabs>
          <w:tab w:val="left" w:pos="851"/>
          <w:tab w:val="left" w:pos="9638"/>
        </w:tabs>
        <w:spacing w:after="0" w:line="240" w:lineRule="auto"/>
        <w:ind w:left="567"/>
        <w:contextualSpacing/>
        <w:jc w:val="both"/>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 xml:space="preserve"> </w:t>
      </w:r>
      <w:r w:rsidR="00B44B71" w:rsidRPr="00B44B71">
        <w:rPr>
          <w:rFonts w:ascii="Times New Roman" w:eastAsia="Calibri" w:hAnsi="Times New Roman" w:cs="Times New Roman"/>
          <w:kern w:val="0"/>
          <w:sz w:val="28"/>
          <w:szCs w:val="28"/>
          <w14:ligatures w14:val="none"/>
        </w:rPr>
        <w:t>election of candidates for command positions;</w:t>
      </w:r>
    </w:p>
    <w:p w14:paraId="0501B9ED" w14:textId="727B1D7B" w:rsidR="00B44B71" w:rsidRPr="00B44B71" w:rsidRDefault="007F460B" w:rsidP="007F460B">
      <w:pPr>
        <w:tabs>
          <w:tab w:val="left" w:pos="851"/>
          <w:tab w:val="left" w:pos="9638"/>
        </w:tabs>
        <w:spacing w:after="0" w:line="240" w:lineRule="auto"/>
        <w:ind w:left="567"/>
        <w:contextualSpacing/>
        <w:jc w:val="both"/>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 xml:space="preserve"> </w:t>
      </w:r>
      <w:r w:rsidR="00B44B71" w:rsidRPr="00B44B71">
        <w:rPr>
          <w:rFonts w:ascii="Times New Roman" w:eastAsia="Calibri" w:hAnsi="Times New Roman" w:cs="Times New Roman"/>
          <w:kern w:val="0"/>
          <w:sz w:val="28"/>
          <w:szCs w:val="28"/>
          <w14:ligatures w14:val="none"/>
        </w:rPr>
        <w:t>development of adaptive training programs and courses;</w:t>
      </w:r>
    </w:p>
    <w:p w14:paraId="2E466B60" w14:textId="77777777" w:rsidR="00B44B71" w:rsidRPr="00B44B71" w:rsidRDefault="00B44B71" w:rsidP="007F460B">
      <w:pPr>
        <w:tabs>
          <w:tab w:val="left" w:pos="851"/>
          <w:tab w:val="left" w:pos="9638"/>
        </w:tabs>
        <w:spacing w:after="0" w:line="240" w:lineRule="auto"/>
        <w:ind w:firstLine="709"/>
        <w:contextualSpacing/>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14:ligatures w14:val="none"/>
        </w:rPr>
        <w:t>increasing combat effectiveness and moral-psychological stability of units in wartime conditions.</w:t>
      </w:r>
    </w:p>
    <w:p w14:paraId="5E921724"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14:ligatures w14:val="none"/>
        </w:rPr>
        <w:t>Thus, the proposed hybrid model for assessing professional competencies is innovative, takes into account the specifics of modern warfare, and integrates the best domestic and international practices, opening new directions for further scientific research in the field of military leadership.</w:t>
      </w:r>
    </w:p>
    <w:p w14:paraId="258EB50B" w14:textId="77777777" w:rsidR="00B44B71" w:rsidRPr="00B44B71" w:rsidRDefault="00B44B71" w:rsidP="00023291">
      <w:pPr>
        <w:tabs>
          <w:tab w:val="left" w:pos="9638"/>
        </w:tabs>
        <w:spacing w:after="0" w:line="240" w:lineRule="auto"/>
        <w:ind w:firstLine="709"/>
        <w:rPr>
          <w:rFonts w:ascii="Times New Roman" w:eastAsia="Calibri" w:hAnsi="Times New Roman" w:cs="Times New Roman"/>
          <w:b/>
          <w:bCs/>
          <w:kern w:val="0"/>
          <w:sz w:val="28"/>
          <w:szCs w:val="28"/>
          <w14:ligatures w14:val="none"/>
        </w:rPr>
      </w:pPr>
      <w:r w:rsidRPr="00B44B71">
        <w:rPr>
          <w:rFonts w:ascii="Times New Roman" w:eastAsia="Calibri" w:hAnsi="Times New Roman" w:cs="Times New Roman"/>
          <w:b/>
          <w:bCs/>
          <w:kern w:val="0"/>
          <w:sz w:val="28"/>
          <w:szCs w:val="28"/>
          <w14:ligatures w14:val="none"/>
        </w:rPr>
        <w:t>Prospects for further research</w:t>
      </w:r>
    </w:p>
    <w:p w14:paraId="6EC42F39"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8"/>
          <w:szCs w:val="28"/>
          <w14:ligatures w14:val="none"/>
        </w:rPr>
      </w:pPr>
      <w:r w:rsidRPr="00B44B71">
        <w:rPr>
          <w:rFonts w:ascii="Times New Roman" w:eastAsia="Calibri" w:hAnsi="Times New Roman" w:cs="Times New Roman"/>
          <w:kern w:val="0"/>
          <w:sz w:val="28"/>
          <w:szCs w:val="28"/>
          <w14:ligatures w14:val="none"/>
        </w:rPr>
        <w:t>Further research should focus on empirical validation of the proposed hybrid assessment model in real military settings, the development of standardized tools for evaluating moral authority and subordinates’ trust, and the study of how combat experience, when combined with structured reflection, influences long-term leadership effectiveness and psychological resilience.</w:t>
      </w:r>
    </w:p>
    <w:p w14:paraId="7754A1CD" w14:textId="77777777" w:rsidR="00B44B71" w:rsidRPr="00B44B71" w:rsidRDefault="00B44B71" w:rsidP="00023291">
      <w:pPr>
        <w:tabs>
          <w:tab w:val="left" w:pos="9638"/>
        </w:tabs>
        <w:spacing w:after="0" w:line="240" w:lineRule="auto"/>
        <w:ind w:firstLine="709"/>
        <w:jc w:val="center"/>
        <w:rPr>
          <w:rFonts w:ascii="Times New Roman" w:eastAsia="Calibri" w:hAnsi="Times New Roman" w:cs="Times New Roman"/>
          <w:b/>
          <w:bCs/>
          <w:kern w:val="0"/>
          <w:sz w:val="24"/>
          <w:szCs w:val="24"/>
          <w:shd w:val="clear" w:color="auto" w:fill="FFFFFF"/>
          <w14:ligatures w14:val="none"/>
        </w:rPr>
      </w:pPr>
    </w:p>
    <w:p w14:paraId="04D03EAC" w14:textId="77777777" w:rsidR="00B44B71" w:rsidRPr="00B44B71" w:rsidRDefault="00B44B71" w:rsidP="00B6038D">
      <w:pPr>
        <w:tabs>
          <w:tab w:val="left" w:pos="9638"/>
        </w:tabs>
        <w:spacing w:after="0" w:line="240" w:lineRule="auto"/>
        <w:jc w:val="center"/>
        <w:rPr>
          <w:rFonts w:ascii="Times New Roman" w:eastAsia="Calibri" w:hAnsi="Times New Roman" w:cs="Times New Roman"/>
          <w:b/>
          <w:bCs/>
          <w:kern w:val="0"/>
          <w:sz w:val="24"/>
          <w:szCs w:val="24"/>
          <w:lang w:val="ru-RU"/>
          <w14:ligatures w14:val="none"/>
        </w:rPr>
      </w:pPr>
      <w:r w:rsidRPr="00B44B71">
        <w:rPr>
          <w:rFonts w:ascii="Times New Roman" w:eastAsia="Calibri" w:hAnsi="Times New Roman" w:cs="Times New Roman"/>
          <w:b/>
          <w:bCs/>
          <w:kern w:val="0"/>
          <w:sz w:val="24"/>
          <w:szCs w:val="24"/>
          <w:shd w:val="clear" w:color="auto" w:fill="FFFFFF"/>
          <w:lang w:val="ru-RU"/>
          <w14:ligatures w14:val="none"/>
        </w:rPr>
        <w:t>ЛІТЕРАТУРА</w:t>
      </w:r>
    </w:p>
    <w:p w14:paraId="4400F013"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Бузід, А. М. (2024). Модель лідерства у військовій освіті: порівняльний аналіз на основі світових підходів. </w:t>
      </w:r>
      <w:r w:rsidRPr="00B44B71">
        <w:rPr>
          <w:rFonts w:ascii="Times New Roman" w:eastAsia="Calibri" w:hAnsi="Times New Roman" w:cs="Times New Roman"/>
          <w:i/>
          <w:iCs/>
          <w:kern w:val="0"/>
          <w:sz w:val="24"/>
          <w:szCs w:val="24"/>
          <w:lang w:val="ru-RU"/>
          <w14:ligatures w14:val="none"/>
        </w:rPr>
        <w:t>Духовність особистості: методологія, теорія і практика</w:t>
      </w:r>
      <w:r w:rsidRPr="00B44B71">
        <w:rPr>
          <w:rFonts w:ascii="Times New Roman" w:eastAsia="Calibri" w:hAnsi="Times New Roman" w:cs="Times New Roman"/>
          <w:kern w:val="0"/>
          <w:sz w:val="24"/>
          <w:szCs w:val="24"/>
          <w:lang w:val="ru-RU"/>
          <w14:ligatures w14:val="none"/>
        </w:rPr>
        <w:t>, *1*(110), 16–27. </w:t>
      </w:r>
      <w:hyperlink r:id="rId99" w:tgtFrame="_blank" w:history="1">
        <w:r w:rsidRPr="00B44B71">
          <w:rPr>
            <w:rFonts w:ascii="Times New Roman" w:eastAsia="Calibri" w:hAnsi="Times New Roman" w:cs="Times New Roman"/>
            <w:color w:val="0563C1"/>
            <w:kern w:val="0"/>
            <w:sz w:val="24"/>
            <w:szCs w:val="24"/>
            <w:u w:val="single"/>
            <w:lang w:val="ru-RU"/>
            <w14:ligatures w14:val="none"/>
          </w:rPr>
          <w:t>https://doi.org/10.33216/2220-6310/2024-110-3-16-27</w:t>
        </w:r>
      </w:hyperlink>
    </w:p>
    <w:p w14:paraId="7306ED74"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Головне управління Міністерства Армії США. (2006). </w:t>
      </w:r>
      <w:r w:rsidRPr="00B44B71">
        <w:rPr>
          <w:rFonts w:ascii="Times New Roman" w:eastAsia="Calibri" w:hAnsi="Times New Roman" w:cs="Times New Roman"/>
          <w:i/>
          <w:iCs/>
          <w:kern w:val="0"/>
          <w:sz w:val="24"/>
          <w:szCs w:val="24"/>
          <w:lang w:val="ru-RU"/>
          <w14:ligatures w14:val="none"/>
        </w:rPr>
        <w:t>Військове лідерство: компетентність, впевненість, гнучкість</w:t>
      </w:r>
      <w:r w:rsidRPr="00B44B71">
        <w:rPr>
          <w:rFonts w:ascii="Times New Roman" w:eastAsia="Calibri" w:hAnsi="Times New Roman" w:cs="Times New Roman"/>
          <w:kern w:val="0"/>
          <w:sz w:val="24"/>
          <w:szCs w:val="24"/>
          <w:lang w:val="ru-RU"/>
          <w14:ligatures w14:val="none"/>
        </w:rPr>
        <w:t>. Вашингтон, Федеральний округ Колумбія. Отримано 22 січня 2026 р. з </w:t>
      </w:r>
      <w:hyperlink r:id="rId100" w:tgtFrame="_blank" w:history="1">
        <w:r w:rsidRPr="00B44B71">
          <w:rPr>
            <w:rFonts w:ascii="Times New Roman" w:eastAsia="Calibri" w:hAnsi="Times New Roman" w:cs="Times New Roman"/>
            <w:color w:val="0563C1"/>
            <w:kern w:val="0"/>
            <w:sz w:val="24"/>
            <w:szCs w:val="24"/>
            <w:u w:val="single"/>
            <w:lang w:val="ru-RU"/>
            <w14:ligatures w14:val="none"/>
          </w:rPr>
          <w:t>https://sprotyvg7.com.ua/wp-content/uploads/2023/05/FM-6-22.-%D0%9B%D1%96%D0%B4%D0%B5%D1%80%D1%81%D1%82%D0%B2%D0%BE.pdf</w:t>
        </w:r>
      </w:hyperlink>
    </w:p>
    <w:p w14:paraId="6BD07233"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Віллінк, Д. (2021). </w:t>
      </w:r>
      <w:r w:rsidRPr="00B44B71">
        <w:rPr>
          <w:rFonts w:ascii="Times New Roman" w:eastAsia="Calibri" w:hAnsi="Times New Roman" w:cs="Times New Roman"/>
          <w:i/>
          <w:iCs/>
          <w:kern w:val="0"/>
          <w:sz w:val="24"/>
          <w:szCs w:val="24"/>
          <w:lang w:val="ru-RU"/>
          <w14:ligatures w14:val="none"/>
        </w:rPr>
        <w:t>Стратегія і тактика лідерства</w:t>
      </w:r>
      <w:r w:rsidRPr="00B44B71">
        <w:rPr>
          <w:rFonts w:ascii="Times New Roman" w:eastAsia="Calibri" w:hAnsi="Times New Roman" w:cs="Times New Roman"/>
          <w:kern w:val="0"/>
          <w:sz w:val="24"/>
          <w:szCs w:val="24"/>
          <w:lang w:val="ru-RU"/>
          <w14:ligatures w14:val="none"/>
        </w:rPr>
        <w:t> (Л. Пилаєва, пер.). Book Chef.</w:t>
      </w:r>
    </w:p>
    <w:p w14:paraId="36BA007F"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Волобуєв, В., Веретільник, В., &amp; Гнидюк, О. (2024). Військове лідерство у XXI столітті: від традиційних моделей до адаптивних стратегій. </w:t>
      </w:r>
      <w:r w:rsidRPr="00B44B71">
        <w:rPr>
          <w:rFonts w:ascii="Times New Roman" w:eastAsia="Calibri" w:hAnsi="Times New Roman" w:cs="Times New Roman"/>
          <w:i/>
          <w:iCs/>
          <w:kern w:val="0"/>
          <w:sz w:val="24"/>
          <w:szCs w:val="24"/>
          <w:lang w:val="ru-RU"/>
          <w14:ligatures w14:val="none"/>
        </w:rPr>
        <w:t>Збірник наукових праць Національної академії державної прикордонної служби України. Серія: військові та технічні науки</w:t>
      </w:r>
      <w:r w:rsidRPr="00B44B71">
        <w:rPr>
          <w:rFonts w:ascii="Times New Roman" w:eastAsia="Calibri" w:hAnsi="Times New Roman" w:cs="Times New Roman"/>
          <w:kern w:val="0"/>
          <w:sz w:val="24"/>
          <w:szCs w:val="24"/>
          <w:lang w:val="ru-RU"/>
          <w14:ligatures w14:val="none"/>
        </w:rPr>
        <w:t>, *4*(97), 16–30. </w:t>
      </w:r>
      <w:hyperlink r:id="rId101" w:tgtFrame="_blank" w:history="1">
        <w:r w:rsidRPr="00B44B71">
          <w:rPr>
            <w:rFonts w:ascii="Times New Roman" w:eastAsia="Calibri" w:hAnsi="Times New Roman" w:cs="Times New Roman"/>
            <w:color w:val="0563C1"/>
            <w:kern w:val="0"/>
            <w:sz w:val="24"/>
            <w:szCs w:val="24"/>
            <w:u w:val="single"/>
            <w:lang w:val="ru-RU"/>
            <w14:ligatures w14:val="none"/>
          </w:rPr>
          <w:t>https://doi.org/10.32453/3.v97i4.1772</w:t>
        </w:r>
      </w:hyperlink>
    </w:p>
    <w:p w14:paraId="18B1C641" w14:textId="77777777" w:rsidR="00B44B71" w:rsidRPr="007B09E7"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Грант, Г. (2020, 29 липня). </w:t>
      </w:r>
      <w:r w:rsidRPr="00B44B71">
        <w:rPr>
          <w:rFonts w:ascii="Times New Roman" w:eastAsia="Calibri" w:hAnsi="Times New Roman" w:cs="Times New Roman"/>
          <w:i/>
          <w:iCs/>
          <w:kern w:val="0"/>
          <w:sz w:val="24"/>
          <w:szCs w:val="24"/>
          <w:lang w:val="ru-RU"/>
          <w14:ligatures w14:val="none"/>
        </w:rPr>
        <w:t>Лідерство в армії – нова парадигма в Україні</w:t>
      </w:r>
      <w:r w:rsidRPr="00B44B71">
        <w:rPr>
          <w:rFonts w:ascii="Times New Roman" w:eastAsia="Calibri" w:hAnsi="Times New Roman" w:cs="Times New Roman"/>
          <w:kern w:val="0"/>
          <w:sz w:val="24"/>
          <w:szCs w:val="24"/>
          <w:lang w:val="ru-RU"/>
          <w14:ligatures w14:val="none"/>
        </w:rPr>
        <w:t xml:space="preserve">. </w:t>
      </w:r>
      <w:r w:rsidRPr="00B44B71">
        <w:rPr>
          <w:rFonts w:ascii="Times New Roman" w:eastAsia="Calibri" w:hAnsi="Times New Roman" w:cs="Times New Roman"/>
          <w:kern w:val="0"/>
          <w:sz w:val="24"/>
          <w:szCs w:val="24"/>
          <w14:ligatures w14:val="none"/>
        </w:rPr>
        <w:t xml:space="preserve">Ukraine Future Institute. </w:t>
      </w:r>
      <w:r w:rsidRPr="00B44B71">
        <w:rPr>
          <w:rFonts w:ascii="Times New Roman" w:eastAsia="Calibri" w:hAnsi="Times New Roman" w:cs="Times New Roman"/>
          <w:kern w:val="0"/>
          <w:sz w:val="24"/>
          <w:szCs w:val="24"/>
          <w:lang w:val="ru-RU"/>
          <w14:ligatures w14:val="none"/>
        </w:rPr>
        <w:t>Отримано</w:t>
      </w:r>
      <w:r w:rsidRPr="007B09E7">
        <w:rPr>
          <w:rFonts w:ascii="Times New Roman" w:eastAsia="Calibri" w:hAnsi="Times New Roman" w:cs="Times New Roman"/>
          <w:kern w:val="0"/>
          <w:sz w:val="24"/>
          <w:szCs w:val="24"/>
          <w:lang w:val="ru-RU"/>
          <w14:ligatures w14:val="none"/>
        </w:rPr>
        <w:t xml:space="preserve"> 22 </w:t>
      </w:r>
      <w:r w:rsidRPr="00B44B71">
        <w:rPr>
          <w:rFonts w:ascii="Times New Roman" w:eastAsia="Calibri" w:hAnsi="Times New Roman" w:cs="Times New Roman"/>
          <w:kern w:val="0"/>
          <w:sz w:val="24"/>
          <w:szCs w:val="24"/>
          <w:lang w:val="ru-RU"/>
          <w14:ligatures w14:val="none"/>
        </w:rPr>
        <w:t>січня</w:t>
      </w:r>
      <w:r w:rsidRPr="007B09E7">
        <w:rPr>
          <w:rFonts w:ascii="Times New Roman" w:eastAsia="Calibri" w:hAnsi="Times New Roman" w:cs="Times New Roman"/>
          <w:kern w:val="0"/>
          <w:sz w:val="24"/>
          <w:szCs w:val="24"/>
          <w:lang w:val="ru-RU"/>
          <w14:ligatures w14:val="none"/>
        </w:rPr>
        <w:t xml:space="preserve"> 2026 </w:t>
      </w:r>
      <w:r w:rsidRPr="00B44B71">
        <w:rPr>
          <w:rFonts w:ascii="Times New Roman" w:eastAsia="Calibri" w:hAnsi="Times New Roman" w:cs="Times New Roman"/>
          <w:kern w:val="0"/>
          <w:sz w:val="24"/>
          <w:szCs w:val="24"/>
          <w:lang w:val="ru-RU"/>
          <w14:ligatures w14:val="none"/>
        </w:rPr>
        <w:t>р</w:t>
      </w:r>
      <w:r w:rsidRPr="007B09E7">
        <w:rPr>
          <w:rFonts w:ascii="Times New Roman" w:eastAsia="Calibri" w:hAnsi="Times New Roman" w:cs="Times New Roman"/>
          <w:kern w:val="0"/>
          <w:sz w:val="24"/>
          <w:szCs w:val="24"/>
          <w:lang w:val="ru-RU"/>
          <w14:ligatures w14:val="none"/>
        </w:rPr>
        <w:t xml:space="preserve">. </w:t>
      </w:r>
      <w:r w:rsidRPr="00B44B71">
        <w:rPr>
          <w:rFonts w:ascii="Times New Roman" w:eastAsia="Calibri" w:hAnsi="Times New Roman" w:cs="Times New Roman"/>
          <w:kern w:val="0"/>
          <w:sz w:val="24"/>
          <w:szCs w:val="24"/>
          <w:lang w:val="ru-RU"/>
          <w14:ligatures w14:val="none"/>
        </w:rPr>
        <w:t>з</w:t>
      </w:r>
      <w:r w:rsidRPr="00B44B71">
        <w:rPr>
          <w:rFonts w:ascii="Times New Roman" w:eastAsia="Calibri" w:hAnsi="Times New Roman" w:cs="Times New Roman"/>
          <w:kern w:val="0"/>
          <w:sz w:val="24"/>
          <w:szCs w:val="24"/>
          <w14:ligatures w14:val="none"/>
        </w:rPr>
        <w:t> </w:t>
      </w:r>
      <w:hyperlink r:id="rId102" w:tgtFrame="_blank" w:history="1">
        <w:r w:rsidRPr="00B44B71">
          <w:rPr>
            <w:rFonts w:ascii="Times New Roman" w:eastAsia="Calibri" w:hAnsi="Times New Roman" w:cs="Times New Roman"/>
            <w:color w:val="0563C1"/>
            <w:kern w:val="0"/>
            <w:sz w:val="24"/>
            <w:szCs w:val="24"/>
            <w:u w:val="single"/>
            <w14:ligatures w14:val="none"/>
          </w:rPr>
          <w:t>https</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www</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uifuture</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org</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publications</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news</w:t>
        </w:r>
        <w:r w:rsidRPr="007B09E7">
          <w:rPr>
            <w:rFonts w:ascii="Times New Roman" w:eastAsia="Calibri" w:hAnsi="Times New Roman" w:cs="Times New Roman"/>
            <w:color w:val="0563C1"/>
            <w:kern w:val="0"/>
            <w:sz w:val="24"/>
            <w:szCs w:val="24"/>
            <w:u w:val="single"/>
            <w:lang w:val="ru-RU"/>
            <w14:ligatures w14:val="none"/>
          </w:rPr>
          <w:t>/25153-</w:t>
        </w:r>
        <w:r w:rsidRPr="00B44B71">
          <w:rPr>
            <w:rFonts w:ascii="Times New Roman" w:eastAsia="Calibri" w:hAnsi="Times New Roman" w:cs="Times New Roman"/>
            <w:color w:val="0563C1"/>
            <w:kern w:val="0"/>
            <w:sz w:val="24"/>
            <w:szCs w:val="24"/>
            <w:u w:val="single"/>
            <w14:ligatures w14:val="none"/>
          </w:rPr>
          <w:t>liderstvo</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v</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armii</w:t>
        </w:r>
      </w:hyperlink>
    </w:p>
    <w:p w14:paraId="770F7557"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Дияк, В. В., Маркова, С. В., &amp; Волобуєв, В. В. (2024). Концепції військового лідерства в Україні та країнах Євроатлантичного простору. </w:t>
      </w:r>
      <w:r w:rsidRPr="00B44B71">
        <w:rPr>
          <w:rFonts w:ascii="Times New Roman" w:eastAsia="Calibri" w:hAnsi="Times New Roman" w:cs="Times New Roman"/>
          <w:i/>
          <w:iCs/>
          <w:kern w:val="0"/>
          <w:sz w:val="24"/>
          <w:szCs w:val="24"/>
          <w:lang w:val="ru-RU"/>
          <w14:ligatures w14:val="none"/>
        </w:rPr>
        <w:t>Наукові інновації та передові технології</w:t>
      </w:r>
      <w:r w:rsidRPr="00B44B71">
        <w:rPr>
          <w:rFonts w:ascii="Times New Roman" w:eastAsia="Calibri" w:hAnsi="Times New Roman" w:cs="Times New Roman"/>
          <w:kern w:val="0"/>
          <w:sz w:val="24"/>
          <w:szCs w:val="24"/>
          <w:lang w:val="ru-RU"/>
          <w14:ligatures w14:val="none"/>
        </w:rPr>
        <w:t>, *4*(32), 928–937. </w:t>
      </w:r>
      <w:hyperlink r:id="rId103" w:tgtFrame="_blank" w:history="1">
        <w:r w:rsidRPr="00B44B71">
          <w:rPr>
            <w:rFonts w:ascii="Times New Roman" w:eastAsia="Calibri" w:hAnsi="Times New Roman" w:cs="Times New Roman"/>
            <w:color w:val="0563C1"/>
            <w:kern w:val="0"/>
            <w:sz w:val="24"/>
            <w:szCs w:val="24"/>
            <w:u w:val="single"/>
            <w:lang w:val="ru-RU"/>
            <w14:ligatures w14:val="none"/>
          </w:rPr>
          <w:t>https://doi.org/10.52058/2786-5274-2024-4(32)-928-937</w:t>
        </w:r>
      </w:hyperlink>
    </w:p>
    <w:p w14:paraId="2715809F"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Головне управління доктрин та підготовки Генерального штабу Збройних Сил України. (2020). </w:t>
      </w:r>
      <w:r w:rsidRPr="00B44B71">
        <w:rPr>
          <w:rFonts w:ascii="Times New Roman" w:eastAsia="Calibri" w:hAnsi="Times New Roman" w:cs="Times New Roman"/>
          <w:i/>
          <w:iCs/>
          <w:kern w:val="0"/>
          <w:sz w:val="24"/>
          <w:szCs w:val="24"/>
          <w:lang w:val="ru-RU"/>
          <w14:ligatures w14:val="none"/>
        </w:rPr>
        <w:t>Доктрина розвитку військового лідерства у Збройних силах України</w:t>
      </w:r>
      <w:r w:rsidRPr="00B44B71">
        <w:rPr>
          <w:rFonts w:ascii="Times New Roman" w:eastAsia="Calibri" w:hAnsi="Times New Roman" w:cs="Times New Roman"/>
          <w:kern w:val="0"/>
          <w:sz w:val="24"/>
          <w:szCs w:val="24"/>
          <w:lang w:val="ru-RU"/>
          <w14:ligatures w14:val="none"/>
        </w:rPr>
        <w:t xml:space="preserve">. Отримано 22 січня 2026 р. </w:t>
      </w:r>
      <w:r w:rsidRPr="00B44B71">
        <w:rPr>
          <w:rFonts w:ascii="Times New Roman" w:eastAsia="Calibri" w:hAnsi="Times New Roman" w:cs="Times New Roman"/>
          <w:kern w:val="0"/>
          <w:sz w:val="24"/>
          <w:szCs w:val="24"/>
          <w:lang w:val="ru-RU"/>
          <w14:ligatures w14:val="none"/>
        </w:rPr>
        <w:lastRenderedPageBreak/>
        <w:t>з </w:t>
      </w:r>
      <w:hyperlink r:id="rId104" w:tgtFrame="_blank" w:history="1">
        <w:r w:rsidRPr="00B44B71">
          <w:rPr>
            <w:rFonts w:ascii="Times New Roman" w:eastAsia="Calibri" w:hAnsi="Times New Roman" w:cs="Times New Roman"/>
            <w:color w:val="0563C1"/>
            <w:kern w:val="0"/>
            <w:sz w:val="24"/>
            <w:szCs w:val="24"/>
            <w:u w:val="single"/>
            <w:lang w:val="ru-RU"/>
            <w14:ligatures w14:val="none"/>
          </w:rPr>
          <w:t>https://kzmi.mil.gov.ua/images/stories/public_info/Doktryna_rozvytku_viysokovoho_liderstva_v_ZSU.pdf</w:t>
        </w:r>
      </w:hyperlink>
    </w:p>
    <w:p w14:paraId="7EF40A88"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Зайцев, Д. М., Шевчук, В. А., &amp; Мельник, Я. І. (2025). Організаційно-правові засади розвитку військового лідерства у Збройних силах України. </w:t>
      </w:r>
      <w:r w:rsidRPr="00B44B71">
        <w:rPr>
          <w:rFonts w:ascii="Times New Roman" w:eastAsia="Calibri" w:hAnsi="Times New Roman" w:cs="Times New Roman"/>
          <w:i/>
          <w:iCs/>
          <w:kern w:val="0"/>
          <w:sz w:val="24"/>
          <w:szCs w:val="24"/>
          <w:lang w:val="ru-RU"/>
          <w14:ligatures w14:val="none"/>
        </w:rPr>
        <w:t>Аналітично-порівняльне правознавство</w:t>
      </w:r>
      <w:r w:rsidRPr="00B44B71">
        <w:rPr>
          <w:rFonts w:ascii="Times New Roman" w:eastAsia="Calibri" w:hAnsi="Times New Roman" w:cs="Times New Roman"/>
          <w:kern w:val="0"/>
          <w:sz w:val="24"/>
          <w:szCs w:val="24"/>
          <w:lang w:val="ru-RU"/>
          <w14:ligatures w14:val="none"/>
        </w:rPr>
        <w:t>, *4*, 192–198. </w:t>
      </w:r>
      <w:hyperlink r:id="rId105" w:tgtFrame="_blank" w:history="1">
        <w:r w:rsidRPr="00B44B71">
          <w:rPr>
            <w:rFonts w:ascii="Times New Roman" w:eastAsia="Calibri" w:hAnsi="Times New Roman" w:cs="Times New Roman"/>
            <w:color w:val="0563C1"/>
            <w:kern w:val="0"/>
            <w:sz w:val="24"/>
            <w:szCs w:val="24"/>
            <w:u w:val="single"/>
            <w:lang w:val="ru-RU"/>
            <w14:ligatures w14:val="none"/>
          </w:rPr>
          <w:t>https://doi.org/10.24144/2788-6018.2025.04.1.31</w:t>
        </w:r>
      </w:hyperlink>
    </w:p>
    <w:p w14:paraId="7344FB24"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Залужний, В., Назаров, В., &amp; Грищук, Р. (2023). Система військового лідерства у Збройних Силах України: проблемні питання та шляхи їх вирішення. </w:t>
      </w:r>
      <w:r w:rsidRPr="00B44B71">
        <w:rPr>
          <w:rFonts w:ascii="Times New Roman" w:eastAsia="Calibri" w:hAnsi="Times New Roman" w:cs="Times New Roman"/>
          <w:i/>
          <w:iCs/>
          <w:kern w:val="0"/>
          <w:sz w:val="24"/>
          <w:szCs w:val="24"/>
          <w:lang w:val="ru-RU"/>
          <w14:ligatures w14:val="none"/>
        </w:rPr>
        <w:t>Military Science</w:t>
      </w:r>
      <w:r w:rsidRPr="00B44B71">
        <w:rPr>
          <w:rFonts w:ascii="Times New Roman" w:eastAsia="Calibri" w:hAnsi="Times New Roman" w:cs="Times New Roman"/>
          <w:kern w:val="0"/>
          <w:sz w:val="24"/>
          <w:szCs w:val="24"/>
          <w:lang w:val="ru-RU"/>
          <w14:ligatures w14:val="none"/>
        </w:rPr>
        <w:t>, *1*(1), 6–17. </w:t>
      </w:r>
      <w:hyperlink r:id="rId106" w:tgtFrame="_blank" w:history="1">
        <w:r w:rsidRPr="00B44B71">
          <w:rPr>
            <w:rFonts w:ascii="Times New Roman" w:eastAsia="Calibri" w:hAnsi="Times New Roman" w:cs="Times New Roman"/>
            <w:color w:val="0563C1"/>
            <w:kern w:val="0"/>
            <w:sz w:val="24"/>
            <w:szCs w:val="24"/>
            <w:u w:val="single"/>
            <w:lang w:val="ru-RU"/>
            <w14:ligatures w14:val="none"/>
          </w:rPr>
          <w:t>https://doi.org/10.62524/msj.2023.1.1.01</w:t>
        </w:r>
      </w:hyperlink>
    </w:p>
    <w:p w14:paraId="3863781C"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Заруба, О. Г. (2018). Лідерство у вищих військових навчальних закладах: моделі та програми підготовки. </w:t>
      </w:r>
      <w:r w:rsidRPr="00B44B71">
        <w:rPr>
          <w:rFonts w:ascii="Times New Roman" w:eastAsia="Calibri" w:hAnsi="Times New Roman" w:cs="Times New Roman"/>
          <w:i/>
          <w:iCs/>
          <w:kern w:val="0"/>
          <w:sz w:val="24"/>
          <w:szCs w:val="24"/>
          <w:lang w:val="ru-RU"/>
          <w14:ligatures w14:val="none"/>
        </w:rPr>
        <w:t>Інформаційна безпека людини, суспільства, держави</w:t>
      </w:r>
      <w:r w:rsidRPr="00B44B71">
        <w:rPr>
          <w:rFonts w:ascii="Times New Roman" w:eastAsia="Calibri" w:hAnsi="Times New Roman" w:cs="Times New Roman"/>
          <w:kern w:val="0"/>
          <w:sz w:val="24"/>
          <w:szCs w:val="24"/>
          <w:lang w:val="ru-RU"/>
          <w14:ligatures w14:val="none"/>
        </w:rPr>
        <w:t>. Отримано 3 травня 2021 р. з </w:t>
      </w:r>
      <w:hyperlink r:id="rId107" w:tgtFrame="_blank" w:history="1">
        <w:r w:rsidRPr="00B44B71">
          <w:rPr>
            <w:rFonts w:ascii="Times New Roman" w:eastAsia="Calibri" w:hAnsi="Times New Roman" w:cs="Times New Roman"/>
            <w:color w:val="0563C1"/>
            <w:kern w:val="0"/>
            <w:sz w:val="24"/>
            <w:szCs w:val="24"/>
            <w:u w:val="single"/>
            <w:lang w:val="ru-RU"/>
            <w14:ligatures w14:val="none"/>
          </w:rPr>
          <w:t>http://www.academy.ssu.gov.ua/ua/page/page_1581428857.htm</w:t>
        </w:r>
      </w:hyperlink>
    </w:p>
    <w:p w14:paraId="5B039087"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Карпенко, В. (2021). Поняття лідерства у воєнно-наукових дослідженнях. </w:t>
      </w:r>
      <w:r w:rsidRPr="00B44B71">
        <w:rPr>
          <w:rFonts w:ascii="Times New Roman" w:eastAsia="Calibri" w:hAnsi="Times New Roman" w:cs="Times New Roman"/>
          <w:i/>
          <w:iCs/>
          <w:kern w:val="0"/>
          <w:sz w:val="24"/>
          <w:szCs w:val="24"/>
          <w:lang w:val="ru-RU"/>
          <w14:ligatures w14:val="none"/>
        </w:rPr>
        <w:t>Військова освіта</w:t>
      </w:r>
      <w:r w:rsidRPr="00B44B71">
        <w:rPr>
          <w:rFonts w:ascii="Times New Roman" w:eastAsia="Calibri" w:hAnsi="Times New Roman" w:cs="Times New Roman"/>
          <w:kern w:val="0"/>
          <w:sz w:val="24"/>
          <w:szCs w:val="24"/>
          <w:lang w:val="ru-RU"/>
          <w14:ligatures w14:val="none"/>
        </w:rPr>
        <w:t>, *44*, 91–99. </w:t>
      </w:r>
      <w:hyperlink r:id="rId108" w:tgtFrame="_blank" w:history="1">
        <w:r w:rsidRPr="00B44B71">
          <w:rPr>
            <w:rFonts w:ascii="Times New Roman" w:eastAsia="Calibri" w:hAnsi="Times New Roman" w:cs="Times New Roman"/>
            <w:color w:val="0563C1"/>
            <w:kern w:val="0"/>
            <w:sz w:val="24"/>
            <w:szCs w:val="24"/>
            <w:u w:val="single"/>
            <w:lang w:val="ru-RU"/>
            <w14:ligatures w14:val="none"/>
          </w:rPr>
          <w:t>https://doi.org/10.33099/2617-1783/2021-44/91-99</w:t>
        </w:r>
      </w:hyperlink>
    </w:p>
    <w:p w14:paraId="32CC7A63"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Генеральний штаб Збройних Сил України. (2025). </w:t>
      </w:r>
      <w:r w:rsidRPr="00B44B71">
        <w:rPr>
          <w:rFonts w:ascii="Times New Roman" w:eastAsia="Calibri" w:hAnsi="Times New Roman" w:cs="Times New Roman"/>
          <w:i/>
          <w:iCs/>
          <w:kern w:val="0"/>
          <w:sz w:val="24"/>
          <w:szCs w:val="24"/>
          <w:lang w:val="ru-RU"/>
          <w14:ligatures w14:val="none"/>
        </w:rPr>
        <w:t>Каталог військово-професійних компетентностей військових фахівців офіцерського, сержантського та старшинського складу</w:t>
      </w:r>
      <w:r w:rsidRPr="00B44B71">
        <w:rPr>
          <w:rFonts w:ascii="Times New Roman" w:eastAsia="Calibri" w:hAnsi="Times New Roman" w:cs="Times New Roman"/>
          <w:kern w:val="0"/>
          <w:sz w:val="24"/>
          <w:szCs w:val="24"/>
          <w:lang w:val="ru-RU"/>
          <w14:ligatures w14:val="none"/>
        </w:rPr>
        <w:t> (Наказ МО України від 20.06.2024 № 405/нм). Київ: ГШ ЗС України.</w:t>
      </w:r>
    </w:p>
    <w:p w14:paraId="697FFEA8"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Кримець, Л. (2019). Лідерство як особлива форма влади у сучасному військово-професійному середовищі. </w:t>
      </w:r>
      <w:r w:rsidRPr="00B44B71">
        <w:rPr>
          <w:rFonts w:ascii="Times New Roman" w:eastAsia="Calibri" w:hAnsi="Times New Roman" w:cs="Times New Roman"/>
          <w:i/>
          <w:iCs/>
          <w:kern w:val="0"/>
          <w:sz w:val="24"/>
          <w:szCs w:val="24"/>
          <w:lang w:val="ru-RU"/>
          <w14:ligatures w14:val="none"/>
        </w:rPr>
        <w:t>Вісник Національного університету оборони України</w:t>
      </w:r>
      <w:r w:rsidRPr="00B44B71">
        <w:rPr>
          <w:rFonts w:ascii="Times New Roman" w:eastAsia="Calibri" w:hAnsi="Times New Roman" w:cs="Times New Roman"/>
          <w:kern w:val="0"/>
          <w:sz w:val="24"/>
          <w:szCs w:val="24"/>
          <w:lang w:val="ru-RU"/>
          <w14:ligatures w14:val="none"/>
        </w:rPr>
        <w:t>, *50*(2), 51–58. </w:t>
      </w:r>
      <w:hyperlink r:id="rId109" w:tgtFrame="_blank" w:history="1">
        <w:r w:rsidRPr="00B44B71">
          <w:rPr>
            <w:rFonts w:ascii="Times New Roman" w:eastAsia="Calibri" w:hAnsi="Times New Roman" w:cs="Times New Roman"/>
            <w:color w:val="0563C1"/>
            <w:kern w:val="0"/>
            <w:sz w:val="24"/>
            <w:szCs w:val="24"/>
            <w:u w:val="single"/>
            <w:lang w:val="ru-RU"/>
            <w14:ligatures w14:val="none"/>
          </w:rPr>
          <w:t>https://doi.org/10.33099/2617-6858-2018-50-2-51-58</w:t>
        </w:r>
      </w:hyperlink>
    </w:p>
    <w:p w14:paraId="6E5952F0"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Управління розвитку військового лідерства Головного управління персоналу Генерального штабу Збройних Сил України. (2025). </w:t>
      </w:r>
      <w:r w:rsidRPr="00B44B71">
        <w:rPr>
          <w:rFonts w:ascii="Times New Roman" w:eastAsia="Calibri" w:hAnsi="Times New Roman" w:cs="Times New Roman"/>
          <w:i/>
          <w:iCs/>
          <w:kern w:val="0"/>
          <w:sz w:val="24"/>
          <w:szCs w:val="24"/>
          <w:lang w:val="ru-RU"/>
          <w14:ligatures w14:val="none"/>
        </w:rPr>
        <w:t>Методичні рекомендації з розвитку військових лідерів. Формування професійної культури військового лідера, що відповідає принципам і стандартам НАТО</w:t>
      </w:r>
      <w:r w:rsidRPr="00B44B71">
        <w:rPr>
          <w:rFonts w:ascii="Times New Roman" w:eastAsia="Calibri" w:hAnsi="Times New Roman" w:cs="Times New Roman"/>
          <w:kern w:val="0"/>
          <w:sz w:val="24"/>
          <w:szCs w:val="24"/>
          <w:lang w:val="ru-RU"/>
          <w14:ligatures w14:val="none"/>
        </w:rPr>
        <w:t>. Київ.</w:t>
      </w:r>
    </w:p>
    <w:p w14:paraId="73CFAE35"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Пірен, М. (2012). </w:t>
      </w:r>
      <w:r w:rsidRPr="00B44B71">
        <w:rPr>
          <w:rFonts w:ascii="Times New Roman" w:eastAsia="Calibri" w:hAnsi="Times New Roman" w:cs="Times New Roman"/>
          <w:i/>
          <w:iCs/>
          <w:kern w:val="0"/>
          <w:sz w:val="24"/>
          <w:szCs w:val="24"/>
          <w:lang w:val="ru-RU"/>
          <w14:ligatures w14:val="none"/>
        </w:rPr>
        <w:t>Лідерство: сутність та реалізація в українському суспільстві</w:t>
      </w:r>
      <w:r w:rsidRPr="00B44B71">
        <w:rPr>
          <w:rFonts w:ascii="Times New Roman" w:eastAsia="Calibri" w:hAnsi="Times New Roman" w:cs="Times New Roman"/>
          <w:kern w:val="0"/>
          <w:sz w:val="24"/>
          <w:szCs w:val="24"/>
          <w:lang w:val="ru-RU"/>
          <w14:ligatures w14:val="none"/>
        </w:rPr>
        <w:t>. Університет "Україна".</w:t>
      </w:r>
    </w:p>
    <w:p w14:paraId="015B0C30"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Полтєва, Н. (2023). Психологічні засади розвитку лідерства у командирів військових підрозділів ЗС України. </w:t>
      </w:r>
      <w:r w:rsidRPr="00B44B71">
        <w:rPr>
          <w:rFonts w:ascii="Times New Roman" w:eastAsia="Calibri" w:hAnsi="Times New Roman" w:cs="Times New Roman"/>
          <w:i/>
          <w:iCs/>
          <w:kern w:val="0"/>
          <w:sz w:val="24"/>
          <w:szCs w:val="24"/>
          <w:lang w:val="ru-RU"/>
          <w14:ligatures w14:val="none"/>
        </w:rPr>
        <w:t>Вісник Національного університету оборони України</w:t>
      </w:r>
      <w:r w:rsidRPr="00B44B71">
        <w:rPr>
          <w:rFonts w:ascii="Times New Roman" w:eastAsia="Calibri" w:hAnsi="Times New Roman" w:cs="Times New Roman"/>
          <w:kern w:val="0"/>
          <w:sz w:val="24"/>
          <w:szCs w:val="24"/>
          <w:lang w:val="ru-RU"/>
          <w14:ligatures w14:val="none"/>
        </w:rPr>
        <w:t>, *2*(72), 103–112. </w:t>
      </w:r>
      <w:hyperlink r:id="rId110" w:tgtFrame="_blank" w:history="1">
        <w:r w:rsidRPr="00B44B71">
          <w:rPr>
            <w:rFonts w:ascii="Times New Roman" w:eastAsia="Calibri" w:hAnsi="Times New Roman" w:cs="Times New Roman"/>
            <w:color w:val="0563C1"/>
            <w:kern w:val="0"/>
            <w:sz w:val="24"/>
            <w:szCs w:val="24"/>
            <w:u w:val="single"/>
            <w:lang w:val="ru-RU"/>
            <w14:ligatures w14:val="none"/>
          </w:rPr>
          <w:t>https://doi.org/10.33099/2617-6858-2023-72-2-103-112</w:t>
        </w:r>
      </w:hyperlink>
    </w:p>
    <w:p w14:paraId="1CEF3454"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Пунда, Ю., &amp; Антоненко, С. (2017). Підготовка стратегічного лідера як інвестиція в реформування системи військового управління. </w:t>
      </w:r>
      <w:r w:rsidRPr="00B44B71">
        <w:rPr>
          <w:rFonts w:ascii="Times New Roman" w:eastAsia="Calibri" w:hAnsi="Times New Roman" w:cs="Times New Roman"/>
          <w:i/>
          <w:iCs/>
          <w:kern w:val="0"/>
          <w:sz w:val="24"/>
          <w:szCs w:val="24"/>
          <w:lang w:val="ru-RU"/>
          <w14:ligatures w14:val="none"/>
        </w:rPr>
        <w:t>Стратегічні пріоритети</w:t>
      </w:r>
      <w:r w:rsidRPr="00B44B71">
        <w:rPr>
          <w:rFonts w:ascii="Times New Roman" w:eastAsia="Calibri" w:hAnsi="Times New Roman" w:cs="Times New Roman"/>
          <w:kern w:val="0"/>
          <w:sz w:val="24"/>
          <w:szCs w:val="24"/>
          <w:lang w:val="ru-RU"/>
          <w14:ligatures w14:val="none"/>
        </w:rPr>
        <w:t>, *4*, 141–146.</w:t>
      </w:r>
    </w:p>
    <w:p w14:paraId="1FB73869"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Риндін, Ю. (2024). Рівні військового лідерства у підготовці майбутніх офіцерів розвідки. У </w:t>
      </w:r>
      <w:r w:rsidRPr="00B44B71">
        <w:rPr>
          <w:rFonts w:ascii="Times New Roman" w:eastAsia="Calibri" w:hAnsi="Times New Roman" w:cs="Times New Roman"/>
          <w:i/>
          <w:iCs/>
          <w:kern w:val="0"/>
          <w:sz w:val="24"/>
          <w:szCs w:val="24"/>
          <w:lang w:val="ru-RU"/>
          <w14:ligatures w14:val="none"/>
        </w:rPr>
        <w:t>Психолого-педагогічні проблеми вищої і середньої освіти в умовах сучасних викликів: теорія і практика</w:t>
      </w:r>
      <w:r w:rsidRPr="00B44B71">
        <w:rPr>
          <w:rFonts w:ascii="Times New Roman" w:eastAsia="Calibri" w:hAnsi="Times New Roman" w:cs="Times New Roman"/>
          <w:kern w:val="0"/>
          <w:sz w:val="24"/>
          <w:szCs w:val="24"/>
          <w:lang w:val="ru-RU"/>
          <w14:ligatures w14:val="none"/>
        </w:rPr>
        <w:t> (с. 357–361). Харківський національний педагогічний університет імені Г. С. Сковороди.</w:t>
      </w:r>
    </w:p>
    <w:p w14:paraId="52FBD478"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Романовський, О. Г., &amp; Середа, Н. В. (2013). Особистість сучасного керівника в аспекті теорії духовного лідерства. </w:t>
      </w:r>
      <w:r w:rsidRPr="00B44B71">
        <w:rPr>
          <w:rFonts w:ascii="Times New Roman" w:eastAsia="Calibri" w:hAnsi="Times New Roman" w:cs="Times New Roman"/>
          <w:i/>
          <w:iCs/>
          <w:kern w:val="0"/>
          <w:sz w:val="24"/>
          <w:szCs w:val="24"/>
          <w:lang w:val="ru-RU"/>
          <w14:ligatures w14:val="none"/>
        </w:rPr>
        <w:t>Теорія і практика управління соціальними системами</w:t>
      </w:r>
      <w:r w:rsidRPr="00B44B71">
        <w:rPr>
          <w:rFonts w:ascii="Times New Roman" w:eastAsia="Calibri" w:hAnsi="Times New Roman" w:cs="Times New Roman"/>
          <w:kern w:val="0"/>
          <w:sz w:val="24"/>
          <w:szCs w:val="24"/>
          <w:lang w:val="ru-RU"/>
          <w14:ligatures w14:val="none"/>
        </w:rPr>
        <w:t>, *3*, 20–27.</w:t>
      </w:r>
    </w:p>
    <w:p w14:paraId="2212EA42"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Робертс, Е. (2021). </w:t>
      </w:r>
      <w:r w:rsidRPr="00B44B71">
        <w:rPr>
          <w:rFonts w:ascii="Times New Roman" w:eastAsia="Calibri" w:hAnsi="Times New Roman" w:cs="Times New Roman"/>
          <w:i/>
          <w:iCs/>
          <w:kern w:val="0"/>
          <w:sz w:val="24"/>
          <w:szCs w:val="24"/>
          <w:lang w:val="ru-RU"/>
          <w14:ligatures w14:val="none"/>
        </w:rPr>
        <w:t>Лідерство в часи війни. Головні уроки від творців історії</w:t>
      </w:r>
      <w:r w:rsidRPr="00B44B71">
        <w:rPr>
          <w:rFonts w:ascii="Times New Roman" w:eastAsia="Calibri" w:hAnsi="Times New Roman" w:cs="Times New Roman"/>
          <w:kern w:val="0"/>
          <w:sz w:val="24"/>
          <w:szCs w:val="24"/>
          <w:lang w:val="ru-RU"/>
          <w14:ligatures w14:val="none"/>
        </w:rPr>
        <w:t> (Я. Войтка, пер.). КМ-БУКС.</w:t>
      </w:r>
    </w:p>
    <w:p w14:paraId="4AB19BED"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Ткач, П. Б. (2021). Поняття військового лідерства в контексті стратегічних комунікацій Національної гвардії України. </w:t>
      </w:r>
      <w:r w:rsidRPr="00B44B71">
        <w:rPr>
          <w:rFonts w:ascii="Times New Roman" w:eastAsia="Calibri" w:hAnsi="Times New Roman" w:cs="Times New Roman"/>
          <w:i/>
          <w:iCs/>
          <w:kern w:val="0"/>
          <w:sz w:val="24"/>
          <w:szCs w:val="24"/>
          <w:lang w:val="ru-RU"/>
          <w14:ligatures w14:val="none"/>
        </w:rPr>
        <w:t>Збірник наукових праць Національної академії Національної гвардії України</w:t>
      </w:r>
      <w:r w:rsidRPr="00B44B71">
        <w:rPr>
          <w:rFonts w:ascii="Times New Roman" w:eastAsia="Calibri" w:hAnsi="Times New Roman" w:cs="Times New Roman"/>
          <w:kern w:val="0"/>
          <w:sz w:val="24"/>
          <w:szCs w:val="24"/>
          <w:lang w:val="ru-RU"/>
          <w14:ligatures w14:val="none"/>
        </w:rPr>
        <w:t>, *1*(37), 25–31. </w:t>
      </w:r>
      <w:hyperlink r:id="rId111" w:tgtFrame="_blank" w:history="1">
        <w:r w:rsidRPr="00B44B71">
          <w:rPr>
            <w:rFonts w:ascii="Times New Roman" w:eastAsia="Calibri" w:hAnsi="Times New Roman" w:cs="Times New Roman"/>
            <w:color w:val="0563C1"/>
            <w:kern w:val="0"/>
            <w:sz w:val="24"/>
            <w:szCs w:val="24"/>
            <w:u w:val="single"/>
            <w:lang w:val="ru-RU"/>
            <w14:ligatures w14:val="none"/>
          </w:rPr>
          <w:t>https://doi.org/10.33405/2409-7470/2021/1/37/237822</w:t>
        </w:r>
      </w:hyperlink>
    </w:p>
    <w:p w14:paraId="1AB7A48C"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Уваркіна, О., &amp; Пучков, О. (2022). Іманентність лідерства сучасного військового як результат інтеграції в євроатлантичний безпековий простір. У</w:t>
      </w:r>
      <w:r w:rsidRPr="00B44B71">
        <w:rPr>
          <w:rFonts w:ascii="Times New Roman" w:eastAsia="Calibri" w:hAnsi="Times New Roman" w:cs="Times New Roman"/>
          <w:kern w:val="0"/>
          <w:sz w:val="24"/>
          <w:szCs w:val="24"/>
          <w14:ligatures w14:val="none"/>
        </w:rPr>
        <w:t> </w:t>
      </w:r>
      <w:r w:rsidRPr="00B44B71">
        <w:rPr>
          <w:rFonts w:ascii="Times New Roman" w:eastAsia="Calibri" w:hAnsi="Times New Roman" w:cs="Times New Roman"/>
          <w:i/>
          <w:iCs/>
          <w:kern w:val="0"/>
          <w:sz w:val="24"/>
          <w:szCs w:val="24"/>
          <w14:ligatures w14:val="none"/>
        </w:rPr>
        <w:t>The security architecture of European and Euro-Atlantic spaces</w:t>
      </w:r>
      <w:r w:rsidRPr="00B44B71">
        <w:rPr>
          <w:rFonts w:ascii="Times New Roman" w:eastAsia="Calibri" w:hAnsi="Times New Roman" w:cs="Times New Roman"/>
          <w:kern w:val="0"/>
          <w:sz w:val="24"/>
          <w:szCs w:val="24"/>
          <w14:ligatures w14:val="none"/>
        </w:rPr>
        <w:t> (</w:t>
      </w:r>
      <w:r w:rsidRPr="00B44B71">
        <w:rPr>
          <w:rFonts w:ascii="Times New Roman" w:eastAsia="Calibri" w:hAnsi="Times New Roman" w:cs="Times New Roman"/>
          <w:kern w:val="0"/>
          <w:sz w:val="24"/>
          <w:szCs w:val="24"/>
          <w:lang w:val="ru-RU"/>
          <w14:ligatures w14:val="none"/>
        </w:rPr>
        <w:t>с</w:t>
      </w:r>
      <w:r w:rsidRPr="00B44B71">
        <w:rPr>
          <w:rFonts w:ascii="Times New Roman" w:eastAsia="Calibri" w:hAnsi="Times New Roman" w:cs="Times New Roman"/>
          <w:kern w:val="0"/>
          <w:sz w:val="24"/>
          <w:szCs w:val="24"/>
          <w14:ligatures w14:val="none"/>
        </w:rPr>
        <w:t>. 230–243). Baltija</w:t>
      </w:r>
      <w:r w:rsidRPr="00B44B71">
        <w:rPr>
          <w:rFonts w:ascii="Times New Roman" w:eastAsia="Calibri" w:hAnsi="Times New Roman" w:cs="Times New Roman"/>
          <w:kern w:val="0"/>
          <w:sz w:val="24"/>
          <w:szCs w:val="24"/>
          <w:lang w:val="ru-RU"/>
          <w14:ligatures w14:val="none"/>
        </w:rPr>
        <w:t xml:space="preserve"> </w:t>
      </w:r>
      <w:r w:rsidRPr="00B44B71">
        <w:rPr>
          <w:rFonts w:ascii="Times New Roman" w:eastAsia="Calibri" w:hAnsi="Times New Roman" w:cs="Times New Roman"/>
          <w:kern w:val="0"/>
          <w:sz w:val="24"/>
          <w:szCs w:val="24"/>
          <w14:ligatures w14:val="none"/>
        </w:rPr>
        <w:t>Publishing</w:t>
      </w:r>
      <w:r w:rsidRPr="00B44B71">
        <w:rPr>
          <w:rFonts w:ascii="Times New Roman" w:eastAsia="Calibri" w:hAnsi="Times New Roman" w:cs="Times New Roman"/>
          <w:kern w:val="0"/>
          <w:sz w:val="24"/>
          <w:szCs w:val="24"/>
          <w:lang w:val="ru-RU"/>
          <w14:ligatures w14:val="none"/>
        </w:rPr>
        <w:t>.</w:t>
      </w:r>
      <w:r w:rsidRPr="00B44B71">
        <w:rPr>
          <w:rFonts w:ascii="Times New Roman" w:eastAsia="Calibri" w:hAnsi="Times New Roman" w:cs="Times New Roman"/>
          <w:kern w:val="0"/>
          <w:sz w:val="24"/>
          <w:szCs w:val="24"/>
          <w14:ligatures w14:val="none"/>
        </w:rPr>
        <w:t> </w:t>
      </w:r>
      <w:hyperlink r:id="rId112" w:tgtFrame="_blank" w:history="1">
        <w:r w:rsidRPr="00B44B71">
          <w:rPr>
            <w:rFonts w:ascii="Times New Roman" w:eastAsia="Calibri" w:hAnsi="Times New Roman" w:cs="Times New Roman"/>
            <w:color w:val="0563C1"/>
            <w:kern w:val="0"/>
            <w:sz w:val="24"/>
            <w:szCs w:val="24"/>
            <w:u w:val="single"/>
            <w:lang w:val="ru-RU"/>
            <w14:ligatures w14:val="none"/>
          </w:rPr>
          <w:t>https://doi.org/10.30525/978-9934-26-225-8-17</w:t>
        </w:r>
      </w:hyperlink>
    </w:p>
    <w:p w14:paraId="12305359"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Чистякова, І. А. (2011). Коопероване лідерство як управлінська технологія: досвід Великої Британії. </w:t>
      </w:r>
      <w:r w:rsidRPr="00B44B71">
        <w:rPr>
          <w:rFonts w:ascii="Times New Roman" w:eastAsia="Calibri" w:hAnsi="Times New Roman" w:cs="Times New Roman"/>
          <w:i/>
          <w:iCs/>
          <w:kern w:val="0"/>
          <w:sz w:val="24"/>
          <w:szCs w:val="24"/>
          <w:lang w:val="ru-RU"/>
          <w14:ligatures w14:val="none"/>
        </w:rPr>
        <w:t>Витоки педагогічної майстерності. Серія: Педагогічні науки</w:t>
      </w:r>
      <w:r w:rsidRPr="00B44B71">
        <w:rPr>
          <w:rFonts w:ascii="Times New Roman" w:eastAsia="Calibri" w:hAnsi="Times New Roman" w:cs="Times New Roman"/>
          <w:kern w:val="0"/>
          <w:sz w:val="24"/>
          <w:szCs w:val="24"/>
          <w:lang w:val="ru-RU"/>
          <w14:ligatures w14:val="none"/>
        </w:rPr>
        <w:t>, *8*(1), 306–312. Отримано 22 січня 2026 р. з </w:t>
      </w:r>
      <w:hyperlink r:id="rId113" w:tgtFrame="_blank" w:history="1">
        <w:r w:rsidRPr="00B44B71">
          <w:rPr>
            <w:rFonts w:ascii="Times New Roman" w:eastAsia="Calibri" w:hAnsi="Times New Roman" w:cs="Times New Roman"/>
            <w:color w:val="0563C1"/>
            <w:kern w:val="0"/>
            <w:sz w:val="24"/>
            <w:szCs w:val="24"/>
            <w:u w:val="single"/>
            <w:lang w:val="ru-RU"/>
            <w14:ligatures w14:val="none"/>
          </w:rPr>
          <w:t>http://nbuv.gov.ua/UJRN/vpm_2011_8(1)__64</w:t>
        </w:r>
      </w:hyperlink>
    </w:p>
    <w:p w14:paraId="62FA318E" w14:textId="77777777" w:rsidR="00B44B71" w:rsidRPr="007B09E7"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14:ligatures w14:val="none"/>
        </w:rPr>
        <w:lastRenderedPageBreak/>
        <w:t>Ministry of Defence (United Kingdom). (2021). </w:t>
      </w:r>
      <w:r w:rsidRPr="00B44B71">
        <w:rPr>
          <w:rFonts w:ascii="Times New Roman" w:eastAsia="Calibri" w:hAnsi="Times New Roman" w:cs="Times New Roman"/>
          <w:i/>
          <w:iCs/>
          <w:kern w:val="0"/>
          <w:sz w:val="24"/>
          <w:szCs w:val="24"/>
          <w14:ligatures w14:val="none"/>
        </w:rPr>
        <w:t>Army leadership doctrine</w:t>
      </w:r>
      <w:r w:rsidRPr="00B44B71">
        <w:rPr>
          <w:rFonts w:ascii="Times New Roman" w:eastAsia="Calibri" w:hAnsi="Times New Roman" w:cs="Times New Roman"/>
          <w:kern w:val="0"/>
          <w:sz w:val="24"/>
          <w:szCs w:val="24"/>
          <w14:ligatures w14:val="none"/>
        </w:rPr>
        <w:t xml:space="preserve">. </w:t>
      </w:r>
      <w:r w:rsidRPr="00B44B71">
        <w:rPr>
          <w:rFonts w:ascii="Times New Roman" w:eastAsia="Calibri" w:hAnsi="Times New Roman" w:cs="Times New Roman"/>
          <w:kern w:val="0"/>
          <w:sz w:val="24"/>
          <w:szCs w:val="24"/>
          <w:lang w:val="ru-RU"/>
          <w14:ligatures w14:val="none"/>
        </w:rPr>
        <w:t>Отримано</w:t>
      </w:r>
      <w:r w:rsidRPr="007B09E7">
        <w:rPr>
          <w:rFonts w:ascii="Times New Roman" w:eastAsia="Calibri" w:hAnsi="Times New Roman" w:cs="Times New Roman"/>
          <w:kern w:val="0"/>
          <w:sz w:val="24"/>
          <w:szCs w:val="24"/>
          <w:lang w:val="ru-RU"/>
          <w14:ligatures w14:val="none"/>
        </w:rPr>
        <w:t xml:space="preserve"> 23 </w:t>
      </w:r>
      <w:r w:rsidRPr="00B44B71">
        <w:rPr>
          <w:rFonts w:ascii="Times New Roman" w:eastAsia="Calibri" w:hAnsi="Times New Roman" w:cs="Times New Roman"/>
          <w:kern w:val="0"/>
          <w:sz w:val="24"/>
          <w:szCs w:val="24"/>
          <w:lang w:val="ru-RU"/>
          <w14:ligatures w14:val="none"/>
        </w:rPr>
        <w:t>січня</w:t>
      </w:r>
      <w:r w:rsidRPr="007B09E7">
        <w:rPr>
          <w:rFonts w:ascii="Times New Roman" w:eastAsia="Calibri" w:hAnsi="Times New Roman" w:cs="Times New Roman"/>
          <w:kern w:val="0"/>
          <w:sz w:val="24"/>
          <w:szCs w:val="24"/>
          <w:lang w:val="ru-RU"/>
          <w14:ligatures w14:val="none"/>
        </w:rPr>
        <w:t xml:space="preserve"> 2026 </w:t>
      </w:r>
      <w:r w:rsidRPr="00B44B71">
        <w:rPr>
          <w:rFonts w:ascii="Times New Roman" w:eastAsia="Calibri" w:hAnsi="Times New Roman" w:cs="Times New Roman"/>
          <w:kern w:val="0"/>
          <w:sz w:val="24"/>
          <w:szCs w:val="24"/>
          <w:lang w:val="ru-RU"/>
          <w14:ligatures w14:val="none"/>
        </w:rPr>
        <w:t>р</w:t>
      </w:r>
      <w:r w:rsidRPr="007B09E7">
        <w:rPr>
          <w:rFonts w:ascii="Times New Roman" w:eastAsia="Calibri" w:hAnsi="Times New Roman" w:cs="Times New Roman"/>
          <w:kern w:val="0"/>
          <w:sz w:val="24"/>
          <w:szCs w:val="24"/>
          <w:lang w:val="ru-RU"/>
          <w14:ligatures w14:val="none"/>
        </w:rPr>
        <w:t xml:space="preserve">. </w:t>
      </w:r>
      <w:r w:rsidRPr="00B44B71">
        <w:rPr>
          <w:rFonts w:ascii="Times New Roman" w:eastAsia="Calibri" w:hAnsi="Times New Roman" w:cs="Times New Roman"/>
          <w:kern w:val="0"/>
          <w:sz w:val="24"/>
          <w:szCs w:val="24"/>
          <w:lang w:val="ru-RU"/>
          <w14:ligatures w14:val="none"/>
        </w:rPr>
        <w:t>з</w:t>
      </w:r>
      <w:r w:rsidRPr="00B44B71">
        <w:rPr>
          <w:rFonts w:ascii="Times New Roman" w:eastAsia="Calibri" w:hAnsi="Times New Roman" w:cs="Times New Roman"/>
          <w:kern w:val="0"/>
          <w:sz w:val="24"/>
          <w:szCs w:val="24"/>
          <w14:ligatures w14:val="none"/>
        </w:rPr>
        <w:t> </w:t>
      </w:r>
      <w:hyperlink r:id="rId114" w:tgtFrame="_blank" w:history="1">
        <w:r w:rsidRPr="00B44B71">
          <w:rPr>
            <w:rFonts w:ascii="Times New Roman" w:eastAsia="Calibri" w:hAnsi="Times New Roman" w:cs="Times New Roman"/>
            <w:color w:val="0563C1"/>
            <w:kern w:val="0"/>
            <w:sz w:val="24"/>
            <w:szCs w:val="24"/>
            <w:u w:val="single"/>
            <w14:ligatures w14:val="none"/>
          </w:rPr>
          <w:t>https</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www</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army</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mod</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uk</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media</w:t>
        </w:r>
        <w:r w:rsidRPr="007B09E7">
          <w:rPr>
            <w:rFonts w:ascii="Times New Roman" w:eastAsia="Calibri" w:hAnsi="Times New Roman" w:cs="Times New Roman"/>
            <w:color w:val="0563C1"/>
            <w:kern w:val="0"/>
            <w:sz w:val="24"/>
            <w:szCs w:val="24"/>
            <w:u w:val="single"/>
            <w:lang w:val="ru-RU"/>
            <w14:ligatures w14:val="none"/>
          </w:rPr>
          <w:t>/24335/20210923_</w:t>
        </w:r>
        <w:r w:rsidRPr="00B44B71">
          <w:rPr>
            <w:rFonts w:ascii="Times New Roman" w:eastAsia="Calibri" w:hAnsi="Times New Roman" w:cs="Times New Roman"/>
            <w:color w:val="0563C1"/>
            <w:kern w:val="0"/>
            <w:sz w:val="24"/>
            <w:szCs w:val="24"/>
            <w:u w:val="single"/>
            <w14:ligatures w14:val="none"/>
          </w:rPr>
          <w:t>army</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leadership</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doctrine</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web</w:t>
        </w:r>
        <w:r w:rsidRPr="007B09E7">
          <w:rPr>
            <w:rFonts w:ascii="Times New Roman" w:eastAsia="Calibri" w:hAnsi="Times New Roman" w:cs="Times New Roman"/>
            <w:color w:val="0563C1"/>
            <w:kern w:val="0"/>
            <w:sz w:val="24"/>
            <w:szCs w:val="24"/>
            <w:u w:val="single"/>
            <w:lang w:val="ru-RU"/>
            <w14:ligatures w14:val="none"/>
          </w:rPr>
          <w:t>_</w:t>
        </w:r>
        <w:r w:rsidRPr="00B44B71">
          <w:rPr>
            <w:rFonts w:ascii="Times New Roman" w:eastAsia="Calibri" w:hAnsi="Times New Roman" w:cs="Times New Roman"/>
            <w:color w:val="0563C1"/>
            <w:kern w:val="0"/>
            <w:sz w:val="24"/>
            <w:szCs w:val="24"/>
            <w:u w:val="single"/>
            <w14:ligatures w14:val="none"/>
          </w:rPr>
          <w:t>final</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pdf</w:t>
        </w:r>
      </w:hyperlink>
    </w:p>
    <w:p w14:paraId="334C0594"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Cîrdei, I. A., &amp; Alixandrescu, R. M. (2025). Military leaders in the face of hybrid threats: Building resilience through adaptive leadership. </w:t>
      </w:r>
      <w:r w:rsidRPr="00B44B71">
        <w:rPr>
          <w:rFonts w:ascii="Times New Roman" w:eastAsia="Calibri" w:hAnsi="Times New Roman" w:cs="Times New Roman"/>
          <w:i/>
          <w:iCs/>
          <w:kern w:val="0"/>
          <w:sz w:val="24"/>
          <w:szCs w:val="24"/>
          <w14:ligatures w14:val="none"/>
        </w:rPr>
        <w:t>Knowledge-Based Organization</w:t>
      </w:r>
      <w:r w:rsidRPr="00B44B71">
        <w:rPr>
          <w:rFonts w:ascii="Times New Roman" w:eastAsia="Calibri" w:hAnsi="Times New Roman" w:cs="Times New Roman"/>
          <w:kern w:val="0"/>
          <w:sz w:val="24"/>
          <w:szCs w:val="24"/>
          <w14:ligatures w14:val="none"/>
        </w:rPr>
        <w:t>, *31*(1), 77–86. </w:t>
      </w:r>
      <w:hyperlink r:id="rId115" w:tgtFrame="_blank" w:history="1">
        <w:r w:rsidRPr="00B44B71">
          <w:rPr>
            <w:rFonts w:ascii="Times New Roman" w:eastAsia="Calibri" w:hAnsi="Times New Roman" w:cs="Times New Roman"/>
            <w:color w:val="0563C1"/>
            <w:kern w:val="0"/>
            <w:sz w:val="24"/>
            <w:szCs w:val="24"/>
            <w:u w:val="single"/>
            <w14:ligatures w14:val="none"/>
          </w:rPr>
          <w:t>https://doi.org/10.2478/kbo-2025-0007</w:t>
        </w:r>
      </w:hyperlink>
    </w:p>
    <w:p w14:paraId="067ED550"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Conger, J. A., &amp; Kanungo, R. N. (1994). Charismatic leadership in organizations: Perceived behavioral attributes and their measurement. </w:t>
      </w:r>
      <w:r w:rsidRPr="00B44B71">
        <w:rPr>
          <w:rFonts w:ascii="Times New Roman" w:eastAsia="Calibri" w:hAnsi="Times New Roman" w:cs="Times New Roman"/>
          <w:i/>
          <w:iCs/>
          <w:kern w:val="0"/>
          <w:sz w:val="24"/>
          <w:szCs w:val="24"/>
          <w14:ligatures w14:val="none"/>
        </w:rPr>
        <w:t>Journal of Organizational Behavior</w:t>
      </w:r>
      <w:r w:rsidRPr="00B44B71">
        <w:rPr>
          <w:rFonts w:ascii="Times New Roman" w:eastAsia="Calibri" w:hAnsi="Times New Roman" w:cs="Times New Roman"/>
          <w:kern w:val="0"/>
          <w:sz w:val="24"/>
          <w:szCs w:val="24"/>
          <w14:ligatures w14:val="none"/>
        </w:rPr>
        <w:t>, *15*, 439–452. </w:t>
      </w:r>
      <w:hyperlink r:id="rId116" w:tgtFrame="_blank" w:history="1">
        <w:r w:rsidRPr="00B44B71">
          <w:rPr>
            <w:rFonts w:ascii="Times New Roman" w:eastAsia="Calibri" w:hAnsi="Times New Roman" w:cs="Times New Roman"/>
            <w:color w:val="0563C1"/>
            <w:kern w:val="0"/>
            <w:sz w:val="24"/>
            <w:szCs w:val="24"/>
            <w:u w:val="single"/>
            <w14:ligatures w14:val="none"/>
          </w:rPr>
          <w:t>https://doi.org/10.1002/job.4030150508</w:t>
        </w:r>
      </w:hyperlink>
    </w:p>
    <w:p w14:paraId="4ACA09AC" w14:textId="77777777" w:rsidR="00B44B71" w:rsidRPr="007B09E7"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14:ligatures w14:val="none"/>
        </w:rPr>
        <w:t xml:space="preserve">Department of the Army. (2023). *FM 6-22: Developing leaders*. </w:t>
      </w:r>
      <w:r w:rsidRPr="00B44B71">
        <w:rPr>
          <w:rFonts w:ascii="Times New Roman" w:eastAsia="Calibri" w:hAnsi="Times New Roman" w:cs="Times New Roman"/>
          <w:kern w:val="0"/>
          <w:sz w:val="24"/>
          <w:szCs w:val="24"/>
          <w:lang w:val="ru-RU"/>
          <w14:ligatures w14:val="none"/>
        </w:rPr>
        <w:t>Отримано</w:t>
      </w:r>
      <w:r w:rsidRPr="007B09E7">
        <w:rPr>
          <w:rFonts w:ascii="Times New Roman" w:eastAsia="Calibri" w:hAnsi="Times New Roman" w:cs="Times New Roman"/>
          <w:kern w:val="0"/>
          <w:sz w:val="24"/>
          <w:szCs w:val="24"/>
          <w:lang w:val="ru-RU"/>
          <w14:ligatures w14:val="none"/>
        </w:rPr>
        <w:t xml:space="preserve"> 23 </w:t>
      </w:r>
      <w:r w:rsidRPr="00B44B71">
        <w:rPr>
          <w:rFonts w:ascii="Times New Roman" w:eastAsia="Calibri" w:hAnsi="Times New Roman" w:cs="Times New Roman"/>
          <w:kern w:val="0"/>
          <w:sz w:val="24"/>
          <w:szCs w:val="24"/>
          <w:lang w:val="ru-RU"/>
          <w14:ligatures w14:val="none"/>
        </w:rPr>
        <w:t>січня</w:t>
      </w:r>
      <w:r w:rsidRPr="007B09E7">
        <w:rPr>
          <w:rFonts w:ascii="Times New Roman" w:eastAsia="Calibri" w:hAnsi="Times New Roman" w:cs="Times New Roman"/>
          <w:kern w:val="0"/>
          <w:sz w:val="24"/>
          <w:szCs w:val="24"/>
          <w:lang w:val="ru-RU"/>
          <w14:ligatures w14:val="none"/>
        </w:rPr>
        <w:t xml:space="preserve"> 2026 </w:t>
      </w:r>
      <w:r w:rsidRPr="00B44B71">
        <w:rPr>
          <w:rFonts w:ascii="Times New Roman" w:eastAsia="Calibri" w:hAnsi="Times New Roman" w:cs="Times New Roman"/>
          <w:kern w:val="0"/>
          <w:sz w:val="24"/>
          <w:szCs w:val="24"/>
          <w:lang w:val="ru-RU"/>
          <w14:ligatures w14:val="none"/>
        </w:rPr>
        <w:t>р</w:t>
      </w:r>
      <w:r w:rsidRPr="007B09E7">
        <w:rPr>
          <w:rFonts w:ascii="Times New Roman" w:eastAsia="Calibri" w:hAnsi="Times New Roman" w:cs="Times New Roman"/>
          <w:kern w:val="0"/>
          <w:sz w:val="24"/>
          <w:szCs w:val="24"/>
          <w:lang w:val="ru-RU"/>
          <w14:ligatures w14:val="none"/>
        </w:rPr>
        <w:t xml:space="preserve">. </w:t>
      </w:r>
      <w:r w:rsidRPr="00B44B71">
        <w:rPr>
          <w:rFonts w:ascii="Times New Roman" w:eastAsia="Calibri" w:hAnsi="Times New Roman" w:cs="Times New Roman"/>
          <w:kern w:val="0"/>
          <w:sz w:val="24"/>
          <w:szCs w:val="24"/>
          <w:lang w:val="ru-RU"/>
          <w14:ligatures w14:val="none"/>
        </w:rPr>
        <w:t>з</w:t>
      </w:r>
      <w:r w:rsidRPr="00B44B71">
        <w:rPr>
          <w:rFonts w:ascii="Times New Roman" w:eastAsia="Calibri" w:hAnsi="Times New Roman" w:cs="Times New Roman"/>
          <w:kern w:val="0"/>
          <w:sz w:val="24"/>
          <w:szCs w:val="24"/>
          <w14:ligatures w14:val="none"/>
        </w:rPr>
        <w:t> </w:t>
      </w:r>
      <w:hyperlink r:id="rId117" w:tgtFrame="_blank" w:history="1">
        <w:r w:rsidRPr="00B44B71">
          <w:rPr>
            <w:rFonts w:ascii="Times New Roman" w:eastAsia="Calibri" w:hAnsi="Times New Roman" w:cs="Times New Roman"/>
            <w:color w:val="0563C1"/>
            <w:kern w:val="0"/>
            <w:sz w:val="24"/>
            <w:szCs w:val="24"/>
            <w:u w:val="single"/>
            <w14:ligatures w14:val="none"/>
          </w:rPr>
          <w:t>https</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armypubs</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army</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mil</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epubs</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DR</w:t>
        </w:r>
        <w:r w:rsidRPr="007B09E7">
          <w:rPr>
            <w:rFonts w:ascii="Times New Roman" w:eastAsia="Calibri" w:hAnsi="Times New Roman" w:cs="Times New Roman"/>
            <w:color w:val="0563C1"/>
            <w:kern w:val="0"/>
            <w:sz w:val="24"/>
            <w:szCs w:val="24"/>
            <w:u w:val="single"/>
            <w:lang w:val="ru-RU"/>
            <w14:ligatures w14:val="none"/>
          </w:rPr>
          <w:t>_</w:t>
        </w:r>
        <w:r w:rsidRPr="00B44B71">
          <w:rPr>
            <w:rFonts w:ascii="Times New Roman" w:eastAsia="Calibri" w:hAnsi="Times New Roman" w:cs="Times New Roman"/>
            <w:color w:val="0563C1"/>
            <w:kern w:val="0"/>
            <w:sz w:val="24"/>
            <w:szCs w:val="24"/>
            <w:u w:val="single"/>
            <w14:ligatures w14:val="none"/>
          </w:rPr>
          <w:t>pubs</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DR</w:t>
        </w:r>
        <w:r w:rsidRPr="007B09E7">
          <w:rPr>
            <w:rFonts w:ascii="Times New Roman" w:eastAsia="Calibri" w:hAnsi="Times New Roman" w:cs="Times New Roman"/>
            <w:color w:val="0563C1"/>
            <w:kern w:val="0"/>
            <w:sz w:val="24"/>
            <w:szCs w:val="24"/>
            <w:u w:val="single"/>
            <w:lang w:val="ru-RU"/>
            <w14:ligatures w14:val="none"/>
          </w:rPr>
          <w:t>_</w:t>
        </w:r>
        <w:r w:rsidRPr="00B44B71">
          <w:rPr>
            <w:rFonts w:ascii="Times New Roman" w:eastAsia="Calibri" w:hAnsi="Times New Roman" w:cs="Times New Roman"/>
            <w:color w:val="0563C1"/>
            <w:kern w:val="0"/>
            <w:sz w:val="24"/>
            <w:szCs w:val="24"/>
            <w:u w:val="single"/>
            <w14:ligatures w14:val="none"/>
          </w:rPr>
          <w:t>a</w:t>
        </w:r>
        <w:r w:rsidRPr="007B09E7">
          <w:rPr>
            <w:rFonts w:ascii="Times New Roman" w:eastAsia="Calibri" w:hAnsi="Times New Roman" w:cs="Times New Roman"/>
            <w:color w:val="0563C1"/>
            <w:kern w:val="0"/>
            <w:sz w:val="24"/>
            <w:szCs w:val="24"/>
            <w:u w:val="single"/>
            <w:lang w:val="ru-RU"/>
            <w14:ligatures w14:val="none"/>
          </w:rPr>
          <w:t>/</w:t>
        </w:r>
        <w:r w:rsidRPr="00B44B71">
          <w:rPr>
            <w:rFonts w:ascii="Times New Roman" w:eastAsia="Calibri" w:hAnsi="Times New Roman" w:cs="Times New Roman"/>
            <w:color w:val="0563C1"/>
            <w:kern w:val="0"/>
            <w:sz w:val="24"/>
            <w:szCs w:val="24"/>
            <w:u w:val="single"/>
            <w14:ligatures w14:val="none"/>
          </w:rPr>
          <w:t>ARN</w:t>
        </w:r>
        <w:r w:rsidRPr="007B09E7">
          <w:rPr>
            <w:rFonts w:ascii="Times New Roman" w:eastAsia="Calibri" w:hAnsi="Times New Roman" w:cs="Times New Roman"/>
            <w:color w:val="0563C1"/>
            <w:kern w:val="0"/>
            <w:sz w:val="24"/>
            <w:szCs w:val="24"/>
            <w:u w:val="single"/>
            <w:lang w:val="ru-RU"/>
            <w14:ligatures w14:val="none"/>
          </w:rPr>
          <w:t>36735-</w:t>
        </w:r>
        <w:r w:rsidRPr="00B44B71">
          <w:rPr>
            <w:rFonts w:ascii="Times New Roman" w:eastAsia="Calibri" w:hAnsi="Times New Roman" w:cs="Times New Roman"/>
            <w:color w:val="0563C1"/>
            <w:kern w:val="0"/>
            <w:sz w:val="24"/>
            <w:szCs w:val="24"/>
            <w:u w:val="single"/>
            <w14:ligatures w14:val="none"/>
          </w:rPr>
          <w:t>FM</w:t>
        </w:r>
        <w:r w:rsidRPr="007B09E7">
          <w:rPr>
            <w:rFonts w:ascii="Times New Roman" w:eastAsia="Calibri" w:hAnsi="Times New Roman" w:cs="Times New Roman"/>
            <w:color w:val="0563C1"/>
            <w:kern w:val="0"/>
            <w:sz w:val="24"/>
            <w:szCs w:val="24"/>
            <w:u w:val="single"/>
            <w:lang w:val="ru-RU"/>
            <w14:ligatures w14:val="none"/>
          </w:rPr>
          <w:t>_6-22-000-</w:t>
        </w:r>
        <w:r w:rsidRPr="00B44B71">
          <w:rPr>
            <w:rFonts w:ascii="Times New Roman" w:eastAsia="Calibri" w:hAnsi="Times New Roman" w:cs="Times New Roman"/>
            <w:color w:val="0563C1"/>
            <w:kern w:val="0"/>
            <w:sz w:val="24"/>
            <w:szCs w:val="24"/>
            <w:u w:val="single"/>
            <w14:ligatures w14:val="none"/>
          </w:rPr>
          <w:t>WEB</w:t>
        </w:r>
        <w:r w:rsidRPr="007B09E7">
          <w:rPr>
            <w:rFonts w:ascii="Times New Roman" w:eastAsia="Calibri" w:hAnsi="Times New Roman" w:cs="Times New Roman"/>
            <w:color w:val="0563C1"/>
            <w:kern w:val="0"/>
            <w:sz w:val="24"/>
            <w:szCs w:val="24"/>
            <w:u w:val="single"/>
            <w:lang w:val="ru-RU"/>
            <w14:ligatures w14:val="none"/>
          </w:rPr>
          <w:t>-1.</w:t>
        </w:r>
        <w:r w:rsidRPr="00B44B71">
          <w:rPr>
            <w:rFonts w:ascii="Times New Roman" w:eastAsia="Calibri" w:hAnsi="Times New Roman" w:cs="Times New Roman"/>
            <w:color w:val="0563C1"/>
            <w:kern w:val="0"/>
            <w:sz w:val="24"/>
            <w:szCs w:val="24"/>
            <w:u w:val="single"/>
            <w14:ligatures w14:val="none"/>
          </w:rPr>
          <w:t>pdf</w:t>
        </w:r>
      </w:hyperlink>
    </w:p>
    <w:p w14:paraId="43E1DA62"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Leka, A., &amp; Karasani, F. (2025). Transforming military leadership through innovative development approaches. </w:t>
      </w:r>
      <w:r w:rsidRPr="00B44B71">
        <w:rPr>
          <w:rFonts w:ascii="Times New Roman" w:eastAsia="Calibri" w:hAnsi="Times New Roman" w:cs="Times New Roman"/>
          <w:i/>
          <w:iCs/>
          <w:kern w:val="0"/>
          <w:sz w:val="24"/>
          <w:szCs w:val="24"/>
          <w14:ligatures w14:val="none"/>
        </w:rPr>
        <w:t>Balkan Journal of Interdisciplinary Research</w:t>
      </w:r>
      <w:r w:rsidRPr="00B44B71">
        <w:rPr>
          <w:rFonts w:ascii="Times New Roman" w:eastAsia="Calibri" w:hAnsi="Times New Roman" w:cs="Times New Roman"/>
          <w:kern w:val="0"/>
          <w:sz w:val="24"/>
          <w:szCs w:val="24"/>
          <w14:ligatures w14:val="none"/>
        </w:rPr>
        <w:t>, *1*(1), 45–58. </w:t>
      </w:r>
      <w:hyperlink r:id="rId118" w:tgtFrame="_blank" w:history="1">
        <w:r w:rsidRPr="00B44B71">
          <w:rPr>
            <w:rFonts w:ascii="Times New Roman" w:eastAsia="Calibri" w:hAnsi="Times New Roman" w:cs="Times New Roman"/>
            <w:color w:val="0563C1"/>
            <w:kern w:val="0"/>
            <w:sz w:val="24"/>
            <w:szCs w:val="24"/>
            <w:u w:val="single"/>
            <w14:ligatures w14:val="none"/>
          </w:rPr>
          <w:t>https://doi.org/10.2478/bjir-2025-0006</w:t>
        </w:r>
      </w:hyperlink>
    </w:p>
    <w:p w14:paraId="4A83C5B5"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Navas-Jiménez, M. C., Rico, R., Molero, F., &amp; Alcover, C.-M. (2024). Secure base leadership in military training: Enhancing organizational identification and resilience among cadets. </w:t>
      </w:r>
      <w:r w:rsidRPr="00B44B71">
        <w:rPr>
          <w:rFonts w:ascii="Times New Roman" w:eastAsia="Calibri" w:hAnsi="Times New Roman" w:cs="Times New Roman"/>
          <w:i/>
          <w:iCs/>
          <w:kern w:val="0"/>
          <w:sz w:val="24"/>
          <w:szCs w:val="24"/>
          <w14:ligatures w14:val="none"/>
        </w:rPr>
        <w:t>Frontiers in Psychology</w:t>
      </w:r>
      <w:r w:rsidRPr="00B44B71">
        <w:rPr>
          <w:rFonts w:ascii="Times New Roman" w:eastAsia="Calibri" w:hAnsi="Times New Roman" w:cs="Times New Roman"/>
          <w:kern w:val="0"/>
          <w:sz w:val="24"/>
          <w:szCs w:val="24"/>
          <w14:ligatures w14:val="none"/>
        </w:rPr>
        <w:t>, *15*, Article 1401574. </w:t>
      </w:r>
      <w:hyperlink r:id="rId119" w:tgtFrame="_blank" w:history="1">
        <w:r w:rsidRPr="00B44B71">
          <w:rPr>
            <w:rFonts w:ascii="Times New Roman" w:eastAsia="Calibri" w:hAnsi="Times New Roman" w:cs="Times New Roman"/>
            <w:color w:val="0563C1"/>
            <w:kern w:val="0"/>
            <w:sz w:val="24"/>
            <w:szCs w:val="24"/>
            <w:u w:val="single"/>
            <w14:ligatures w14:val="none"/>
          </w:rPr>
          <w:t>https://doi.org/10.3389/fpsyg.2024.1401574</w:t>
        </w:r>
      </w:hyperlink>
    </w:p>
    <w:p w14:paraId="3C447E01"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Repetukha, Y. (2024). Developing future military officers’ leadership competence in military academies: Pedagogical techniques and conditions. </w:t>
      </w:r>
      <w:r w:rsidRPr="00B44B71">
        <w:rPr>
          <w:rFonts w:ascii="Times New Roman" w:eastAsia="Calibri" w:hAnsi="Times New Roman" w:cs="Times New Roman"/>
          <w:i/>
          <w:iCs/>
          <w:kern w:val="0"/>
          <w:sz w:val="24"/>
          <w:szCs w:val="24"/>
          <w14:ligatures w14:val="none"/>
        </w:rPr>
        <w:t>Political Science and Security Studies Journal</w:t>
      </w:r>
      <w:r w:rsidRPr="00B44B71">
        <w:rPr>
          <w:rFonts w:ascii="Times New Roman" w:eastAsia="Calibri" w:hAnsi="Times New Roman" w:cs="Times New Roman"/>
          <w:kern w:val="0"/>
          <w:sz w:val="24"/>
          <w:szCs w:val="24"/>
          <w14:ligatures w14:val="none"/>
        </w:rPr>
        <w:t>, *3*(2), 112–121. </w:t>
      </w:r>
      <w:hyperlink r:id="rId120" w:tgtFrame="_blank" w:history="1">
        <w:r w:rsidRPr="00B44B71">
          <w:rPr>
            <w:rFonts w:ascii="Times New Roman" w:eastAsia="Calibri" w:hAnsi="Times New Roman" w:cs="Times New Roman"/>
            <w:color w:val="0563C1"/>
            <w:kern w:val="0"/>
            <w:sz w:val="24"/>
            <w:szCs w:val="24"/>
            <w:u w:val="single"/>
            <w14:ligatures w14:val="none"/>
          </w:rPr>
          <w:t>https://doi.org/10.5281/zenodo.13152053</w:t>
        </w:r>
      </w:hyperlink>
    </w:p>
    <w:p w14:paraId="2AA2D09E"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Teixeira, J. (2024). Empowering leadership in the military: Pros and cons. </w:t>
      </w:r>
      <w:r w:rsidRPr="00B44B71">
        <w:rPr>
          <w:rFonts w:ascii="Times New Roman" w:eastAsia="Calibri" w:hAnsi="Times New Roman" w:cs="Times New Roman"/>
          <w:i/>
          <w:iCs/>
          <w:kern w:val="0"/>
          <w:sz w:val="24"/>
          <w:szCs w:val="24"/>
          <w14:ligatures w14:val="none"/>
        </w:rPr>
        <w:t>Administrative Sciences</w:t>
      </w:r>
      <w:r w:rsidRPr="00B44B71">
        <w:rPr>
          <w:rFonts w:ascii="Times New Roman" w:eastAsia="Calibri" w:hAnsi="Times New Roman" w:cs="Times New Roman"/>
          <w:kern w:val="0"/>
          <w:sz w:val="24"/>
          <w:szCs w:val="24"/>
          <w14:ligatures w14:val="none"/>
        </w:rPr>
        <w:t>, *14*(4), Article 26. </w:t>
      </w:r>
      <w:hyperlink r:id="rId121" w:tgtFrame="_blank" w:history="1">
        <w:r w:rsidRPr="00B44B71">
          <w:rPr>
            <w:rFonts w:ascii="Times New Roman" w:eastAsia="Calibri" w:hAnsi="Times New Roman" w:cs="Times New Roman"/>
            <w:color w:val="0563C1"/>
            <w:kern w:val="0"/>
            <w:sz w:val="24"/>
            <w:szCs w:val="24"/>
            <w:u w:val="single"/>
            <w14:ligatures w14:val="none"/>
          </w:rPr>
          <w:t>https://doi.org/10.3390/admsci14040026</w:t>
        </w:r>
      </w:hyperlink>
    </w:p>
    <w:p w14:paraId="432A1896"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DeRue, D. S., Nahrgang, J. D., Wellman, N., &amp; Humphrey, S. E. (2011). Trait and behavioral theories of leadership: An integration and meta-analytic test of their relative validity. </w:t>
      </w:r>
      <w:r w:rsidRPr="00B44B71">
        <w:rPr>
          <w:rFonts w:ascii="Times New Roman" w:eastAsia="Calibri" w:hAnsi="Times New Roman" w:cs="Times New Roman"/>
          <w:i/>
          <w:iCs/>
          <w:kern w:val="0"/>
          <w:sz w:val="24"/>
          <w:szCs w:val="24"/>
          <w14:ligatures w14:val="none"/>
        </w:rPr>
        <w:t>Personnel Psychology</w:t>
      </w:r>
      <w:r w:rsidRPr="00B44B71">
        <w:rPr>
          <w:rFonts w:ascii="Times New Roman" w:eastAsia="Calibri" w:hAnsi="Times New Roman" w:cs="Times New Roman"/>
          <w:kern w:val="0"/>
          <w:sz w:val="24"/>
          <w:szCs w:val="24"/>
          <w14:ligatures w14:val="none"/>
        </w:rPr>
        <w:t xml:space="preserve">, *64*(1), 7–52. </w:t>
      </w:r>
      <w:r w:rsidRPr="00B44B71">
        <w:rPr>
          <w:rFonts w:ascii="Times New Roman" w:eastAsia="Calibri" w:hAnsi="Times New Roman" w:cs="Times New Roman"/>
          <w:kern w:val="0"/>
          <w:sz w:val="24"/>
          <w:szCs w:val="24"/>
          <w:lang w:val="ru-RU"/>
          <w14:ligatures w14:val="none"/>
        </w:rPr>
        <w:t>Отримано</w:t>
      </w:r>
      <w:r w:rsidRPr="00B44B71">
        <w:rPr>
          <w:rFonts w:ascii="Times New Roman" w:eastAsia="Calibri" w:hAnsi="Times New Roman" w:cs="Times New Roman"/>
          <w:kern w:val="0"/>
          <w:sz w:val="24"/>
          <w:szCs w:val="24"/>
          <w14:ligatures w14:val="none"/>
        </w:rPr>
        <w:t xml:space="preserve"> 23 </w:t>
      </w:r>
      <w:r w:rsidRPr="00B44B71">
        <w:rPr>
          <w:rFonts w:ascii="Times New Roman" w:eastAsia="Calibri" w:hAnsi="Times New Roman" w:cs="Times New Roman"/>
          <w:kern w:val="0"/>
          <w:sz w:val="24"/>
          <w:szCs w:val="24"/>
          <w:lang w:val="ru-RU"/>
          <w14:ligatures w14:val="none"/>
        </w:rPr>
        <w:t>січня</w:t>
      </w:r>
      <w:r w:rsidRPr="00B44B71">
        <w:rPr>
          <w:rFonts w:ascii="Times New Roman" w:eastAsia="Calibri" w:hAnsi="Times New Roman" w:cs="Times New Roman"/>
          <w:kern w:val="0"/>
          <w:sz w:val="24"/>
          <w:szCs w:val="24"/>
          <w14:ligatures w14:val="none"/>
        </w:rPr>
        <w:t xml:space="preserve"> 2026 </w:t>
      </w:r>
      <w:r w:rsidRPr="00B44B71">
        <w:rPr>
          <w:rFonts w:ascii="Times New Roman" w:eastAsia="Calibri" w:hAnsi="Times New Roman" w:cs="Times New Roman"/>
          <w:kern w:val="0"/>
          <w:sz w:val="24"/>
          <w:szCs w:val="24"/>
          <w:lang w:val="ru-RU"/>
          <w14:ligatures w14:val="none"/>
        </w:rPr>
        <w:t>р</w:t>
      </w:r>
      <w:r w:rsidRPr="00B44B71">
        <w:rPr>
          <w:rFonts w:ascii="Times New Roman" w:eastAsia="Calibri" w:hAnsi="Times New Roman" w:cs="Times New Roman"/>
          <w:kern w:val="0"/>
          <w:sz w:val="24"/>
          <w:szCs w:val="24"/>
          <w14:ligatures w14:val="none"/>
        </w:rPr>
        <w:t xml:space="preserve">. </w:t>
      </w:r>
      <w:r w:rsidRPr="00B44B71">
        <w:rPr>
          <w:rFonts w:ascii="Times New Roman" w:eastAsia="Calibri" w:hAnsi="Times New Roman" w:cs="Times New Roman"/>
          <w:kern w:val="0"/>
          <w:sz w:val="24"/>
          <w:szCs w:val="24"/>
          <w:lang w:val="ru-RU"/>
          <w14:ligatures w14:val="none"/>
        </w:rPr>
        <w:t>з</w:t>
      </w:r>
      <w:r w:rsidRPr="00B44B71">
        <w:rPr>
          <w:rFonts w:ascii="Times New Roman" w:eastAsia="Calibri" w:hAnsi="Times New Roman" w:cs="Times New Roman"/>
          <w:kern w:val="0"/>
          <w:sz w:val="24"/>
          <w:szCs w:val="24"/>
          <w14:ligatures w14:val="none"/>
        </w:rPr>
        <w:t> </w:t>
      </w:r>
      <w:hyperlink r:id="rId122" w:tgtFrame="_blank" w:history="1">
        <w:r w:rsidRPr="00B44B71">
          <w:rPr>
            <w:rFonts w:ascii="Times New Roman" w:eastAsia="Calibri" w:hAnsi="Times New Roman" w:cs="Times New Roman"/>
            <w:color w:val="0563C1"/>
            <w:kern w:val="0"/>
            <w:sz w:val="24"/>
            <w:szCs w:val="24"/>
            <w:u w:val="single"/>
            <w14:ligatures w14:val="none"/>
          </w:rPr>
          <w:t>http://test.scripts.psu.edu/faculty/s/e/seh25/DeRueNahrgangWellmanHumphrey2011.pdf</w:t>
        </w:r>
      </w:hyperlink>
    </w:p>
    <w:p w14:paraId="40FE0E81" w14:textId="77777777" w:rsidR="00B44B71" w:rsidRPr="00B117D5" w:rsidRDefault="00B44B71" w:rsidP="00B117D5">
      <w:pPr>
        <w:tabs>
          <w:tab w:val="left" w:pos="9638"/>
        </w:tabs>
        <w:spacing w:after="0" w:line="240" w:lineRule="auto"/>
        <w:rPr>
          <w:rFonts w:ascii="Times New Roman" w:eastAsia="Calibri" w:hAnsi="Times New Roman" w:cs="Times New Roman"/>
          <w:b/>
          <w:bCs/>
          <w:kern w:val="0"/>
          <w:sz w:val="24"/>
          <w:szCs w:val="24"/>
          <w:lang w:val="uk-UA"/>
          <w14:ligatures w14:val="none"/>
        </w:rPr>
      </w:pPr>
    </w:p>
    <w:p w14:paraId="6D7F46CC" w14:textId="77777777" w:rsidR="00B44B71" w:rsidRPr="00B44B71" w:rsidRDefault="00B44B71" w:rsidP="00023291">
      <w:pPr>
        <w:tabs>
          <w:tab w:val="left" w:pos="9638"/>
        </w:tabs>
        <w:spacing w:after="0" w:line="240" w:lineRule="auto"/>
        <w:ind w:firstLine="709"/>
        <w:jc w:val="center"/>
        <w:rPr>
          <w:rFonts w:ascii="Times New Roman" w:eastAsia="Calibri" w:hAnsi="Times New Roman" w:cs="Times New Roman"/>
          <w:b/>
          <w:bCs/>
          <w:kern w:val="0"/>
          <w:sz w:val="24"/>
          <w:szCs w:val="24"/>
          <w14:ligatures w14:val="none"/>
        </w:rPr>
      </w:pPr>
      <w:r w:rsidRPr="00B44B71">
        <w:rPr>
          <w:rFonts w:ascii="Times New Roman" w:eastAsia="Calibri" w:hAnsi="Times New Roman" w:cs="Times New Roman"/>
          <w:b/>
          <w:bCs/>
          <w:kern w:val="0"/>
          <w:sz w:val="24"/>
          <w:szCs w:val="24"/>
          <w14:ligatures w14:val="none"/>
        </w:rPr>
        <w:t>REFERENCES</w:t>
      </w:r>
    </w:p>
    <w:p w14:paraId="46CBFB71"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Buzid, A. (2024). Model liderstva u viiskovii osviti: porivnialnyi analiz na osnovi svitovykh pidkhodiv [Leadership model in military education: a comparative analysis based on global approaches]. </w:t>
      </w:r>
      <w:r w:rsidRPr="00B44B71">
        <w:rPr>
          <w:rFonts w:ascii="Times New Roman" w:eastAsia="Calibri" w:hAnsi="Times New Roman" w:cs="Times New Roman"/>
          <w:i/>
          <w:iCs/>
          <w:kern w:val="0"/>
          <w:sz w:val="24"/>
          <w:szCs w:val="24"/>
          <w:lang w:val="uk-UA"/>
          <w14:ligatures w14:val="none"/>
        </w:rPr>
        <w:t>Dukhovnist osobystosti: metodolohiia, teoriia i praktyka, 1</w:t>
      </w:r>
      <w:r w:rsidRPr="00B44B71">
        <w:rPr>
          <w:rFonts w:ascii="Times New Roman" w:eastAsia="Calibri" w:hAnsi="Times New Roman" w:cs="Times New Roman"/>
          <w:kern w:val="0"/>
          <w:sz w:val="24"/>
          <w:szCs w:val="24"/>
          <w:lang w:val="uk-UA"/>
          <w14:ligatures w14:val="none"/>
        </w:rPr>
        <w:t>(110), 16–27. DOI: </w:t>
      </w:r>
      <w:hyperlink r:id="rId123" w:tgtFrame="_blank" w:history="1">
        <w:r w:rsidRPr="00B44B71">
          <w:rPr>
            <w:rFonts w:ascii="Times New Roman" w:eastAsia="Calibri" w:hAnsi="Times New Roman" w:cs="Times New Roman"/>
            <w:color w:val="0563C1"/>
            <w:kern w:val="0"/>
            <w:sz w:val="24"/>
            <w:szCs w:val="24"/>
            <w:u w:val="single"/>
            <w:lang w:val="uk-UA"/>
            <w14:ligatures w14:val="none"/>
          </w:rPr>
          <w:t>https://doi.org/10.33216/2220-6310/2024-110-3-16-27</w:t>
        </w:r>
      </w:hyperlink>
      <w:r w:rsidRPr="00B44B71">
        <w:rPr>
          <w:rFonts w:ascii="Times New Roman" w:eastAsia="Calibri" w:hAnsi="Times New Roman" w:cs="Times New Roman"/>
          <w:kern w:val="0"/>
          <w:sz w:val="24"/>
          <w:szCs w:val="24"/>
          <w:lang w:val="uk-UA"/>
          <w14:ligatures w14:val="none"/>
        </w:rPr>
        <w:t>.</w:t>
      </w:r>
    </w:p>
    <w:p w14:paraId="1A79F74B"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Chystiakova, I. (2011). Kooperovane liderstvo yak upravlinska tekhnolohiia: dosvid Velykoi Brytanii [Cooperative leadership as a management technology: the experience of Great Britain]. </w:t>
      </w:r>
      <w:r w:rsidRPr="00B44B71">
        <w:rPr>
          <w:rFonts w:ascii="Times New Roman" w:eastAsia="Calibri" w:hAnsi="Times New Roman" w:cs="Times New Roman"/>
          <w:i/>
          <w:iCs/>
          <w:kern w:val="0"/>
          <w:sz w:val="24"/>
          <w:szCs w:val="24"/>
          <w:lang w:val="uk-UA"/>
          <w14:ligatures w14:val="none"/>
        </w:rPr>
        <w:t>Vytoky pedahohichnoi maisternosti. Seriia: Pedahohichni nauky, 8</w:t>
      </w:r>
      <w:r w:rsidRPr="00B44B71">
        <w:rPr>
          <w:rFonts w:ascii="Times New Roman" w:eastAsia="Calibri" w:hAnsi="Times New Roman" w:cs="Times New Roman"/>
          <w:kern w:val="0"/>
          <w:sz w:val="24"/>
          <w:szCs w:val="24"/>
          <w:lang w:val="uk-UA"/>
          <w14:ligatures w14:val="none"/>
        </w:rPr>
        <w:t>(1), 306–312. Retrieved from: </w:t>
      </w:r>
      <w:hyperlink r:id="rId124" w:tgtFrame="_blank" w:history="1">
        <w:r w:rsidRPr="00B44B71">
          <w:rPr>
            <w:rFonts w:ascii="Times New Roman" w:eastAsia="Calibri" w:hAnsi="Times New Roman" w:cs="Times New Roman"/>
            <w:color w:val="0563C1"/>
            <w:kern w:val="0"/>
            <w:sz w:val="24"/>
            <w:szCs w:val="24"/>
            <w:u w:val="single"/>
            <w:lang w:val="uk-UA"/>
            <w14:ligatures w14:val="none"/>
          </w:rPr>
          <w:t>http://nbuv.gov.ua/UJRN/vpm_2011_8(1)__64</w:t>
        </w:r>
      </w:hyperlink>
      <w:r w:rsidRPr="00B44B71">
        <w:rPr>
          <w:rFonts w:ascii="Times New Roman" w:eastAsia="Calibri" w:hAnsi="Times New Roman" w:cs="Times New Roman"/>
          <w:kern w:val="0"/>
          <w:sz w:val="24"/>
          <w:szCs w:val="24"/>
          <w:lang w:val="uk-UA"/>
          <w14:ligatures w14:val="none"/>
        </w:rPr>
        <w:t>.</w:t>
      </w:r>
    </w:p>
    <w:p w14:paraId="5410B889"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Cîrdei, I., &amp; Alixandrescu, R. (2025). Military leaders in the face of hybrid threats: building resilience through adaptive leadership. *Knowledge-Based Organization, 31*(1), 77–86. DOI: </w:t>
      </w:r>
      <w:hyperlink r:id="rId125" w:tgtFrame="_blank" w:history="1">
        <w:r w:rsidRPr="00B44B71">
          <w:rPr>
            <w:rFonts w:ascii="Times New Roman" w:eastAsia="Calibri" w:hAnsi="Times New Roman" w:cs="Times New Roman"/>
            <w:color w:val="0563C1"/>
            <w:kern w:val="0"/>
            <w:sz w:val="24"/>
            <w:szCs w:val="24"/>
            <w:u w:val="single"/>
            <w:lang w:val="uk-UA"/>
            <w14:ligatures w14:val="none"/>
          </w:rPr>
          <w:t>https://doi.org/10.2478/kbo-2025-0007</w:t>
        </w:r>
      </w:hyperlink>
      <w:r w:rsidRPr="00B44B71">
        <w:rPr>
          <w:rFonts w:ascii="Times New Roman" w:eastAsia="Calibri" w:hAnsi="Times New Roman" w:cs="Times New Roman"/>
          <w:kern w:val="0"/>
          <w:sz w:val="24"/>
          <w:szCs w:val="24"/>
          <w:lang w:val="uk-UA"/>
          <w14:ligatures w14:val="none"/>
        </w:rPr>
        <w:t>.</w:t>
      </w:r>
    </w:p>
    <w:p w14:paraId="208433C4"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Conger, J., &amp; Kanungo, R. (1994). Charismatic leadership in organizations: perceived behavioral attributes and their measurement. </w:t>
      </w:r>
      <w:r w:rsidRPr="00B44B71">
        <w:rPr>
          <w:rFonts w:ascii="Times New Roman" w:eastAsia="Calibri" w:hAnsi="Times New Roman" w:cs="Times New Roman"/>
          <w:i/>
          <w:iCs/>
          <w:kern w:val="0"/>
          <w:sz w:val="24"/>
          <w:szCs w:val="24"/>
          <w:lang w:val="uk-UA"/>
          <w14:ligatures w14:val="none"/>
        </w:rPr>
        <w:t>Journal of Organizational Behavior, 15</w:t>
      </w:r>
      <w:r w:rsidRPr="00B44B71">
        <w:rPr>
          <w:rFonts w:ascii="Times New Roman" w:eastAsia="Calibri" w:hAnsi="Times New Roman" w:cs="Times New Roman"/>
          <w:kern w:val="0"/>
          <w:sz w:val="24"/>
          <w:szCs w:val="24"/>
          <w:lang w:val="uk-UA"/>
          <w14:ligatures w14:val="none"/>
        </w:rPr>
        <w:t>, 439–452. DOI: </w:t>
      </w:r>
      <w:hyperlink r:id="rId126" w:tgtFrame="_blank" w:history="1">
        <w:r w:rsidRPr="00B44B71">
          <w:rPr>
            <w:rFonts w:ascii="Times New Roman" w:eastAsia="Calibri" w:hAnsi="Times New Roman" w:cs="Times New Roman"/>
            <w:color w:val="0563C1"/>
            <w:kern w:val="0"/>
            <w:sz w:val="24"/>
            <w:szCs w:val="24"/>
            <w:u w:val="single"/>
            <w:lang w:val="uk-UA"/>
            <w14:ligatures w14:val="none"/>
          </w:rPr>
          <w:t>https://doi.org/10.1002/job.4030150508</w:t>
        </w:r>
      </w:hyperlink>
      <w:r w:rsidRPr="00B44B71">
        <w:rPr>
          <w:rFonts w:ascii="Times New Roman" w:eastAsia="Calibri" w:hAnsi="Times New Roman" w:cs="Times New Roman"/>
          <w:kern w:val="0"/>
          <w:sz w:val="24"/>
          <w:szCs w:val="24"/>
          <w:lang w:val="uk-UA"/>
          <w14:ligatures w14:val="none"/>
        </w:rPr>
        <w:t>.</w:t>
      </w:r>
    </w:p>
    <w:p w14:paraId="0AC2B16F"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Department of the Army. (2006). </w:t>
      </w:r>
      <w:r w:rsidRPr="00B44B71">
        <w:rPr>
          <w:rFonts w:ascii="Times New Roman" w:eastAsia="Calibri" w:hAnsi="Times New Roman" w:cs="Times New Roman"/>
          <w:i/>
          <w:iCs/>
          <w:kern w:val="0"/>
          <w:sz w:val="24"/>
          <w:szCs w:val="24"/>
          <w:lang w:val="uk-UA"/>
          <w14:ligatures w14:val="none"/>
        </w:rPr>
        <w:t>Viiskove liderstvo: kompetentnist, vpevnenist, hnuchkist</w:t>
      </w:r>
      <w:r w:rsidRPr="00B44B71">
        <w:rPr>
          <w:rFonts w:ascii="Times New Roman" w:eastAsia="Calibri" w:hAnsi="Times New Roman" w:cs="Times New Roman"/>
          <w:kern w:val="0"/>
          <w:sz w:val="24"/>
          <w:szCs w:val="24"/>
          <w:lang w:val="uk-UA"/>
          <w14:ligatures w14:val="none"/>
        </w:rPr>
        <w:t> [Military leadership: competence, confidence, flexibility]. Washington, DC. Retrieved from: </w:t>
      </w:r>
      <w:hyperlink r:id="rId127" w:tgtFrame="_blank" w:history="1">
        <w:r w:rsidRPr="00B44B71">
          <w:rPr>
            <w:rFonts w:ascii="Times New Roman" w:eastAsia="Calibri" w:hAnsi="Times New Roman" w:cs="Times New Roman"/>
            <w:color w:val="0563C1"/>
            <w:kern w:val="0"/>
            <w:sz w:val="24"/>
            <w:szCs w:val="24"/>
            <w:u w:val="single"/>
            <w:lang w:val="uk-UA"/>
            <w14:ligatures w14:val="none"/>
          </w:rPr>
          <w:t>https://sprotyvg7.com.ua/wp-content/uploads/2023/05/FM-6-22.-%D0%9B%D1%96%D0%B4%D0%B5%D1%80%D1%81%D1%82%D0%B2%D0%BE.pdf</w:t>
        </w:r>
      </w:hyperlink>
      <w:r w:rsidRPr="00B44B71">
        <w:rPr>
          <w:rFonts w:ascii="Times New Roman" w:eastAsia="Calibri" w:hAnsi="Times New Roman" w:cs="Times New Roman"/>
          <w:kern w:val="0"/>
          <w:sz w:val="24"/>
          <w:szCs w:val="24"/>
          <w:lang w:val="uk-UA"/>
          <w14:ligatures w14:val="none"/>
        </w:rPr>
        <w:t>.</w:t>
      </w:r>
    </w:p>
    <w:p w14:paraId="6A1DB0E2"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Department of the Army. (2023). *FM 6-22: developing leaders*. Retrieved from: </w:t>
      </w:r>
      <w:hyperlink r:id="rId128" w:tgtFrame="_blank" w:history="1">
        <w:r w:rsidRPr="00B44B71">
          <w:rPr>
            <w:rFonts w:ascii="Times New Roman" w:eastAsia="Calibri" w:hAnsi="Times New Roman" w:cs="Times New Roman"/>
            <w:color w:val="0563C1"/>
            <w:kern w:val="0"/>
            <w:sz w:val="24"/>
            <w:szCs w:val="24"/>
            <w:u w:val="single"/>
            <w:lang w:val="uk-UA"/>
            <w14:ligatures w14:val="none"/>
          </w:rPr>
          <w:t>https://armypubs.army.mil/epubs/DR_pubs/DR_a/ARN36735-FM_6-22-000-WEB-1.pdf</w:t>
        </w:r>
      </w:hyperlink>
      <w:r w:rsidRPr="00B44B71">
        <w:rPr>
          <w:rFonts w:ascii="Times New Roman" w:eastAsia="Calibri" w:hAnsi="Times New Roman" w:cs="Times New Roman"/>
          <w:kern w:val="0"/>
          <w:sz w:val="24"/>
          <w:szCs w:val="24"/>
          <w:lang w:val="uk-UA"/>
          <w14:ligatures w14:val="none"/>
        </w:rPr>
        <w:t>.</w:t>
      </w:r>
    </w:p>
    <w:p w14:paraId="1017CBD6" w14:textId="3331612B" w:rsidR="00B44B71" w:rsidRPr="00B44B71" w:rsidRDefault="00B44B71" w:rsidP="00B117D5">
      <w:pPr>
        <w:tabs>
          <w:tab w:val="left" w:pos="9638"/>
        </w:tabs>
        <w:spacing w:after="0" w:line="264" w:lineRule="auto"/>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lastRenderedPageBreak/>
        <w:t>DeRue, D., Nahrgang, J., Wellman, N., &amp; Humphrey, S. (2011). Trait and behavioral theories of leadership: an integration and meta-analytic test of their relative validity. </w:t>
      </w:r>
      <w:r w:rsidRPr="00B44B71">
        <w:rPr>
          <w:rFonts w:ascii="Times New Roman" w:eastAsia="Calibri" w:hAnsi="Times New Roman" w:cs="Times New Roman"/>
          <w:i/>
          <w:iCs/>
          <w:kern w:val="0"/>
          <w:sz w:val="24"/>
          <w:szCs w:val="24"/>
          <w:lang w:val="uk-UA"/>
          <w14:ligatures w14:val="none"/>
        </w:rPr>
        <w:t>Personnel Psychology, 64</w:t>
      </w:r>
      <w:r w:rsidRPr="00B44B71">
        <w:rPr>
          <w:rFonts w:ascii="Times New Roman" w:eastAsia="Calibri" w:hAnsi="Times New Roman" w:cs="Times New Roman"/>
          <w:kern w:val="0"/>
          <w:sz w:val="24"/>
          <w:szCs w:val="24"/>
          <w:lang w:val="uk-UA"/>
          <w14:ligatures w14:val="none"/>
        </w:rPr>
        <w:t>(1), 7–52. Retrieved from:</w:t>
      </w:r>
      <w:r w:rsidR="00B117D5">
        <w:rPr>
          <w:rFonts w:ascii="Times New Roman" w:eastAsia="Calibri" w:hAnsi="Times New Roman" w:cs="Times New Roman"/>
          <w:kern w:val="0"/>
          <w:sz w:val="24"/>
          <w:szCs w:val="24"/>
          <w:lang w:val="uk-UA"/>
          <w14:ligatures w14:val="none"/>
        </w:rPr>
        <w:t xml:space="preserve"> </w:t>
      </w:r>
      <w:hyperlink r:id="rId129" w:history="1">
        <w:r w:rsidR="00B117D5" w:rsidRPr="007A740B">
          <w:rPr>
            <w:rStyle w:val="Hyperlink"/>
            <w:rFonts w:ascii="Times New Roman" w:eastAsia="Calibri" w:hAnsi="Times New Roman"/>
            <w:kern w:val="0"/>
            <w:sz w:val="24"/>
            <w:szCs w:val="24"/>
            <w:lang w:val="uk-UA"/>
            <w14:ligatures w14:val="none"/>
          </w:rPr>
          <w:t>http://test.scripts.psu.edu/faculty/s/e/seh25/DeRueNahrgangWellmanHumphrey2011.pdf</w:t>
        </w:r>
      </w:hyperlink>
      <w:r w:rsidRPr="00B44B71">
        <w:rPr>
          <w:rFonts w:ascii="Times New Roman" w:eastAsia="Calibri" w:hAnsi="Times New Roman" w:cs="Times New Roman"/>
          <w:kern w:val="0"/>
          <w:sz w:val="24"/>
          <w:szCs w:val="24"/>
          <w:lang w:val="uk-UA"/>
          <w14:ligatures w14:val="none"/>
        </w:rPr>
        <w:t>.</w:t>
      </w:r>
    </w:p>
    <w:p w14:paraId="7BF37C46"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Diak, V., Markova, S., &amp; Volobuev, V. (2024). Kontseptsii viiskovoho liderstva v Ukraini ta krainakh Yevroatlantychnoho prostoru [Concepts of military leadership in Ukraine and the Euro-Atlantic area]. </w:t>
      </w:r>
      <w:r w:rsidRPr="00B44B71">
        <w:rPr>
          <w:rFonts w:ascii="Times New Roman" w:eastAsia="Calibri" w:hAnsi="Times New Roman" w:cs="Times New Roman"/>
          <w:i/>
          <w:iCs/>
          <w:kern w:val="0"/>
          <w:sz w:val="24"/>
          <w:szCs w:val="24"/>
          <w:lang w:val="uk-UA"/>
          <w14:ligatures w14:val="none"/>
        </w:rPr>
        <w:t>Naukovi innovatsii ta peredovi tekhnolohii, 4</w:t>
      </w:r>
      <w:r w:rsidRPr="00B44B71">
        <w:rPr>
          <w:rFonts w:ascii="Times New Roman" w:eastAsia="Calibri" w:hAnsi="Times New Roman" w:cs="Times New Roman"/>
          <w:kern w:val="0"/>
          <w:sz w:val="24"/>
          <w:szCs w:val="24"/>
          <w:lang w:val="uk-UA"/>
          <w14:ligatures w14:val="none"/>
        </w:rPr>
        <w:t>(32), 928–937. DOI: </w:t>
      </w:r>
      <w:hyperlink r:id="rId130" w:tgtFrame="_blank" w:history="1">
        <w:r w:rsidRPr="00B44B71">
          <w:rPr>
            <w:rFonts w:ascii="Times New Roman" w:eastAsia="Calibri" w:hAnsi="Times New Roman" w:cs="Times New Roman"/>
            <w:color w:val="0563C1"/>
            <w:kern w:val="0"/>
            <w:sz w:val="24"/>
            <w:szCs w:val="24"/>
            <w:u w:val="single"/>
            <w:lang w:val="uk-UA"/>
            <w14:ligatures w14:val="none"/>
          </w:rPr>
          <w:t>https://doi.org/10.52058/2786-5274-2024-4(32)-928-937</w:t>
        </w:r>
      </w:hyperlink>
      <w:r w:rsidRPr="00B44B71">
        <w:rPr>
          <w:rFonts w:ascii="Times New Roman" w:eastAsia="Calibri" w:hAnsi="Times New Roman" w:cs="Times New Roman"/>
          <w:kern w:val="0"/>
          <w:sz w:val="24"/>
          <w:szCs w:val="24"/>
          <w:lang w:val="uk-UA"/>
          <w14:ligatures w14:val="none"/>
        </w:rPr>
        <w:t>.</w:t>
      </w:r>
    </w:p>
    <w:p w14:paraId="46F377B9"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General Staff of the Armed Forces of Ukraine. (2025). </w:t>
      </w:r>
      <w:r w:rsidRPr="00B44B71">
        <w:rPr>
          <w:rFonts w:ascii="Times New Roman" w:eastAsia="Calibri" w:hAnsi="Times New Roman" w:cs="Times New Roman"/>
          <w:i/>
          <w:iCs/>
          <w:kern w:val="0"/>
          <w:sz w:val="24"/>
          <w:szCs w:val="24"/>
          <w:lang w:val="uk-UA"/>
          <w14:ligatures w14:val="none"/>
        </w:rPr>
        <w:t>Kataloh viiskovo-profesiinykh kompetentnostei viiskovykh fakhivtsiv ofitserskoho, serzhantskoho ta starshynskoho skladu</w:t>
      </w:r>
      <w:r w:rsidRPr="00B44B71">
        <w:rPr>
          <w:rFonts w:ascii="Times New Roman" w:eastAsia="Calibri" w:hAnsi="Times New Roman" w:cs="Times New Roman"/>
          <w:kern w:val="0"/>
          <w:sz w:val="24"/>
          <w:szCs w:val="24"/>
          <w:lang w:val="uk-UA"/>
          <w14:ligatures w14:val="none"/>
        </w:rPr>
        <w:t> [Catalogue of military-professional competencies of military specialists]. Kyiv: HSh ZS Ukrainy.</w:t>
      </w:r>
    </w:p>
    <w:p w14:paraId="0544DC70"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Grant, H. (2020, July 29). </w:t>
      </w:r>
      <w:r w:rsidRPr="00B44B71">
        <w:rPr>
          <w:rFonts w:ascii="Times New Roman" w:eastAsia="Calibri" w:hAnsi="Times New Roman" w:cs="Times New Roman"/>
          <w:i/>
          <w:iCs/>
          <w:kern w:val="0"/>
          <w:sz w:val="24"/>
          <w:szCs w:val="24"/>
          <w:lang w:val="uk-UA"/>
          <w14:ligatures w14:val="none"/>
        </w:rPr>
        <w:t>Liderstvo v armii – nova paradyhma v Ukraini</w:t>
      </w:r>
      <w:r w:rsidRPr="00B44B71">
        <w:rPr>
          <w:rFonts w:ascii="Times New Roman" w:eastAsia="Calibri" w:hAnsi="Times New Roman" w:cs="Times New Roman"/>
          <w:kern w:val="0"/>
          <w:sz w:val="24"/>
          <w:szCs w:val="24"/>
          <w:lang w:val="uk-UA"/>
          <w14:ligatures w14:val="none"/>
        </w:rPr>
        <w:t> [Leadership in the army – a new paradigm in Ukraine]. Ukraine Future Institute. Retrieved from: </w:t>
      </w:r>
      <w:hyperlink r:id="rId131" w:tgtFrame="_blank" w:history="1">
        <w:r w:rsidRPr="00B44B71">
          <w:rPr>
            <w:rFonts w:ascii="Times New Roman" w:eastAsia="Calibri" w:hAnsi="Times New Roman" w:cs="Times New Roman"/>
            <w:color w:val="0563C1"/>
            <w:kern w:val="0"/>
            <w:sz w:val="24"/>
            <w:szCs w:val="24"/>
            <w:u w:val="single"/>
            <w:lang w:val="uk-UA"/>
            <w14:ligatures w14:val="none"/>
          </w:rPr>
          <w:t>https://www.uifuture.org/publications/news/25153-liderstvo/v/armii</w:t>
        </w:r>
      </w:hyperlink>
      <w:r w:rsidRPr="00B44B71">
        <w:rPr>
          <w:rFonts w:ascii="Times New Roman" w:eastAsia="Calibri" w:hAnsi="Times New Roman" w:cs="Times New Roman"/>
          <w:kern w:val="0"/>
          <w:sz w:val="24"/>
          <w:szCs w:val="24"/>
          <w:lang w:val="uk-UA"/>
          <w14:ligatures w14:val="none"/>
        </w:rPr>
        <w:t>.</w:t>
      </w:r>
    </w:p>
    <w:p w14:paraId="3DC95B33"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Karpenko, V. (2021). Poniattia liderstva u voienno-naukovykh doslidzhenniakh [The concept of leadership in military-scientific research]. </w:t>
      </w:r>
      <w:r w:rsidRPr="00B44B71">
        <w:rPr>
          <w:rFonts w:ascii="Times New Roman" w:eastAsia="Calibri" w:hAnsi="Times New Roman" w:cs="Times New Roman"/>
          <w:i/>
          <w:iCs/>
          <w:kern w:val="0"/>
          <w:sz w:val="24"/>
          <w:szCs w:val="24"/>
          <w:lang w:val="uk-UA"/>
          <w14:ligatures w14:val="none"/>
        </w:rPr>
        <w:t>Viiskova osvita, 44</w:t>
      </w:r>
      <w:r w:rsidRPr="00B44B71">
        <w:rPr>
          <w:rFonts w:ascii="Times New Roman" w:eastAsia="Calibri" w:hAnsi="Times New Roman" w:cs="Times New Roman"/>
          <w:kern w:val="0"/>
          <w:sz w:val="24"/>
          <w:szCs w:val="24"/>
          <w:lang w:val="uk-UA"/>
          <w14:ligatures w14:val="none"/>
        </w:rPr>
        <w:t>, 91–99. DOI: </w:t>
      </w:r>
      <w:hyperlink r:id="rId132" w:tgtFrame="_blank" w:history="1">
        <w:r w:rsidRPr="00B44B71">
          <w:rPr>
            <w:rFonts w:ascii="Times New Roman" w:eastAsia="Calibri" w:hAnsi="Times New Roman" w:cs="Times New Roman"/>
            <w:color w:val="0563C1"/>
            <w:kern w:val="0"/>
            <w:sz w:val="24"/>
            <w:szCs w:val="24"/>
            <w:u w:val="single"/>
            <w:lang w:val="uk-UA"/>
            <w14:ligatures w14:val="none"/>
          </w:rPr>
          <w:t>https://doi.org/10.33099/2617-1783/2021-44/91-99</w:t>
        </w:r>
      </w:hyperlink>
      <w:r w:rsidRPr="00B44B71">
        <w:rPr>
          <w:rFonts w:ascii="Times New Roman" w:eastAsia="Calibri" w:hAnsi="Times New Roman" w:cs="Times New Roman"/>
          <w:kern w:val="0"/>
          <w:sz w:val="24"/>
          <w:szCs w:val="24"/>
          <w:lang w:val="uk-UA"/>
          <w14:ligatures w14:val="none"/>
        </w:rPr>
        <w:t>.</w:t>
      </w:r>
    </w:p>
    <w:p w14:paraId="70BC9B4D"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Krymets, L. (2019). Liderstvo yak osoblyva forma vlady u suchasnomu viiskovo-profesiinomu seredovyshchi [Leadership as a special form of power in the modern military-professional environment]. </w:t>
      </w:r>
      <w:r w:rsidRPr="00B44B71">
        <w:rPr>
          <w:rFonts w:ascii="Times New Roman" w:eastAsia="Calibri" w:hAnsi="Times New Roman" w:cs="Times New Roman"/>
          <w:i/>
          <w:iCs/>
          <w:kern w:val="0"/>
          <w:sz w:val="24"/>
          <w:szCs w:val="24"/>
          <w:lang w:val="uk-UA"/>
          <w14:ligatures w14:val="none"/>
        </w:rPr>
        <w:t>Visnyk Natsionalnoho universytetu oborony Ukrainy, 50</w:t>
      </w:r>
      <w:r w:rsidRPr="00B44B71">
        <w:rPr>
          <w:rFonts w:ascii="Times New Roman" w:eastAsia="Calibri" w:hAnsi="Times New Roman" w:cs="Times New Roman"/>
          <w:kern w:val="0"/>
          <w:sz w:val="24"/>
          <w:szCs w:val="24"/>
          <w:lang w:val="uk-UA"/>
          <w14:ligatures w14:val="none"/>
        </w:rPr>
        <w:t>(2), 51–58. DOI: </w:t>
      </w:r>
      <w:hyperlink r:id="rId133" w:tgtFrame="_blank" w:history="1">
        <w:r w:rsidRPr="00B44B71">
          <w:rPr>
            <w:rFonts w:ascii="Times New Roman" w:eastAsia="Calibri" w:hAnsi="Times New Roman" w:cs="Times New Roman"/>
            <w:color w:val="0563C1"/>
            <w:kern w:val="0"/>
            <w:sz w:val="24"/>
            <w:szCs w:val="24"/>
            <w:u w:val="single"/>
            <w:lang w:val="uk-UA"/>
            <w14:ligatures w14:val="none"/>
          </w:rPr>
          <w:t>https://doi.org/10.33099/2617-6858-2018-50-2-51-58</w:t>
        </w:r>
      </w:hyperlink>
      <w:r w:rsidRPr="00B44B71">
        <w:rPr>
          <w:rFonts w:ascii="Times New Roman" w:eastAsia="Calibri" w:hAnsi="Times New Roman" w:cs="Times New Roman"/>
          <w:kern w:val="0"/>
          <w:sz w:val="24"/>
          <w:szCs w:val="24"/>
          <w:lang w:val="uk-UA"/>
          <w14:ligatures w14:val="none"/>
        </w:rPr>
        <w:t>.</w:t>
      </w:r>
    </w:p>
    <w:p w14:paraId="0E9EC8C5"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Leka, A., &amp; Karasani, F. (2025). Transforming military leadership through innovative development approaches. </w:t>
      </w:r>
      <w:r w:rsidRPr="00B44B71">
        <w:rPr>
          <w:rFonts w:ascii="Times New Roman" w:eastAsia="Calibri" w:hAnsi="Times New Roman" w:cs="Times New Roman"/>
          <w:i/>
          <w:iCs/>
          <w:kern w:val="0"/>
          <w:sz w:val="24"/>
          <w:szCs w:val="24"/>
          <w:lang w:val="uk-UA"/>
          <w14:ligatures w14:val="none"/>
        </w:rPr>
        <w:t>Balkan Journal of Interdisciplinary Research, 1</w:t>
      </w:r>
      <w:r w:rsidRPr="00B44B71">
        <w:rPr>
          <w:rFonts w:ascii="Times New Roman" w:eastAsia="Calibri" w:hAnsi="Times New Roman" w:cs="Times New Roman"/>
          <w:kern w:val="0"/>
          <w:sz w:val="24"/>
          <w:szCs w:val="24"/>
          <w:lang w:val="uk-UA"/>
          <w14:ligatures w14:val="none"/>
        </w:rPr>
        <w:t>(1), 45–58. DOI: </w:t>
      </w:r>
      <w:hyperlink r:id="rId134" w:tgtFrame="_blank" w:history="1">
        <w:r w:rsidRPr="00B44B71">
          <w:rPr>
            <w:rFonts w:ascii="Times New Roman" w:eastAsia="Calibri" w:hAnsi="Times New Roman" w:cs="Times New Roman"/>
            <w:color w:val="0563C1"/>
            <w:kern w:val="0"/>
            <w:sz w:val="24"/>
            <w:szCs w:val="24"/>
            <w:u w:val="single"/>
            <w:lang w:val="uk-UA"/>
            <w14:ligatures w14:val="none"/>
          </w:rPr>
          <w:t>https://doi.org/10.2478/bjir-2025-0006</w:t>
        </w:r>
      </w:hyperlink>
      <w:r w:rsidRPr="00B44B71">
        <w:rPr>
          <w:rFonts w:ascii="Times New Roman" w:eastAsia="Calibri" w:hAnsi="Times New Roman" w:cs="Times New Roman"/>
          <w:kern w:val="0"/>
          <w:sz w:val="24"/>
          <w:szCs w:val="24"/>
          <w:lang w:val="uk-UA"/>
          <w14:ligatures w14:val="none"/>
        </w:rPr>
        <w:t>.</w:t>
      </w:r>
    </w:p>
    <w:p w14:paraId="7C88E157"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Main Department of Doctrine and Training of the General Staff of the Armed Forces of Ukraine. (2020). </w:t>
      </w:r>
      <w:r w:rsidRPr="00B44B71">
        <w:rPr>
          <w:rFonts w:ascii="Times New Roman" w:eastAsia="Calibri" w:hAnsi="Times New Roman" w:cs="Times New Roman"/>
          <w:i/>
          <w:iCs/>
          <w:kern w:val="0"/>
          <w:sz w:val="24"/>
          <w:szCs w:val="24"/>
          <w:lang w:val="uk-UA"/>
          <w14:ligatures w14:val="none"/>
        </w:rPr>
        <w:t>Doktryna rozvytku viiskovoho liderstva u Zbroinykh sylakh Ukrainy</w:t>
      </w:r>
      <w:r w:rsidRPr="00B44B71">
        <w:rPr>
          <w:rFonts w:ascii="Times New Roman" w:eastAsia="Calibri" w:hAnsi="Times New Roman" w:cs="Times New Roman"/>
          <w:kern w:val="0"/>
          <w:sz w:val="24"/>
          <w:szCs w:val="24"/>
          <w:lang w:val="uk-UA"/>
          <w14:ligatures w14:val="none"/>
        </w:rPr>
        <w:t> [Doctrine of military leadership development in the Armed Forces of Ukraine]. Retrieved from: </w:t>
      </w:r>
      <w:hyperlink r:id="rId135" w:tgtFrame="_blank" w:history="1">
        <w:r w:rsidRPr="00B44B71">
          <w:rPr>
            <w:rFonts w:ascii="Times New Roman" w:eastAsia="Calibri" w:hAnsi="Times New Roman" w:cs="Times New Roman"/>
            <w:color w:val="0563C1"/>
            <w:kern w:val="0"/>
            <w:sz w:val="24"/>
            <w:szCs w:val="24"/>
            <w:u w:val="single"/>
            <w:lang w:val="uk-UA"/>
            <w14:ligatures w14:val="none"/>
          </w:rPr>
          <w:t>https://kzmi.mil.gov.ua/images/stories/public_info/Doktryna_rozvytku_viysokovoho_liderstva_v_ZSU.pdf</w:t>
        </w:r>
      </w:hyperlink>
      <w:r w:rsidRPr="00B44B71">
        <w:rPr>
          <w:rFonts w:ascii="Times New Roman" w:eastAsia="Calibri" w:hAnsi="Times New Roman" w:cs="Times New Roman"/>
          <w:kern w:val="0"/>
          <w:sz w:val="24"/>
          <w:szCs w:val="24"/>
          <w:lang w:val="uk-UA"/>
          <w14:ligatures w14:val="none"/>
        </w:rPr>
        <w:t>.</w:t>
      </w:r>
    </w:p>
    <w:p w14:paraId="2A39B427"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Ministry of Defence (United Kingdom). (2021). </w:t>
      </w:r>
      <w:r w:rsidRPr="00B44B71">
        <w:rPr>
          <w:rFonts w:ascii="Times New Roman" w:eastAsia="Calibri" w:hAnsi="Times New Roman" w:cs="Times New Roman"/>
          <w:i/>
          <w:iCs/>
          <w:kern w:val="0"/>
          <w:sz w:val="24"/>
          <w:szCs w:val="24"/>
          <w:lang w:val="uk-UA"/>
          <w14:ligatures w14:val="none"/>
        </w:rPr>
        <w:t>Army leadership doctrine</w:t>
      </w:r>
      <w:r w:rsidRPr="00B44B71">
        <w:rPr>
          <w:rFonts w:ascii="Times New Roman" w:eastAsia="Calibri" w:hAnsi="Times New Roman" w:cs="Times New Roman"/>
          <w:kern w:val="0"/>
          <w:sz w:val="24"/>
          <w:szCs w:val="24"/>
          <w:lang w:val="uk-UA"/>
          <w14:ligatures w14:val="none"/>
        </w:rPr>
        <w:t>. Retrieved from: </w:t>
      </w:r>
      <w:hyperlink r:id="rId136" w:tgtFrame="_blank" w:history="1">
        <w:r w:rsidRPr="00B44B71">
          <w:rPr>
            <w:rFonts w:ascii="Times New Roman" w:eastAsia="Calibri" w:hAnsi="Times New Roman" w:cs="Times New Roman"/>
            <w:color w:val="0563C1"/>
            <w:kern w:val="0"/>
            <w:sz w:val="24"/>
            <w:szCs w:val="24"/>
            <w:u w:val="single"/>
            <w:lang w:val="uk-UA"/>
            <w14:ligatures w14:val="none"/>
          </w:rPr>
          <w:t>https://www.army.mod.uk/media/24335/20210923_army-leadership-doctrine-web_final.pdf</w:t>
        </w:r>
      </w:hyperlink>
      <w:r w:rsidRPr="00B44B71">
        <w:rPr>
          <w:rFonts w:ascii="Times New Roman" w:eastAsia="Calibri" w:hAnsi="Times New Roman" w:cs="Times New Roman"/>
          <w:kern w:val="0"/>
          <w:sz w:val="24"/>
          <w:szCs w:val="24"/>
          <w:lang w:val="uk-UA"/>
          <w14:ligatures w14:val="none"/>
        </w:rPr>
        <w:t>.</w:t>
      </w:r>
    </w:p>
    <w:p w14:paraId="02C1053A"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Navas-Jiménez, M., Rico, R., Molero, F., &amp; Alcover, C. (2024). Secure base leadership in military training: enhancing organizational identification and resilience among cadets. </w:t>
      </w:r>
      <w:r w:rsidRPr="00B44B71">
        <w:rPr>
          <w:rFonts w:ascii="Times New Roman" w:eastAsia="Calibri" w:hAnsi="Times New Roman" w:cs="Times New Roman"/>
          <w:i/>
          <w:iCs/>
          <w:kern w:val="0"/>
          <w:sz w:val="24"/>
          <w:szCs w:val="24"/>
          <w:lang w:val="uk-UA"/>
          <w14:ligatures w14:val="none"/>
        </w:rPr>
        <w:t>Frontiers in Psychology, 15</w:t>
      </w:r>
      <w:r w:rsidRPr="00B44B71">
        <w:rPr>
          <w:rFonts w:ascii="Times New Roman" w:eastAsia="Calibri" w:hAnsi="Times New Roman" w:cs="Times New Roman"/>
          <w:kern w:val="0"/>
          <w:sz w:val="24"/>
          <w:szCs w:val="24"/>
          <w:lang w:val="uk-UA"/>
          <w14:ligatures w14:val="none"/>
        </w:rPr>
        <w:t>, Article 1401574. DOI: </w:t>
      </w:r>
      <w:hyperlink r:id="rId137" w:tgtFrame="_blank" w:history="1">
        <w:r w:rsidRPr="00B44B71">
          <w:rPr>
            <w:rFonts w:ascii="Times New Roman" w:eastAsia="Calibri" w:hAnsi="Times New Roman" w:cs="Times New Roman"/>
            <w:color w:val="0563C1"/>
            <w:kern w:val="0"/>
            <w:sz w:val="24"/>
            <w:szCs w:val="24"/>
            <w:u w:val="single"/>
            <w:lang w:val="uk-UA"/>
            <w14:ligatures w14:val="none"/>
          </w:rPr>
          <w:t>https://doi.org/10.3389/fpsyg.2024.1401574</w:t>
        </w:r>
      </w:hyperlink>
      <w:r w:rsidRPr="00B44B71">
        <w:rPr>
          <w:rFonts w:ascii="Times New Roman" w:eastAsia="Calibri" w:hAnsi="Times New Roman" w:cs="Times New Roman"/>
          <w:kern w:val="0"/>
          <w:sz w:val="24"/>
          <w:szCs w:val="24"/>
          <w:lang w:val="uk-UA"/>
          <w14:ligatures w14:val="none"/>
        </w:rPr>
        <w:t>.</w:t>
      </w:r>
    </w:p>
    <w:p w14:paraId="41F2395E"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Piren, M. (2012). </w:t>
      </w:r>
      <w:r w:rsidRPr="00B44B71">
        <w:rPr>
          <w:rFonts w:ascii="Times New Roman" w:eastAsia="Calibri" w:hAnsi="Times New Roman" w:cs="Times New Roman"/>
          <w:i/>
          <w:iCs/>
          <w:kern w:val="0"/>
          <w:sz w:val="24"/>
          <w:szCs w:val="24"/>
          <w:lang w:val="uk-UA"/>
          <w14:ligatures w14:val="none"/>
        </w:rPr>
        <w:t>Liderstvo: sutnist ta realizatsiia v ukrainskomu suspilstvi</w:t>
      </w:r>
      <w:r w:rsidRPr="00B44B71">
        <w:rPr>
          <w:rFonts w:ascii="Times New Roman" w:eastAsia="Calibri" w:hAnsi="Times New Roman" w:cs="Times New Roman"/>
          <w:kern w:val="0"/>
          <w:sz w:val="24"/>
          <w:szCs w:val="24"/>
          <w:lang w:val="uk-UA"/>
          <w14:ligatures w14:val="none"/>
        </w:rPr>
        <w:t> [Leadership: essence and implementation in Ukrainian society]. Universytet "Ukraina".</w:t>
      </w:r>
    </w:p>
    <w:p w14:paraId="048FA6F1"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Poltieva, N. (2023). Psykholohichni zasady rozvytku liderstva u komandyriv viiskovykh pidrozdiliv ZS Ukrainy [Psychological principles of leadership development in commanders of military units of the Armed Forces of Ukraine]. </w:t>
      </w:r>
      <w:r w:rsidRPr="00B44B71">
        <w:rPr>
          <w:rFonts w:ascii="Times New Roman" w:eastAsia="Calibri" w:hAnsi="Times New Roman" w:cs="Times New Roman"/>
          <w:i/>
          <w:iCs/>
          <w:kern w:val="0"/>
          <w:sz w:val="24"/>
          <w:szCs w:val="24"/>
          <w:lang w:val="uk-UA"/>
          <w14:ligatures w14:val="none"/>
        </w:rPr>
        <w:t>Visnyk Natsionalnoho universytetu oborony Ukrainy, 2</w:t>
      </w:r>
      <w:r w:rsidRPr="00B44B71">
        <w:rPr>
          <w:rFonts w:ascii="Times New Roman" w:eastAsia="Calibri" w:hAnsi="Times New Roman" w:cs="Times New Roman"/>
          <w:kern w:val="0"/>
          <w:sz w:val="24"/>
          <w:szCs w:val="24"/>
          <w:lang w:val="uk-UA"/>
          <w14:ligatures w14:val="none"/>
        </w:rPr>
        <w:t>(72), 103–112. DOI: </w:t>
      </w:r>
      <w:hyperlink r:id="rId138" w:tgtFrame="_blank" w:history="1">
        <w:r w:rsidRPr="00B44B71">
          <w:rPr>
            <w:rFonts w:ascii="Times New Roman" w:eastAsia="Calibri" w:hAnsi="Times New Roman" w:cs="Times New Roman"/>
            <w:color w:val="0563C1"/>
            <w:kern w:val="0"/>
            <w:sz w:val="24"/>
            <w:szCs w:val="24"/>
            <w:u w:val="single"/>
            <w:lang w:val="uk-UA"/>
            <w14:ligatures w14:val="none"/>
          </w:rPr>
          <w:t>https://doi.org/10.33099/2617-6858-2023-72-2-103-112</w:t>
        </w:r>
      </w:hyperlink>
      <w:r w:rsidRPr="00B44B71">
        <w:rPr>
          <w:rFonts w:ascii="Times New Roman" w:eastAsia="Calibri" w:hAnsi="Times New Roman" w:cs="Times New Roman"/>
          <w:kern w:val="0"/>
          <w:sz w:val="24"/>
          <w:szCs w:val="24"/>
          <w:lang w:val="uk-UA"/>
          <w14:ligatures w14:val="none"/>
        </w:rPr>
        <w:t>.</w:t>
      </w:r>
    </w:p>
    <w:p w14:paraId="1604233A"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Punda, Yu., &amp; Antonenko, S. (2017). Pidhotovka stratehichnoho lidera yak investytsiia v reformuvannia systemy viiskovoho upravlinnia [Training a strategic leader as an investment in reforming the military management system]. </w:t>
      </w:r>
      <w:r w:rsidRPr="00B44B71">
        <w:rPr>
          <w:rFonts w:ascii="Times New Roman" w:eastAsia="Calibri" w:hAnsi="Times New Roman" w:cs="Times New Roman"/>
          <w:i/>
          <w:iCs/>
          <w:kern w:val="0"/>
          <w:sz w:val="24"/>
          <w:szCs w:val="24"/>
          <w:lang w:val="uk-UA"/>
          <w14:ligatures w14:val="none"/>
        </w:rPr>
        <w:t>Stratehichni priorytety, 4</w:t>
      </w:r>
      <w:r w:rsidRPr="00B44B71">
        <w:rPr>
          <w:rFonts w:ascii="Times New Roman" w:eastAsia="Calibri" w:hAnsi="Times New Roman" w:cs="Times New Roman"/>
          <w:kern w:val="0"/>
          <w:sz w:val="24"/>
          <w:szCs w:val="24"/>
          <w:lang w:val="uk-UA"/>
          <w14:ligatures w14:val="none"/>
        </w:rPr>
        <w:t>, 141–146.</w:t>
      </w:r>
    </w:p>
    <w:p w14:paraId="37C819F9"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lastRenderedPageBreak/>
        <w:t>Repetukha, Y. (2024). Developing future military officers' leadership competence in military academies: pedagogical techniques and conditions. </w:t>
      </w:r>
      <w:r w:rsidRPr="00B44B71">
        <w:rPr>
          <w:rFonts w:ascii="Times New Roman" w:eastAsia="Calibri" w:hAnsi="Times New Roman" w:cs="Times New Roman"/>
          <w:i/>
          <w:iCs/>
          <w:kern w:val="0"/>
          <w:sz w:val="24"/>
          <w:szCs w:val="24"/>
          <w:lang w:val="uk-UA"/>
          <w14:ligatures w14:val="none"/>
        </w:rPr>
        <w:t>Political Science and Security Studies Journal, 3</w:t>
      </w:r>
      <w:r w:rsidRPr="00B44B71">
        <w:rPr>
          <w:rFonts w:ascii="Times New Roman" w:eastAsia="Calibri" w:hAnsi="Times New Roman" w:cs="Times New Roman"/>
          <w:kern w:val="0"/>
          <w:sz w:val="24"/>
          <w:szCs w:val="24"/>
          <w:lang w:val="uk-UA"/>
          <w14:ligatures w14:val="none"/>
        </w:rPr>
        <w:t>(2), 112–121. DOI: </w:t>
      </w:r>
      <w:hyperlink r:id="rId139" w:tgtFrame="_blank" w:history="1">
        <w:r w:rsidRPr="00B44B71">
          <w:rPr>
            <w:rFonts w:ascii="Times New Roman" w:eastAsia="Calibri" w:hAnsi="Times New Roman" w:cs="Times New Roman"/>
            <w:color w:val="0563C1"/>
            <w:kern w:val="0"/>
            <w:sz w:val="24"/>
            <w:szCs w:val="24"/>
            <w:u w:val="single"/>
            <w:lang w:val="uk-UA"/>
            <w14:ligatures w14:val="none"/>
          </w:rPr>
          <w:t>https://doi.org/10.5281/zenodo.13152053</w:t>
        </w:r>
      </w:hyperlink>
      <w:r w:rsidRPr="00B44B71">
        <w:rPr>
          <w:rFonts w:ascii="Times New Roman" w:eastAsia="Calibri" w:hAnsi="Times New Roman" w:cs="Times New Roman"/>
          <w:kern w:val="0"/>
          <w:sz w:val="24"/>
          <w:szCs w:val="24"/>
          <w:lang w:val="uk-UA"/>
          <w14:ligatures w14:val="none"/>
        </w:rPr>
        <w:t>.</w:t>
      </w:r>
    </w:p>
    <w:p w14:paraId="12993E40"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Roberts, E. (2021). </w:t>
      </w:r>
      <w:r w:rsidRPr="00B44B71">
        <w:rPr>
          <w:rFonts w:ascii="Times New Roman" w:eastAsia="Calibri" w:hAnsi="Times New Roman" w:cs="Times New Roman"/>
          <w:i/>
          <w:iCs/>
          <w:kern w:val="0"/>
          <w:sz w:val="24"/>
          <w:szCs w:val="24"/>
          <w:lang w:val="uk-UA"/>
          <w14:ligatures w14:val="none"/>
        </w:rPr>
        <w:t>Liderstvo v chasy viiny. Holovni uroky vid tvortsiv istorii</w:t>
      </w:r>
      <w:r w:rsidRPr="00B44B71">
        <w:rPr>
          <w:rFonts w:ascii="Times New Roman" w:eastAsia="Calibri" w:hAnsi="Times New Roman" w:cs="Times New Roman"/>
          <w:kern w:val="0"/>
          <w:sz w:val="24"/>
          <w:szCs w:val="24"/>
          <w:lang w:val="uk-UA"/>
          <w14:ligatures w14:val="none"/>
        </w:rPr>
        <w:t> [Leadership in times of war: key lessons from the makers of history] (Ya. Voitka, Trans.). KM-BUKS.</w:t>
      </w:r>
    </w:p>
    <w:p w14:paraId="1BF5DA18"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Romanovskyi, O., &amp; Sereda, N. (2013). Osobystist suchasnoho kerivnyka v aspekti teorii dukhovnoho liderstva [The personality of a modern leader in the aspect of spiritual leadership theory]. </w:t>
      </w:r>
      <w:r w:rsidRPr="00B44B71">
        <w:rPr>
          <w:rFonts w:ascii="Times New Roman" w:eastAsia="Calibri" w:hAnsi="Times New Roman" w:cs="Times New Roman"/>
          <w:i/>
          <w:iCs/>
          <w:kern w:val="0"/>
          <w:sz w:val="24"/>
          <w:szCs w:val="24"/>
          <w:lang w:val="uk-UA"/>
          <w14:ligatures w14:val="none"/>
        </w:rPr>
        <w:t>Teoriia i praktyka upravlinnia sotsialnymy systemamy, 3</w:t>
      </w:r>
      <w:r w:rsidRPr="00B44B71">
        <w:rPr>
          <w:rFonts w:ascii="Times New Roman" w:eastAsia="Calibri" w:hAnsi="Times New Roman" w:cs="Times New Roman"/>
          <w:kern w:val="0"/>
          <w:sz w:val="24"/>
          <w:szCs w:val="24"/>
          <w:lang w:val="uk-UA"/>
          <w14:ligatures w14:val="none"/>
        </w:rPr>
        <w:t>, 20–27.</w:t>
      </w:r>
    </w:p>
    <w:p w14:paraId="41BC9114"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Ryndin, Yu. (2024). Rivni viiskovoho liderstva u pidhotovtsi maibutnikh ofitseriv rozvidky [Levels of military leadership in the training of future intelligence officers]. In </w:t>
      </w:r>
      <w:r w:rsidRPr="00B44B71">
        <w:rPr>
          <w:rFonts w:ascii="Times New Roman" w:eastAsia="Calibri" w:hAnsi="Times New Roman" w:cs="Times New Roman"/>
          <w:i/>
          <w:iCs/>
          <w:kern w:val="0"/>
          <w:sz w:val="24"/>
          <w:szCs w:val="24"/>
          <w:lang w:val="uk-UA"/>
          <w14:ligatures w14:val="none"/>
        </w:rPr>
        <w:t>Psykholoho-pedahohichni problemy vyshchoi i serednoi osvity v umovakh suchasnykh vyklykiv: teoriia i praktyka</w:t>
      </w:r>
      <w:r w:rsidRPr="00B44B71">
        <w:rPr>
          <w:rFonts w:ascii="Times New Roman" w:eastAsia="Calibri" w:hAnsi="Times New Roman" w:cs="Times New Roman"/>
          <w:kern w:val="0"/>
          <w:sz w:val="24"/>
          <w:szCs w:val="24"/>
          <w:lang w:val="uk-UA"/>
          <w14:ligatures w14:val="none"/>
        </w:rPr>
        <w:t> (pp. 357–361). Kharkiv National Pedagogical University named after H. S. Skovoroda.</w:t>
      </w:r>
    </w:p>
    <w:p w14:paraId="7A16753E"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Teixeira, J. (2024). Empowering leadership in the military: pros and cons. </w:t>
      </w:r>
      <w:r w:rsidRPr="00B44B71">
        <w:rPr>
          <w:rFonts w:ascii="Times New Roman" w:eastAsia="Calibri" w:hAnsi="Times New Roman" w:cs="Times New Roman"/>
          <w:i/>
          <w:iCs/>
          <w:kern w:val="0"/>
          <w:sz w:val="24"/>
          <w:szCs w:val="24"/>
          <w:lang w:val="uk-UA"/>
          <w14:ligatures w14:val="none"/>
        </w:rPr>
        <w:t>Administrative Sciences, 14</w:t>
      </w:r>
      <w:r w:rsidRPr="00B44B71">
        <w:rPr>
          <w:rFonts w:ascii="Times New Roman" w:eastAsia="Calibri" w:hAnsi="Times New Roman" w:cs="Times New Roman"/>
          <w:kern w:val="0"/>
          <w:sz w:val="24"/>
          <w:szCs w:val="24"/>
          <w:lang w:val="uk-UA"/>
          <w14:ligatures w14:val="none"/>
        </w:rPr>
        <w:t>(4), Article 26. DOI: </w:t>
      </w:r>
      <w:hyperlink r:id="rId140" w:tgtFrame="_blank" w:history="1">
        <w:r w:rsidRPr="00B44B71">
          <w:rPr>
            <w:rFonts w:ascii="Times New Roman" w:eastAsia="Calibri" w:hAnsi="Times New Roman" w:cs="Times New Roman"/>
            <w:color w:val="0563C1"/>
            <w:kern w:val="0"/>
            <w:sz w:val="24"/>
            <w:szCs w:val="24"/>
            <w:u w:val="single"/>
            <w:lang w:val="uk-UA"/>
            <w14:ligatures w14:val="none"/>
          </w:rPr>
          <w:t>https://doi.org/10.3390/admsci14040026</w:t>
        </w:r>
      </w:hyperlink>
      <w:r w:rsidRPr="00B44B71">
        <w:rPr>
          <w:rFonts w:ascii="Times New Roman" w:eastAsia="Calibri" w:hAnsi="Times New Roman" w:cs="Times New Roman"/>
          <w:kern w:val="0"/>
          <w:sz w:val="24"/>
          <w:szCs w:val="24"/>
          <w:lang w:val="uk-UA"/>
          <w14:ligatures w14:val="none"/>
        </w:rPr>
        <w:t>.</w:t>
      </w:r>
    </w:p>
    <w:p w14:paraId="4A9CC894"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Tkach, P. (2021). Poniattia viiskovoho liderstva v konteksti stratehichnykh komunikatsii Natsionalnoi hvardii Ukrainy [The concept of military leadership in the context of strategic communications of the National Guard of Ukraine]. </w:t>
      </w:r>
      <w:r w:rsidRPr="00B44B71">
        <w:rPr>
          <w:rFonts w:ascii="Times New Roman" w:eastAsia="Calibri" w:hAnsi="Times New Roman" w:cs="Times New Roman"/>
          <w:i/>
          <w:iCs/>
          <w:kern w:val="0"/>
          <w:sz w:val="24"/>
          <w:szCs w:val="24"/>
          <w:lang w:val="uk-UA"/>
          <w14:ligatures w14:val="none"/>
        </w:rPr>
        <w:t>Zbirnyk naukovykh prats Natsionalnoi akademii Natsionalnoi hvardii Ukrainy, 1</w:t>
      </w:r>
      <w:r w:rsidRPr="00B44B71">
        <w:rPr>
          <w:rFonts w:ascii="Times New Roman" w:eastAsia="Calibri" w:hAnsi="Times New Roman" w:cs="Times New Roman"/>
          <w:kern w:val="0"/>
          <w:sz w:val="24"/>
          <w:szCs w:val="24"/>
          <w:lang w:val="uk-UA"/>
          <w14:ligatures w14:val="none"/>
        </w:rPr>
        <w:t>(37), 25–31. DOI: </w:t>
      </w:r>
      <w:hyperlink r:id="rId141" w:tgtFrame="_blank" w:history="1">
        <w:r w:rsidRPr="00B44B71">
          <w:rPr>
            <w:rFonts w:ascii="Times New Roman" w:eastAsia="Calibri" w:hAnsi="Times New Roman" w:cs="Times New Roman"/>
            <w:color w:val="0563C1"/>
            <w:kern w:val="0"/>
            <w:sz w:val="24"/>
            <w:szCs w:val="24"/>
            <w:u w:val="single"/>
            <w:lang w:val="uk-UA"/>
            <w14:ligatures w14:val="none"/>
          </w:rPr>
          <w:t>https://doi.org/10.33405/2409-7470/2021/1/37/237822</w:t>
        </w:r>
      </w:hyperlink>
      <w:r w:rsidRPr="00B44B71">
        <w:rPr>
          <w:rFonts w:ascii="Times New Roman" w:eastAsia="Calibri" w:hAnsi="Times New Roman" w:cs="Times New Roman"/>
          <w:kern w:val="0"/>
          <w:sz w:val="24"/>
          <w:szCs w:val="24"/>
          <w:lang w:val="uk-UA"/>
          <w14:ligatures w14:val="none"/>
        </w:rPr>
        <w:t>.</w:t>
      </w:r>
    </w:p>
    <w:p w14:paraId="7BC7B5BF"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Uvarkina, O., &amp; Puchkov, O. (2022). Imanentnist liderstva suchasnoho viiskovoho yak rezultat intehratsii v yevroatlantychnyi bezpekovyi prostir [Immanence of leadership of a modern serviceman as a result of integration into the Euro-Atlantic security space]. In </w:t>
      </w:r>
      <w:r w:rsidRPr="00B44B71">
        <w:rPr>
          <w:rFonts w:ascii="Times New Roman" w:eastAsia="Calibri" w:hAnsi="Times New Roman" w:cs="Times New Roman"/>
          <w:i/>
          <w:iCs/>
          <w:kern w:val="0"/>
          <w:sz w:val="24"/>
          <w:szCs w:val="24"/>
          <w:lang w:val="uk-UA"/>
          <w14:ligatures w14:val="none"/>
        </w:rPr>
        <w:t>The security architecture of European and Euro-Atlantic spaces</w:t>
      </w:r>
      <w:r w:rsidRPr="00B44B71">
        <w:rPr>
          <w:rFonts w:ascii="Times New Roman" w:eastAsia="Calibri" w:hAnsi="Times New Roman" w:cs="Times New Roman"/>
          <w:kern w:val="0"/>
          <w:sz w:val="24"/>
          <w:szCs w:val="24"/>
          <w:lang w:val="uk-UA"/>
          <w14:ligatures w14:val="none"/>
        </w:rPr>
        <w:t> (pp. 230–243). Baltija Publishing. DOI: </w:t>
      </w:r>
      <w:hyperlink r:id="rId142" w:tgtFrame="_blank" w:history="1">
        <w:r w:rsidRPr="00B44B71">
          <w:rPr>
            <w:rFonts w:ascii="Times New Roman" w:eastAsia="Calibri" w:hAnsi="Times New Roman" w:cs="Times New Roman"/>
            <w:color w:val="0563C1"/>
            <w:kern w:val="0"/>
            <w:sz w:val="24"/>
            <w:szCs w:val="24"/>
            <w:u w:val="single"/>
            <w:lang w:val="uk-UA"/>
            <w14:ligatures w14:val="none"/>
          </w:rPr>
          <w:t>https://doi.org/10.30525/978-9934-26-225-8-17</w:t>
        </w:r>
      </w:hyperlink>
      <w:r w:rsidRPr="00B44B71">
        <w:rPr>
          <w:rFonts w:ascii="Times New Roman" w:eastAsia="Calibri" w:hAnsi="Times New Roman" w:cs="Times New Roman"/>
          <w:kern w:val="0"/>
          <w:sz w:val="24"/>
          <w:szCs w:val="24"/>
          <w:lang w:val="uk-UA"/>
          <w14:ligatures w14:val="none"/>
        </w:rPr>
        <w:t>.</w:t>
      </w:r>
    </w:p>
    <w:p w14:paraId="37945460"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Volobuev, V., Veretilnyk, V., &amp; Hnydiuk, O. (2024). Viiskove liderstvo u XXI stolitti: vid tradytsiinykh modelei do adaptyvnykh stratehii [Military leadership in the 21st century: from traditional models to adaptive strategies]. </w:t>
      </w:r>
      <w:r w:rsidRPr="00B44B71">
        <w:rPr>
          <w:rFonts w:ascii="Times New Roman" w:eastAsia="Calibri" w:hAnsi="Times New Roman" w:cs="Times New Roman"/>
          <w:i/>
          <w:iCs/>
          <w:kern w:val="0"/>
          <w:sz w:val="24"/>
          <w:szCs w:val="24"/>
          <w:lang w:val="uk-UA"/>
          <w14:ligatures w14:val="none"/>
        </w:rPr>
        <w:t>Zbirnyk naukovykh prats Natsionalnoi akademii derzhavnoi prykordonnoi sluzhby Ukrainy. Seriia: viiskovi ta tekhnichni nauky, 4</w:t>
      </w:r>
      <w:r w:rsidRPr="00B44B71">
        <w:rPr>
          <w:rFonts w:ascii="Times New Roman" w:eastAsia="Calibri" w:hAnsi="Times New Roman" w:cs="Times New Roman"/>
          <w:kern w:val="0"/>
          <w:sz w:val="24"/>
          <w:szCs w:val="24"/>
          <w:lang w:val="uk-UA"/>
          <w14:ligatures w14:val="none"/>
        </w:rPr>
        <w:t>(97), 16–30. DOI: </w:t>
      </w:r>
      <w:hyperlink r:id="rId143" w:tgtFrame="_blank" w:history="1">
        <w:r w:rsidRPr="00B44B71">
          <w:rPr>
            <w:rFonts w:ascii="Times New Roman" w:eastAsia="Calibri" w:hAnsi="Times New Roman" w:cs="Times New Roman"/>
            <w:color w:val="0563C1"/>
            <w:kern w:val="0"/>
            <w:sz w:val="24"/>
            <w:szCs w:val="24"/>
            <w:u w:val="single"/>
            <w:lang w:val="uk-UA"/>
            <w14:ligatures w14:val="none"/>
          </w:rPr>
          <w:t>https://doi.org/10.32453/3.v97i4.1772</w:t>
        </w:r>
      </w:hyperlink>
      <w:r w:rsidRPr="00B44B71">
        <w:rPr>
          <w:rFonts w:ascii="Times New Roman" w:eastAsia="Calibri" w:hAnsi="Times New Roman" w:cs="Times New Roman"/>
          <w:kern w:val="0"/>
          <w:sz w:val="24"/>
          <w:szCs w:val="24"/>
          <w:lang w:val="uk-UA"/>
          <w14:ligatures w14:val="none"/>
        </w:rPr>
        <w:t>.</w:t>
      </w:r>
    </w:p>
    <w:p w14:paraId="5075C79B"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Willink, J. (2021). </w:t>
      </w:r>
      <w:r w:rsidRPr="00B44B71">
        <w:rPr>
          <w:rFonts w:ascii="Times New Roman" w:eastAsia="Calibri" w:hAnsi="Times New Roman" w:cs="Times New Roman"/>
          <w:i/>
          <w:iCs/>
          <w:kern w:val="0"/>
          <w:sz w:val="24"/>
          <w:szCs w:val="24"/>
          <w:lang w:val="uk-UA"/>
          <w14:ligatures w14:val="none"/>
        </w:rPr>
        <w:t>Stratehiia i taktyka liderstva</w:t>
      </w:r>
      <w:r w:rsidRPr="00B44B71">
        <w:rPr>
          <w:rFonts w:ascii="Times New Roman" w:eastAsia="Calibri" w:hAnsi="Times New Roman" w:cs="Times New Roman"/>
          <w:kern w:val="0"/>
          <w:sz w:val="24"/>
          <w:szCs w:val="24"/>
          <w:lang w:val="uk-UA"/>
          <w14:ligatures w14:val="none"/>
        </w:rPr>
        <w:t> [Leadership strategy and tactics] (L. Pylaieva, Trans.). Book Chef.</w:t>
      </w:r>
    </w:p>
    <w:p w14:paraId="51777241"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Zaitsev, D., Shevchuk, V., &amp; Melnyk, Ya. (2025). Orhanizatsiino-pravovi zasady rozvytku viiskovoho liderstva u Zbroinykh sylakh Ukrainy [Organizational and legal principles of military leadership development in the Armed Forces of Ukraine]. *Analitychno-porivnialne pravoznavstvo, 4*, 192–198. DOI: </w:t>
      </w:r>
      <w:hyperlink r:id="rId144" w:tgtFrame="_blank" w:history="1">
        <w:r w:rsidRPr="00B44B71">
          <w:rPr>
            <w:rFonts w:ascii="Times New Roman" w:eastAsia="Calibri" w:hAnsi="Times New Roman" w:cs="Times New Roman"/>
            <w:color w:val="0563C1"/>
            <w:kern w:val="0"/>
            <w:sz w:val="24"/>
            <w:szCs w:val="24"/>
            <w:u w:val="single"/>
            <w:lang w:val="uk-UA"/>
            <w14:ligatures w14:val="none"/>
          </w:rPr>
          <w:t>https://doi.org/10.24144/2788-6018.2025.04.1.31</w:t>
        </w:r>
      </w:hyperlink>
      <w:r w:rsidRPr="00B44B71">
        <w:rPr>
          <w:rFonts w:ascii="Times New Roman" w:eastAsia="Calibri" w:hAnsi="Times New Roman" w:cs="Times New Roman"/>
          <w:kern w:val="0"/>
          <w:sz w:val="24"/>
          <w:szCs w:val="24"/>
          <w:lang w:val="uk-UA"/>
          <w14:ligatures w14:val="none"/>
        </w:rPr>
        <w:t>.</w:t>
      </w:r>
    </w:p>
    <w:p w14:paraId="6E67057F" w14:textId="77777777" w:rsidR="00B44B71" w:rsidRPr="00B44B71" w:rsidRDefault="00B44B71" w:rsidP="00023291">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Zaluzhnyi, V., Nazarov, V., &amp; Hryshchuk, R. (2023). Systema viiskovoho liderstva u Zbroinykh Sylakh Ukrainy: problemni pytannia ta shliakhy yikh vyrishennia [The military leadership system in the Armed Forces of Ukraine: problematic issues and ways to solve them]. </w:t>
      </w:r>
      <w:r w:rsidRPr="00B44B71">
        <w:rPr>
          <w:rFonts w:ascii="Times New Roman" w:eastAsia="Calibri" w:hAnsi="Times New Roman" w:cs="Times New Roman"/>
          <w:i/>
          <w:iCs/>
          <w:kern w:val="0"/>
          <w:sz w:val="24"/>
          <w:szCs w:val="24"/>
          <w:lang w:val="uk-UA"/>
          <w14:ligatures w14:val="none"/>
        </w:rPr>
        <w:t>Military Science, 1</w:t>
      </w:r>
      <w:r w:rsidRPr="00B44B71">
        <w:rPr>
          <w:rFonts w:ascii="Times New Roman" w:eastAsia="Calibri" w:hAnsi="Times New Roman" w:cs="Times New Roman"/>
          <w:kern w:val="0"/>
          <w:sz w:val="24"/>
          <w:szCs w:val="24"/>
          <w:lang w:val="uk-UA"/>
          <w14:ligatures w14:val="none"/>
        </w:rPr>
        <w:t>(1), 6–17. DOI: </w:t>
      </w:r>
      <w:hyperlink r:id="rId145" w:tgtFrame="_blank" w:history="1">
        <w:r w:rsidRPr="00B44B71">
          <w:rPr>
            <w:rFonts w:ascii="Times New Roman" w:eastAsia="Calibri" w:hAnsi="Times New Roman" w:cs="Times New Roman"/>
            <w:color w:val="0563C1"/>
            <w:kern w:val="0"/>
            <w:sz w:val="24"/>
            <w:szCs w:val="24"/>
            <w:u w:val="single"/>
            <w:lang w:val="uk-UA"/>
            <w14:ligatures w14:val="none"/>
          </w:rPr>
          <w:t>https://doi.org/10.62524/msj.2023.1.1.01</w:t>
        </w:r>
      </w:hyperlink>
      <w:r w:rsidRPr="00B44B71">
        <w:rPr>
          <w:rFonts w:ascii="Times New Roman" w:eastAsia="Calibri" w:hAnsi="Times New Roman" w:cs="Times New Roman"/>
          <w:kern w:val="0"/>
          <w:sz w:val="24"/>
          <w:szCs w:val="24"/>
          <w:lang w:val="uk-UA"/>
          <w14:ligatures w14:val="none"/>
        </w:rPr>
        <w:t>.</w:t>
      </w:r>
    </w:p>
    <w:p w14:paraId="2D2DAB0D" w14:textId="20922BB7" w:rsidR="00B44B71" w:rsidRPr="00B44B71" w:rsidRDefault="00B44B71" w:rsidP="00B117D5">
      <w:pPr>
        <w:tabs>
          <w:tab w:val="left" w:pos="9638"/>
        </w:tabs>
        <w:spacing w:after="0" w:line="264"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Zaruba, O. (2018). </w:t>
      </w:r>
      <w:r w:rsidRPr="00B44B71">
        <w:rPr>
          <w:rFonts w:ascii="Times New Roman" w:eastAsia="Calibri" w:hAnsi="Times New Roman" w:cs="Times New Roman"/>
          <w:i/>
          <w:iCs/>
          <w:kern w:val="0"/>
          <w:sz w:val="24"/>
          <w:szCs w:val="24"/>
          <w:lang w:val="uk-UA"/>
          <w14:ligatures w14:val="none"/>
        </w:rPr>
        <w:t>Liderstvo u vyshchykh viiskovykh navchalnykh zakladakh: modeli ta prohramy pidhotovky</w:t>
      </w:r>
      <w:r w:rsidRPr="00B44B71">
        <w:rPr>
          <w:rFonts w:ascii="Times New Roman" w:eastAsia="Calibri" w:hAnsi="Times New Roman" w:cs="Times New Roman"/>
          <w:kern w:val="0"/>
          <w:sz w:val="24"/>
          <w:szCs w:val="24"/>
          <w:lang w:val="uk-UA"/>
          <w14:ligatures w14:val="none"/>
        </w:rPr>
        <w:t> [Leadership in higher military educational institutions: models and training programs]. Informatsiina bezpeka liudyny, suspilstva, derzhavy. Retrieved from: </w:t>
      </w:r>
      <w:hyperlink r:id="rId146" w:tgtFrame="_blank" w:history="1">
        <w:r w:rsidRPr="00B44B71">
          <w:rPr>
            <w:rFonts w:ascii="Times New Roman" w:eastAsia="Calibri" w:hAnsi="Times New Roman" w:cs="Times New Roman"/>
            <w:color w:val="0563C1"/>
            <w:kern w:val="0"/>
            <w:sz w:val="24"/>
            <w:szCs w:val="24"/>
            <w:u w:val="single"/>
            <w:lang w:val="uk-UA"/>
            <w14:ligatures w14:val="none"/>
          </w:rPr>
          <w:t>http://www.academy.ssu.gov.ua/ua/page/page_1581428857.htm</w:t>
        </w:r>
      </w:hyperlink>
      <w:r w:rsidRPr="00B44B71">
        <w:rPr>
          <w:rFonts w:ascii="Times New Roman" w:eastAsia="Calibri" w:hAnsi="Times New Roman" w:cs="Times New Roman"/>
          <w:kern w:val="0"/>
          <w:sz w:val="24"/>
          <w:szCs w:val="24"/>
          <w:lang w:val="uk-UA"/>
          <w14:ligatures w14:val="none"/>
        </w:rPr>
        <w:t>.</w:t>
      </w:r>
    </w:p>
    <w:p w14:paraId="4C07CDD1"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надійшов до редакції 01.04.2026</w:t>
      </w:r>
    </w:p>
    <w:p w14:paraId="626FA3D4"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прийнято до друку після рецензування 21.04.2026</w:t>
      </w:r>
    </w:p>
    <w:p w14:paraId="6FECD687"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Дата публікації 25.05.2026</w:t>
      </w:r>
    </w:p>
    <w:p w14:paraId="09EA4F7C" w14:textId="2704B996" w:rsidR="00B71868" w:rsidRPr="00B44B71" w:rsidRDefault="00B117D5" w:rsidP="00B71868">
      <w:pPr>
        <w:tabs>
          <w:tab w:val="left" w:pos="9638"/>
        </w:tabs>
        <w:spacing w:after="0" w:line="240" w:lineRule="auto"/>
        <w:rPr>
          <w:rFonts w:ascii="Times New Roman" w:eastAsia="Calibri" w:hAnsi="Times New Roman" w:cs="Times New Roman"/>
          <w:b/>
          <w:kern w:val="0"/>
          <w:sz w:val="24"/>
          <w:szCs w:val="24"/>
          <w:lang w:val="uk-UA"/>
          <w14:ligatures w14:val="none"/>
        </w:rPr>
      </w:pPr>
      <w:r>
        <w:rPr>
          <w:rFonts w:ascii="Times New Roman" w:eastAsia="Times New Roman" w:hAnsi="Times New Roman" w:cs="Times New Roman"/>
          <w:kern w:val="0"/>
          <w:sz w:val="28"/>
          <w:szCs w:val="28"/>
          <w:lang w:val="uk-UA" w:eastAsia="ru-RU"/>
          <w14:ligatures w14:val="none"/>
        </w:rPr>
        <w:br w:type="column"/>
      </w:r>
      <w:r w:rsidR="00DB3AB6" w:rsidRPr="00B44B71">
        <w:rPr>
          <w:rFonts w:ascii="Times New Roman" w:eastAsia="Times New Roman" w:hAnsi="Times New Roman" w:cs="Times New Roman"/>
          <w:kern w:val="0"/>
          <w:sz w:val="23"/>
          <w:szCs w:val="23"/>
          <w:lang w:val="uk-UA" w:eastAsia="ru-RU"/>
          <w14:ligatures w14:val="none"/>
        </w:rPr>
        <w:lastRenderedPageBreak/>
        <w:t>ISSN: 2617-1775</w:t>
      </w:r>
      <w:r w:rsidR="00DB3AB6" w:rsidRPr="00E4040F">
        <w:rPr>
          <w:rFonts w:ascii="Times New Roman" w:eastAsia="Calibri" w:hAnsi="Times New Roman" w:cs="Times New Roman"/>
          <w:b/>
          <w:kern w:val="0"/>
          <w:sz w:val="24"/>
          <w:szCs w:val="24"/>
          <w:lang w:val="uk-UA"/>
          <w14:ligatures w14:val="none"/>
        </w:rPr>
        <w:t xml:space="preserve"> </w:t>
      </w:r>
      <w:r w:rsidR="00DB3AB6" w:rsidRPr="006F5634">
        <w:rPr>
          <w:rFonts w:ascii="Times New Roman" w:eastAsia="Calibri" w:hAnsi="Times New Roman" w:cs="Times New Roman"/>
          <w:b/>
          <w:kern w:val="0"/>
          <w:sz w:val="24"/>
          <w:szCs w:val="24"/>
          <w:lang w:val="uk-UA"/>
          <w14:ligatures w14:val="none"/>
        </w:rPr>
        <w:t xml:space="preserve">                                                                      </w:t>
      </w:r>
      <w:r w:rsidR="00B71868" w:rsidRPr="00B71868">
        <w:rPr>
          <w:rFonts w:ascii="Times New Roman" w:eastAsia="Calibri" w:hAnsi="Times New Roman" w:cs="Times New Roman"/>
          <w:b/>
          <w:kern w:val="0"/>
          <w:sz w:val="24"/>
          <w:szCs w:val="24"/>
          <w:lang w:val="uk-UA"/>
          <w14:ligatures w14:val="none"/>
        </w:rPr>
        <w:t xml:space="preserve">  </w:t>
      </w:r>
      <w:r w:rsidR="00B71868" w:rsidRPr="002A5031">
        <w:rPr>
          <w:rFonts w:ascii="Times New Roman" w:eastAsia="Calibri" w:hAnsi="Times New Roman" w:cs="Times New Roman"/>
          <w:b/>
          <w:kern w:val="0"/>
          <w:sz w:val="24"/>
          <w:szCs w:val="24"/>
          <w:lang w:val="uk-UA"/>
          <w14:ligatures w14:val="none"/>
        </w:rPr>
        <w:t xml:space="preserve">                         </w:t>
      </w:r>
      <w:r w:rsidR="00267FDA">
        <w:rPr>
          <w:rFonts w:ascii="Times New Roman" w:eastAsia="Calibri" w:hAnsi="Times New Roman" w:cs="Times New Roman"/>
          <w:b/>
          <w:kern w:val="0"/>
          <w:sz w:val="24"/>
          <w:szCs w:val="24"/>
          <w:lang w:val="uk-UA"/>
          <w14:ligatures w14:val="none"/>
        </w:rPr>
        <w:t xml:space="preserve"> </w:t>
      </w:r>
      <w:r w:rsidR="00B71868" w:rsidRPr="00B44B71">
        <w:rPr>
          <w:rFonts w:ascii="Times New Roman" w:eastAsia="Calibri" w:hAnsi="Times New Roman" w:cs="Times New Roman"/>
          <w:b/>
          <w:kern w:val="0"/>
          <w:sz w:val="24"/>
          <w:szCs w:val="24"/>
          <w:lang w:val="uk-UA"/>
          <w14:ligatures w14:val="none"/>
        </w:rPr>
        <w:t xml:space="preserve">УДК: </w:t>
      </w:r>
      <w:r w:rsidR="00B71868" w:rsidRPr="00B71868">
        <w:rPr>
          <w:rFonts w:ascii="Times New Roman" w:eastAsia="Calibri" w:hAnsi="Times New Roman" w:cs="Times New Roman"/>
          <w:b/>
          <w:kern w:val="0"/>
          <w:sz w:val="24"/>
          <w:szCs w:val="24"/>
          <w:lang w:val="uk-UA"/>
          <w14:ligatures w14:val="none"/>
        </w:rPr>
        <w:t>355.232:351.86</w:t>
      </w:r>
    </w:p>
    <w:p w14:paraId="3E4DCB04" w14:textId="6ACAA44A" w:rsidR="00DB3AB6" w:rsidRPr="002A5031" w:rsidRDefault="00DB3AB6" w:rsidP="00DB3AB6">
      <w:pPr>
        <w:tabs>
          <w:tab w:val="left" w:pos="9638"/>
        </w:tabs>
        <w:spacing w:after="0" w:line="264" w:lineRule="auto"/>
        <w:jc w:val="both"/>
        <w:rPr>
          <w:rFonts w:ascii="Times New Roman" w:eastAsia="Times New Roman" w:hAnsi="Times New Roman" w:cs="Times New Roman"/>
          <w:bCs/>
          <w:smallCaps/>
          <w:color w:val="000000"/>
          <w:kern w:val="0"/>
          <w:sz w:val="24"/>
          <w:szCs w:val="24"/>
          <w:lang w:val="uk-UA" w:eastAsia="ru-RU"/>
          <w14:ligatures w14:val="none"/>
        </w:rPr>
      </w:pPr>
      <w:r>
        <w:rPr>
          <w:rFonts w:ascii="Times New Roman" w:eastAsia="Times New Roman" w:hAnsi="Times New Roman" w:cs="Times New Roman"/>
          <w:kern w:val="0"/>
          <w:sz w:val="23"/>
          <w:szCs w:val="23"/>
          <w:lang w:eastAsia="ru-RU"/>
          <w14:ligatures w14:val="none"/>
        </w:rPr>
        <w:t>IS</w:t>
      </w:r>
      <w:r w:rsidRPr="00B44B71">
        <w:rPr>
          <w:rFonts w:ascii="Times New Roman" w:eastAsia="Times New Roman" w:hAnsi="Times New Roman" w:cs="Times New Roman"/>
          <w:kern w:val="0"/>
          <w:sz w:val="23"/>
          <w:szCs w:val="23"/>
          <w:lang w:val="uk-UA" w:eastAsia="ru-RU"/>
          <w14:ligatures w14:val="none"/>
        </w:rPr>
        <w:t>SN: 2617-1783 (online)</w:t>
      </w:r>
      <w:r w:rsidRPr="006F5634">
        <w:rPr>
          <w:rFonts w:ascii="Times New Roman" w:eastAsia="Times New Roman" w:hAnsi="Times New Roman" w:cs="Times New Roman"/>
          <w:kern w:val="0"/>
          <w:sz w:val="23"/>
          <w:szCs w:val="23"/>
          <w:lang w:val="uk-UA" w:eastAsia="ru-RU"/>
          <w14:ligatures w14:val="none"/>
        </w:rPr>
        <w:t xml:space="preserve">                                                      </w:t>
      </w:r>
      <w:r>
        <w:rPr>
          <w:rFonts w:ascii="Times New Roman" w:eastAsia="Times New Roman" w:hAnsi="Times New Roman" w:cs="Times New Roman"/>
          <w:kern w:val="0"/>
          <w:sz w:val="23"/>
          <w:szCs w:val="23"/>
          <w:lang w:val="uk-UA" w:eastAsia="ru-RU"/>
          <w14:ligatures w14:val="none"/>
        </w:rPr>
        <w:t xml:space="preserve"> </w:t>
      </w:r>
      <w:r w:rsidRPr="004E1190">
        <w:rPr>
          <w:rFonts w:ascii="Times New Roman" w:eastAsia="Times New Roman" w:hAnsi="Times New Roman" w:cs="Times New Roman"/>
          <w:bCs/>
          <w:smallCaps/>
          <w:color w:val="000000"/>
          <w:kern w:val="0"/>
          <w:sz w:val="24"/>
          <w:szCs w:val="24"/>
          <w:lang w:eastAsia="ru-RU"/>
          <w14:ligatures w14:val="none"/>
        </w:rPr>
        <w:t>DOI</w:t>
      </w:r>
      <w:r w:rsidRPr="004E1190">
        <w:rPr>
          <w:rFonts w:ascii="Times New Roman" w:eastAsia="Times New Roman" w:hAnsi="Times New Roman" w:cs="Times New Roman"/>
          <w:bCs/>
          <w:smallCaps/>
          <w:color w:val="000000"/>
          <w:kern w:val="0"/>
          <w:sz w:val="24"/>
          <w:szCs w:val="24"/>
          <w:lang w:val="uk-UA" w:eastAsia="ru-RU"/>
          <w14:ligatures w14:val="none"/>
        </w:rPr>
        <w:t>:10.33099/2617-1775/2026-01/</w:t>
      </w:r>
      <w:r w:rsidR="00267FDA">
        <w:rPr>
          <w:rFonts w:ascii="Times New Roman" w:eastAsia="Times New Roman" w:hAnsi="Times New Roman" w:cs="Times New Roman"/>
          <w:bCs/>
          <w:smallCaps/>
          <w:color w:val="000000"/>
          <w:kern w:val="0"/>
          <w:sz w:val="24"/>
          <w:szCs w:val="24"/>
          <w:lang w:val="uk-UA" w:eastAsia="ru-RU"/>
          <w14:ligatures w14:val="none"/>
        </w:rPr>
        <w:t>94-107</w:t>
      </w:r>
    </w:p>
    <w:p w14:paraId="497232BE" w14:textId="77777777" w:rsidR="00DB3AB6" w:rsidRPr="00B71868" w:rsidRDefault="00DB3AB6" w:rsidP="00DB3AB6">
      <w:pPr>
        <w:tabs>
          <w:tab w:val="left" w:pos="9638"/>
        </w:tabs>
        <w:spacing w:after="0" w:line="264" w:lineRule="auto"/>
        <w:jc w:val="both"/>
        <w:rPr>
          <w:rFonts w:ascii="Times New Roman" w:eastAsia="Times New Roman" w:hAnsi="Times New Roman" w:cs="Times New Roman"/>
          <w:bCs/>
          <w:smallCaps/>
          <w:color w:val="000000"/>
          <w:kern w:val="0"/>
          <w:sz w:val="24"/>
          <w:szCs w:val="24"/>
          <w:lang w:val="uk-UA" w:eastAsia="ru-RU"/>
          <w14:ligatures w14:val="none"/>
        </w:rPr>
      </w:pPr>
    </w:p>
    <w:p w14:paraId="155CF9BF" w14:textId="5ACE5BE8" w:rsidR="00B44B71" w:rsidRPr="00B44B71" w:rsidRDefault="00B44B71" w:rsidP="00023291">
      <w:pPr>
        <w:tabs>
          <w:tab w:val="left" w:pos="9638"/>
        </w:tabs>
        <w:spacing w:after="0" w:line="240" w:lineRule="auto"/>
        <w:ind w:firstLine="709"/>
        <w:jc w:val="right"/>
        <w:rPr>
          <w:rFonts w:ascii="Times New Roman" w:eastAsia="Calibri" w:hAnsi="Times New Roman" w:cs="Times New Roman"/>
          <w:b/>
          <w:kern w:val="0"/>
          <w:sz w:val="24"/>
          <w:szCs w:val="24"/>
          <w:lang w:val="uk-UA"/>
          <w14:ligatures w14:val="none"/>
        </w:rPr>
      </w:pPr>
      <w:r w:rsidRPr="00B44B71">
        <w:rPr>
          <w:rFonts w:ascii="Times New Roman" w:eastAsia="Calibri" w:hAnsi="Times New Roman" w:cs="Times New Roman"/>
          <w:b/>
          <w:kern w:val="0"/>
          <w:sz w:val="24"/>
          <w:szCs w:val="24"/>
          <w:lang w:val="uk-UA"/>
          <w14:ligatures w14:val="none"/>
        </w:rPr>
        <w:t>Ібрагім Габідулін</w:t>
      </w:r>
      <w:r w:rsidR="008604C3">
        <w:rPr>
          <w:rFonts w:ascii="Times New Roman" w:eastAsia="Calibri" w:hAnsi="Times New Roman" w:cs="Times New Roman"/>
          <w:b/>
          <w:kern w:val="0"/>
          <w:sz w:val="24"/>
          <w:szCs w:val="24"/>
          <w:lang w:val="uk-UA"/>
          <w14:ligatures w14:val="none"/>
        </w:rPr>
        <w:t>,</w:t>
      </w:r>
    </w:p>
    <w:p w14:paraId="2AE5C7A4" w14:textId="77777777" w:rsidR="00B44B71" w:rsidRPr="00B44B71" w:rsidRDefault="00B44B71" w:rsidP="00023291">
      <w:pPr>
        <w:tabs>
          <w:tab w:val="left" w:pos="9638"/>
        </w:tabs>
        <w:spacing w:after="0" w:line="240" w:lineRule="auto"/>
        <w:ind w:firstLine="709"/>
        <w:jc w:val="right"/>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кандидат технічних наук, доцент</w:t>
      </w:r>
    </w:p>
    <w:p w14:paraId="4C289B58" w14:textId="621F3E0B" w:rsidR="00B44B71" w:rsidRPr="00B44B71" w:rsidRDefault="00267FDA" w:rsidP="00023291">
      <w:pPr>
        <w:tabs>
          <w:tab w:val="left" w:pos="9638"/>
        </w:tabs>
        <w:spacing w:after="0" w:line="240" w:lineRule="auto"/>
        <w:ind w:firstLine="709"/>
        <w:jc w:val="right"/>
        <w:rPr>
          <w:rFonts w:ascii="Times New Roman" w:eastAsia="Calibri" w:hAnsi="Times New Roman" w:cs="Times New Roman"/>
          <w:color w:val="000000"/>
          <w:kern w:val="0"/>
          <w:sz w:val="24"/>
          <w:szCs w:val="24"/>
          <w:lang w:val="uk-UA"/>
          <w14:ligatures w14:val="none"/>
        </w:rPr>
      </w:pPr>
      <w:r>
        <w:rPr>
          <w:rFonts w:ascii="Times New Roman" w:eastAsia="Calibri" w:hAnsi="Times New Roman" w:cs="Times New Roman"/>
          <w:color w:val="000000"/>
          <w:kern w:val="0"/>
          <w:sz w:val="24"/>
          <w:szCs w:val="24"/>
          <w:lang w:val="uk-UA"/>
          <w14:ligatures w14:val="none"/>
        </w:rPr>
        <w:t>Центр</w:t>
      </w:r>
      <w:r w:rsidR="00B44B71" w:rsidRPr="00B44B71">
        <w:rPr>
          <w:rFonts w:ascii="Times New Roman" w:eastAsia="Calibri" w:hAnsi="Times New Roman" w:cs="Times New Roman"/>
          <w:color w:val="000000"/>
          <w:kern w:val="0"/>
          <w:sz w:val="24"/>
          <w:szCs w:val="24"/>
          <w:lang w:val="uk-UA"/>
          <w14:ligatures w14:val="none"/>
        </w:rPr>
        <w:t xml:space="preserve"> досліджень армії, конверсії та роззброєння, Київ </w:t>
      </w:r>
    </w:p>
    <w:p w14:paraId="7E6FB7E1" w14:textId="0CEA0AA4" w:rsidR="00446297" w:rsidRPr="002A5031" w:rsidRDefault="00B44B71" w:rsidP="00023291">
      <w:pPr>
        <w:tabs>
          <w:tab w:val="left" w:pos="9638"/>
        </w:tabs>
        <w:spacing w:after="0" w:line="240" w:lineRule="auto"/>
        <w:ind w:firstLine="709"/>
        <w:jc w:val="right"/>
        <w:rPr>
          <w:lang w:val="ru-RU"/>
        </w:rPr>
      </w:pPr>
      <w:hyperlink r:id="rId147" w:history="1">
        <w:r w:rsidRPr="00B44B71">
          <w:rPr>
            <w:rFonts w:ascii="Times New Roman" w:eastAsia="Calibri" w:hAnsi="Times New Roman" w:cs="Times New Roman"/>
            <w:color w:val="0000FF"/>
            <w:kern w:val="0"/>
            <w:sz w:val="24"/>
            <w:szCs w:val="24"/>
            <w:u w:val="single"/>
            <w:lang w:val="uk-UA"/>
            <w14:ligatures w14:val="none"/>
          </w:rPr>
          <w:t>https://orcid.org/0009-0009-7860-7818</w:t>
        </w:r>
      </w:hyperlink>
    </w:p>
    <w:p w14:paraId="06CF78A5" w14:textId="77777777" w:rsidR="00DD2463" w:rsidRDefault="00DD2463" w:rsidP="00023291">
      <w:pPr>
        <w:tabs>
          <w:tab w:val="left" w:pos="9638"/>
        </w:tabs>
        <w:spacing w:after="0" w:line="240" w:lineRule="auto"/>
        <w:ind w:firstLine="709"/>
        <w:jc w:val="right"/>
        <w:rPr>
          <w:lang w:val="uk-UA"/>
        </w:rPr>
      </w:pPr>
    </w:p>
    <w:p w14:paraId="2793DF05" w14:textId="77777777" w:rsidR="00B44B71" w:rsidRPr="00B44B71" w:rsidRDefault="00B44B71" w:rsidP="00023291">
      <w:pPr>
        <w:tabs>
          <w:tab w:val="left" w:pos="9638"/>
        </w:tabs>
        <w:spacing w:after="0" w:line="240" w:lineRule="auto"/>
        <w:ind w:firstLine="709"/>
        <w:jc w:val="center"/>
        <w:outlineLvl w:val="0"/>
        <w:rPr>
          <w:rFonts w:ascii="Times New Roman" w:eastAsia="Times New Roman" w:hAnsi="Times New Roman" w:cs="Times New Roman"/>
          <w:b/>
          <w:bCs/>
          <w:kern w:val="36"/>
          <w:sz w:val="28"/>
          <w:szCs w:val="28"/>
          <w:lang w:val="uk-UA" w:eastAsia="ru-RU"/>
          <w14:ligatures w14:val="none"/>
        </w:rPr>
      </w:pPr>
      <w:r w:rsidRPr="00B44B71">
        <w:rPr>
          <w:rFonts w:ascii="Times New Roman" w:eastAsia="Times New Roman" w:hAnsi="Times New Roman" w:cs="Times New Roman"/>
          <w:b/>
          <w:bCs/>
          <w:kern w:val="36"/>
          <w:sz w:val="28"/>
          <w:szCs w:val="28"/>
          <w:lang w:val="uk-UA" w:eastAsia="ru-RU"/>
          <w14:ligatures w14:val="none"/>
        </w:rPr>
        <w:t>ПОРІВНЯЛЬНИЙ АНАЛІЗ СИСТЕМИ ВІЙСЬКОВОЇ ОСВІТИ США, НАТО ТА УКРАЇНИ: ВИКЛИКИ ТРАНСФОРМАЦІЇ</w:t>
      </w:r>
    </w:p>
    <w:p w14:paraId="6EDF7FE1"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b/>
          <w:i/>
          <w:kern w:val="0"/>
          <w:sz w:val="24"/>
          <w:szCs w:val="24"/>
          <w:lang w:val="uk-UA" w:eastAsia="ru-RU"/>
          <w14:ligatures w14:val="none"/>
        </w:rPr>
      </w:pPr>
    </w:p>
    <w:p w14:paraId="0F39DC5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lang w:val="uk-UA" w:eastAsia="ru-RU"/>
          <w14:ligatures w14:val="none"/>
        </w:rPr>
      </w:pPr>
      <w:r w:rsidRPr="00B44B71">
        <w:rPr>
          <w:rFonts w:ascii="Times New Roman" w:eastAsia="Times New Roman" w:hAnsi="Times New Roman" w:cs="Times New Roman"/>
          <w:b/>
          <w:i/>
          <w:kern w:val="0"/>
          <w:sz w:val="24"/>
          <w:szCs w:val="24"/>
          <w:lang w:val="uk-UA" w:eastAsia="ru-RU"/>
          <w14:ligatures w14:val="none"/>
        </w:rPr>
        <w:t>Анотація.</w:t>
      </w:r>
      <w:r w:rsidRPr="00B44B71">
        <w:rPr>
          <w:rFonts w:ascii="Times New Roman" w:eastAsia="Times New Roman" w:hAnsi="Times New Roman" w:cs="Times New Roman"/>
          <w:i/>
          <w:kern w:val="0"/>
          <w:sz w:val="24"/>
          <w:szCs w:val="24"/>
          <w:lang w:val="uk-UA" w:eastAsia="ru-RU"/>
          <w14:ligatures w14:val="none"/>
        </w:rPr>
        <w:t xml:space="preserve"> У статті здійснено порівняльний аналіз систем професійної військової освіти США, НАТО та України в контексті формування стратегічного мислення у сфері національної безпеки і оборони. Актуальність дослідження зумовлена трансформацією характеру сучасної війни та необхідністю підготовки військових і цивільних керівників, здатних приймати рішення у складному багатодоменному безпековому середовищі.</w:t>
      </w:r>
    </w:p>
    <w:p w14:paraId="39C7BEE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lang w:val="uk-UA" w:eastAsia="ru-RU"/>
          <w14:ligatures w14:val="none"/>
        </w:rPr>
      </w:pPr>
      <w:r w:rsidRPr="00B44B71">
        <w:rPr>
          <w:rFonts w:ascii="Times New Roman" w:eastAsia="Times New Roman" w:hAnsi="Times New Roman" w:cs="Times New Roman"/>
          <w:i/>
          <w:kern w:val="0"/>
          <w:sz w:val="24"/>
          <w:szCs w:val="24"/>
          <w:lang w:val="uk-UA" w:eastAsia="ru-RU"/>
          <w14:ligatures w14:val="none"/>
        </w:rPr>
        <w:t>Метою статті є проведення порівняльного аналізу систем стратегічної військової освіти США, НАТО та України для виявлення інституційних і методологічних відмінностей у підготовці військової та цивільної управлінської еліти, а також визначення основних напрямів трансформації військової освіти України.</w:t>
      </w:r>
    </w:p>
    <w:p w14:paraId="3EF3FCC3"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lang w:val="uk-UA" w:eastAsia="ru-RU"/>
          <w14:ligatures w14:val="none"/>
        </w:rPr>
      </w:pPr>
      <w:r w:rsidRPr="00B44B71">
        <w:rPr>
          <w:rFonts w:ascii="Times New Roman" w:eastAsia="Times New Roman" w:hAnsi="Times New Roman" w:cs="Times New Roman"/>
          <w:i/>
          <w:kern w:val="0"/>
          <w:sz w:val="24"/>
          <w:szCs w:val="24"/>
          <w:lang w:val="uk-UA" w:eastAsia="ru-RU"/>
          <w14:ligatures w14:val="none"/>
        </w:rPr>
        <w:t>У дослідженні використано методи порівняльного інституційного аналізу, аналізу нормативних і доктринальних документів, а також метод наукового узагальнення.</w:t>
      </w:r>
    </w:p>
    <w:p w14:paraId="313491F1"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lang w:val="uk-UA" w:eastAsia="ru-RU"/>
          <w14:ligatures w14:val="none"/>
        </w:rPr>
      </w:pPr>
      <w:r w:rsidRPr="00B44B71">
        <w:rPr>
          <w:rFonts w:ascii="Times New Roman" w:eastAsia="Times New Roman" w:hAnsi="Times New Roman" w:cs="Times New Roman"/>
          <w:i/>
          <w:kern w:val="0"/>
          <w:sz w:val="24"/>
          <w:szCs w:val="24"/>
          <w:lang w:val="uk-UA" w:eastAsia="ru-RU"/>
          <w14:ligatures w14:val="none"/>
        </w:rPr>
        <w:t>Результати дослідження показують, що у країнах США та НАТО стратегічний рівень професійної військової освіти функціонує як важливий елемент системи державного стратегічного управління. Його характерною особливістю є інтеграція освітніх програм із науковими дослідженнями, аналітичною діяльністю та механізмами узагальнення бойового досвіду (</w:t>
      </w:r>
      <w:r w:rsidRPr="00B44B71">
        <w:rPr>
          <w:rFonts w:ascii="Times New Roman" w:eastAsia="Times New Roman" w:hAnsi="Times New Roman" w:cs="Times New Roman"/>
          <w:i/>
          <w:kern w:val="0"/>
          <w:sz w:val="24"/>
          <w:szCs w:val="24"/>
          <w:lang w:eastAsia="ru-RU"/>
          <w14:ligatures w14:val="none"/>
        </w:rPr>
        <w:t>Lessons</w:t>
      </w:r>
      <w:r w:rsidRPr="00B44B71">
        <w:rPr>
          <w:rFonts w:ascii="Times New Roman" w:eastAsia="Times New Roman" w:hAnsi="Times New Roman" w:cs="Times New Roman"/>
          <w:i/>
          <w:kern w:val="0"/>
          <w:sz w:val="24"/>
          <w:szCs w:val="24"/>
          <w:lang w:val="uk-UA" w:eastAsia="ru-RU"/>
          <w14:ligatures w14:val="none"/>
        </w:rPr>
        <w:t xml:space="preserve"> </w:t>
      </w:r>
      <w:r w:rsidRPr="00B44B71">
        <w:rPr>
          <w:rFonts w:ascii="Times New Roman" w:eastAsia="Times New Roman" w:hAnsi="Times New Roman" w:cs="Times New Roman"/>
          <w:i/>
          <w:kern w:val="0"/>
          <w:sz w:val="24"/>
          <w:szCs w:val="24"/>
          <w:lang w:eastAsia="ru-RU"/>
          <w14:ligatures w14:val="none"/>
        </w:rPr>
        <w:t>Learned</w:t>
      </w:r>
      <w:r w:rsidRPr="00B44B71">
        <w:rPr>
          <w:rFonts w:ascii="Times New Roman" w:eastAsia="Times New Roman" w:hAnsi="Times New Roman" w:cs="Times New Roman"/>
          <w:i/>
          <w:kern w:val="0"/>
          <w:sz w:val="24"/>
          <w:szCs w:val="24"/>
          <w:lang w:val="uk-UA" w:eastAsia="ru-RU"/>
          <w14:ligatures w14:val="none"/>
        </w:rPr>
        <w:t>). У таких системах стратегічна освіта виконує функцію формування спільної стратегічної культури військових і цивільних фахівців.</w:t>
      </w:r>
    </w:p>
    <w:p w14:paraId="48CFA0D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lang w:val="uk-UA" w:eastAsia="ru-RU"/>
          <w14:ligatures w14:val="none"/>
        </w:rPr>
      </w:pPr>
      <w:r w:rsidRPr="00B44B71">
        <w:rPr>
          <w:rFonts w:ascii="Times New Roman" w:eastAsia="Times New Roman" w:hAnsi="Times New Roman" w:cs="Times New Roman"/>
          <w:i/>
          <w:kern w:val="0"/>
          <w:sz w:val="24"/>
          <w:szCs w:val="24"/>
          <w:lang w:val="uk-UA" w:eastAsia="ru-RU"/>
          <w14:ligatures w14:val="none"/>
        </w:rPr>
        <w:t>Установлено, що в Україні система військової освіти перебуває у процесі реформування, однак стратегічний рівень професійної військової освіти поки що не сформований як функціонально завершена інституційна система. Основною проблемою залишається недостатня інтеграція освіти, наукових досліджень і механізмів узагальнення бойового досвіду.</w:t>
      </w:r>
    </w:p>
    <w:p w14:paraId="605B481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lang w:val="uk-UA" w:eastAsia="ru-RU"/>
          <w14:ligatures w14:val="none"/>
        </w:rPr>
      </w:pPr>
      <w:r w:rsidRPr="00B44B71">
        <w:rPr>
          <w:rFonts w:ascii="Times New Roman" w:eastAsia="Times New Roman" w:hAnsi="Times New Roman" w:cs="Times New Roman"/>
          <w:i/>
          <w:kern w:val="0"/>
          <w:sz w:val="24"/>
          <w:szCs w:val="24"/>
          <w:lang w:val="uk-UA" w:eastAsia="ru-RU"/>
          <w14:ligatures w14:val="none"/>
        </w:rPr>
        <w:t xml:space="preserve">Обґрунтовано основні напрями трансформації військової освіти України, зокрема розвиток стратегічного рівня освіти, інтеграцію наукових досліджень, створення ефективної системи </w:t>
      </w:r>
      <w:r w:rsidRPr="00B44B71">
        <w:rPr>
          <w:rFonts w:ascii="Times New Roman" w:eastAsia="Times New Roman" w:hAnsi="Times New Roman" w:cs="Times New Roman"/>
          <w:i/>
          <w:kern w:val="0"/>
          <w:sz w:val="24"/>
          <w:szCs w:val="24"/>
          <w:lang w:eastAsia="ru-RU"/>
          <w14:ligatures w14:val="none"/>
        </w:rPr>
        <w:t>Lessons</w:t>
      </w:r>
      <w:r w:rsidRPr="00B44B71">
        <w:rPr>
          <w:rFonts w:ascii="Times New Roman" w:eastAsia="Times New Roman" w:hAnsi="Times New Roman" w:cs="Times New Roman"/>
          <w:i/>
          <w:kern w:val="0"/>
          <w:sz w:val="24"/>
          <w:szCs w:val="24"/>
          <w:lang w:val="uk-UA" w:eastAsia="ru-RU"/>
          <w14:ligatures w14:val="none"/>
        </w:rPr>
        <w:t xml:space="preserve"> </w:t>
      </w:r>
      <w:r w:rsidRPr="00B44B71">
        <w:rPr>
          <w:rFonts w:ascii="Times New Roman" w:eastAsia="Times New Roman" w:hAnsi="Times New Roman" w:cs="Times New Roman"/>
          <w:i/>
          <w:kern w:val="0"/>
          <w:sz w:val="24"/>
          <w:szCs w:val="24"/>
          <w:lang w:eastAsia="ru-RU"/>
          <w14:ligatures w14:val="none"/>
        </w:rPr>
        <w:t>Learned</w:t>
      </w:r>
      <w:r w:rsidRPr="00B44B71">
        <w:rPr>
          <w:rFonts w:ascii="Times New Roman" w:eastAsia="Times New Roman" w:hAnsi="Times New Roman" w:cs="Times New Roman"/>
          <w:i/>
          <w:kern w:val="0"/>
          <w:sz w:val="24"/>
          <w:szCs w:val="24"/>
          <w:lang w:val="uk-UA" w:eastAsia="ru-RU"/>
          <w14:ligatures w14:val="none"/>
        </w:rPr>
        <w:t>, розширення цивільно-військової освіти та розвиток лідерських компетенцій.</w:t>
      </w:r>
    </w:p>
    <w:p w14:paraId="28E90288" w14:textId="77777777" w:rsidR="00B44B71" w:rsidRPr="00B44B71" w:rsidRDefault="00B44B71" w:rsidP="00023291">
      <w:pPr>
        <w:tabs>
          <w:tab w:val="left" w:pos="9638"/>
        </w:tabs>
        <w:spacing w:after="0" w:line="240" w:lineRule="auto"/>
        <w:ind w:firstLine="709"/>
        <w:jc w:val="both"/>
        <w:outlineLvl w:val="0"/>
        <w:rPr>
          <w:rFonts w:ascii="Times New Roman" w:eastAsia="Calibri" w:hAnsi="Times New Roman" w:cs="Times New Roman"/>
          <w:i/>
          <w:kern w:val="0"/>
          <w:sz w:val="24"/>
          <w:szCs w:val="24"/>
          <w:lang w:val="uk-UA"/>
          <w14:ligatures w14:val="none"/>
        </w:rPr>
      </w:pPr>
      <w:r w:rsidRPr="00B44B71">
        <w:rPr>
          <w:rFonts w:ascii="Times New Roman" w:eastAsia="Calibri" w:hAnsi="Times New Roman" w:cs="Times New Roman"/>
          <w:b/>
          <w:i/>
          <w:kern w:val="0"/>
          <w:sz w:val="24"/>
          <w:szCs w:val="24"/>
          <w:lang w:val="uk-UA"/>
          <w14:ligatures w14:val="none"/>
        </w:rPr>
        <w:t>Ключові слова:</w:t>
      </w:r>
      <w:r w:rsidRPr="00B44B71">
        <w:rPr>
          <w:rFonts w:ascii="Times New Roman" w:eastAsia="Calibri" w:hAnsi="Times New Roman" w:cs="Times New Roman"/>
          <w:i/>
          <w:kern w:val="0"/>
          <w:sz w:val="24"/>
          <w:szCs w:val="24"/>
          <w:lang w:val="uk-UA"/>
          <w14:ligatures w14:val="none"/>
        </w:rPr>
        <w:t xml:space="preserve"> військова освіта; професійна військова освіта; стратегічна освіта; стратегічне мислення; </w:t>
      </w:r>
      <w:r w:rsidRPr="00B44B71">
        <w:rPr>
          <w:rFonts w:ascii="Times New Roman" w:eastAsia="Calibri" w:hAnsi="Times New Roman" w:cs="Times New Roman"/>
          <w:i/>
          <w:kern w:val="0"/>
          <w:sz w:val="24"/>
          <w:szCs w:val="24"/>
          <w:lang w:val="ru-RU"/>
          <w14:ligatures w14:val="none"/>
        </w:rPr>
        <w:t>Lessons</w:t>
      </w:r>
      <w:r w:rsidRPr="00B44B71">
        <w:rPr>
          <w:rFonts w:ascii="Times New Roman" w:eastAsia="Calibri" w:hAnsi="Times New Roman" w:cs="Times New Roman"/>
          <w:i/>
          <w:kern w:val="0"/>
          <w:sz w:val="24"/>
          <w:szCs w:val="24"/>
          <w:lang w:val="uk-UA"/>
          <w14:ligatures w14:val="none"/>
        </w:rPr>
        <w:t xml:space="preserve"> </w:t>
      </w:r>
      <w:r w:rsidRPr="00B44B71">
        <w:rPr>
          <w:rFonts w:ascii="Times New Roman" w:eastAsia="Calibri" w:hAnsi="Times New Roman" w:cs="Times New Roman"/>
          <w:i/>
          <w:kern w:val="0"/>
          <w:sz w:val="24"/>
          <w:szCs w:val="24"/>
          <w:lang w:val="ru-RU"/>
          <w14:ligatures w14:val="none"/>
        </w:rPr>
        <w:t>Learned</w:t>
      </w:r>
      <w:r w:rsidRPr="00B44B71">
        <w:rPr>
          <w:rFonts w:ascii="Times New Roman" w:eastAsia="Calibri" w:hAnsi="Times New Roman" w:cs="Times New Roman"/>
          <w:i/>
          <w:kern w:val="0"/>
          <w:sz w:val="24"/>
          <w:szCs w:val="24"/>
          <w:lang w:val="uk-UA"/>
          <w14:ligatures w14:val="none"/>
        </w:rPr>
        <w:t>; національна безпека; лідерство; оборонне планування.</w:t>
      </w:r>
    </w:p>
    <w:p w14:paraId="0E12D807" w14:textId="77777777" w:rsidR="00B44B71" w:rsidRPr="00B44B71" w:rsidRDefault="00B44B71" w:rsidP="00023291">
      <w:pPr>
        <w:tabs>
          <w:tab w:val="left" w:pos="9638"/>
        </w:tabs>
        <w:spacing w:after="0" w:line="240" w:lineRule="auto"/>
        <w:ind w:firstLine="709"/>
        <w:jc w:val="both"/>
        <w:outlineLvl w:val="0"/>
        <w:rPr>
          <w:rFonts w:ascii="Times New Roman" w:eastAsia="Times New Roman" w:hAnsi="Times New Roman" w:cs="Times New Roman"/>
          <w:b/>
          <w:bCs/>
          <w:kern w:val="36"/>
          <w:sz w:val="24"/>
          <w:szCs w:val="24"/>
          <w:lang w:val="uk-UA" w:eastAsia="ru-RU"/>
          <w14:ligatures w14:val="none"/>
        </w:rPr>
      </w:pPr>
    </w:p>
    <w:p w14:paraId="03F6360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bCs/>
          <w:kern w:val="0"/>
          <w:sz w:val="28"/>
          <w:szCs w:val="28"/>
          <w:lang w:val="uk-UA" w:eastAsia="ru-RU"/>
          <w14:ligatures w14:val="none"/>
        </w:rPr>
        <w:t>Постановка проблеми</w:t>
      </w:r>
      <w:r w:rsidRPr="00B44B71">
        <w:rPr>
          <w:rFonts w:ascii="Times New Roman" w:eastAsia="Times New Roman" w:hAnsi="Times New Roman" w:cs="Times New Roman"/>
          <w:b/>
          <w:bCs/>
          <w:kern w:val="0"/>
          <w:sz w:val="28"/>
          <w:szCs w:val="28"/>
          <w:lang w:val="ru-RU" w:eastAsia="ru-RU"/>
          <w14:ligatures w14:val="none"/>
        </w:rPr>
        <w:t>.</w:t>
      </w:r>
      <w:r w:rsidRPr="00B44B71">
        <w:rPr>
          <w:rFonts w:ascii="Times New Roman" w:eastAsia="Times New Roman" w:hAnsi="Times New Roman" w:cs="Times New Roman"/>
          <w:bCs/>
          <w:kern w:val="0"/>
          <w:sz w:val="28"/>
          <w:szCs w:val="28"/>
          <w:lang w:val="ru-RU" w:eastAsia="ru-RU"/>
          <w14:ligatures w14:val="none"/>
        </w:rPr>
        <w:t xml:space="preserve"> </w:t>
      </w:r>
      <w:r w:rsidRPr="00B44B71">
        <w:rPr>
          <w:rFonts w:ascii="Times New Roman" w:eastAsia="Times New Roman" w:hAnsi="Times New Roman" w:cs="Times New Roman"/>
          <w:kern w:val="0"/>
          <w:sz w:val="28"/>
          <w:szCs w:val="28"/>
          <w:lang w:val="uk-UA" w:eastAsia="ru-RU"/>
          <w14:ligatures w14:val="none"/>
        </w:rPr>
        <w:t xml:space="preserve">Сучасна війна в Україні актуалізувала системну проблему, що виходить за межі тактичних аспектів ведення бойових дій, технічного оснащення збройних сил або організації окремих родів військ. Йдеться про </w:t>
      </w:r>
      <w:r w:rsidRPr="00B44B71">
        <w:rPr>
          <w:rFonts w:ascii="Times New Roman" w:eastAsia="Times New Roman" w:hAnsi="Times New Roman" w:cs="Times New Roman"/>
          <w:bCs/>
          <w:kern w:val="0"/>
          <w:sz w:val="28"/>
          <w:szCs w:val="28"/>
          <w:lang w:val="uk-UA" w:eastAsia="ru-RU"/>
          <w14:ligatures w14:val="none"/>
        </w:rPr>
        <w:t>дефіцит стратегічного мислення на рівні державного управління у сфері безпеки та оборони</w:t>
      </w:r>
      <w:r w:rsidRPr="00B44B71">
        <w:rPr>
          <w:rFonts w:ascii="Times New Roman" w:eastAsia="Times New Roman" w:hAnsi="Times New Roman" w:cs="Times New Roman"/>
          <w:kern w:val="0"/>
          <w:sz w:val="28"/>
          <w:szCs w:val="28"/>
          <w:lang w:val="uk-UA" w:eastAsia="ru-RU"/>
          <w14:ligatures w14:val="none"/>
        </w:rPr>
        <w:t xml:space="preserve">, як у військовому, так і у цивільному вимірі [1; 2]. Зазначений дефіцит не є наслідком браку індивідуального досвіду чи </w:t>
      </w:r>
      <w:r w:rsidRPr="00B44B71">
        <w:rPr>
          <w:rFonts w:ascii="Times New Roman" w:eastAsia="Times New Roman" w:hAnsi="Times New Roman" w:cs="Times New Roman"/>
          <w:kern w:val="0"/>
          <w:sz w:val="28"/>
          <w:szCs w:val="28"/>
          <w:lang w:val="uk-UA" w:eastAsia="ru-RU"/>
          <w14:ligatures w14:val="none"/>
        </w:rPr>
        <w:lastRenderedPageBreak/>
        <w:t>професійної мотивації окремих осіб, а зумовлений передусім відсутністю інституційно сформованої системи підготовки стратегічних керівників.</w:t>
      </w:r>
    </w:p>
    <w:p w14:paraId="17824CF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Умови сучасної війни, що дедалі частіше характеризується як </w:t>
      </w:r>
      <w:r w:rsidRPr="00B44B71">
        <w:rPr>
          <w:rFonts w:ascii="Times New Roman" w:eastAsia="Times New Roman" w:hAnsi="Times New Roman" w:cs="Times New Roman"/>
          <w:bCs/>
          <w:kern w:val="0"/>
          <w:sz w:val="28"/>
          <w:szCs w:val="28"/>
          <w:lang w:val="uk-UA" w:eastAsia="ru-RU"/>
          <w14:ligatures w14:val="none"/>
        </w:rPr>
        <w:t>мультидоменно організований конфлікт</w:t>
      </w:r>
      <w:r w:rsidRPr="00B44B71">
        <w:rPr>
          <w:rFonts w:ascii="Times New Roman" w:eastAsia="Times New Roman" w:hAnsi="Times New Roman" w:cs="Times New Roman"/>
          <w:kern w:val="0"/>
          <w:sz w:val="28"/>
          <w:szCs w:val="28"/>
          <w:lang w:val="uk-UA" w:eastAsia="ru-RU"/>
          <w14:ligatures w14:val="none"/>
        </w:rPr>
        <w:t>, передбачають взаємодію воєнних, економічних, технологічних, інформаційних і соціальних чинників. Це потребує підготовки фахівців, здатних інтегрувати різнорідні фактори державної політики в процес стратегічного планування. Водночас в Україні формування відповідних компетенцій нерідко відбувається ситуативно — без опори на цілісну інституційну систему професійної підготовки.</w:t>
      </w:r>
    </w:p>
    <w:p w14:paraId="7CD00EC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Історично військова освіта розглядалася насамперед як інструмент підготовки офіцерського складу для виконання службових обов’язків. Однак досвід сучасних конфліктів переконливо свідчить, що </w:t>
      </w:r>
      <w:r w:rsidRPr="00B44B71">
        <w:rPr>
          <w:rFonts w:ascii="Times New Roman" w:eastAsia="Times New Roman" w:hAnsi="Times New Roman" w:cs="Times New Roman"/>
          <w:bCs/>
          <w:kern w:val="0"/>
          <w:sz w:val="28"/>
          <w:szCs w:val="28"/>
          <w:lang w:val="uk-UA" w:eastAsia="ru-RU"/>
          <w14:ligatures w14:val="none"/>
        </w:rPr>
        <w:t>тактичний або навіть оперативний бойовий досвід не трансформується у стратегічні знання автоматично</w:t>
      </w:r>
      <w:r w:rsidRPr="00B44B71">
        <w:rPr>
          <w:rFonts w:ascii="Times New Roman" w:eastAsia="Times New Roman" w:hAnsi="Times New Roman" w:cs="Times New Roman"/>
          <w:kern w:val="0"/>
          <w:sz w:val="28"/>
          <w:szCs w:val="28"/>
          <w:lang w:val="uk-UA" w:eastAsia="ru-RU"/>
          <w14:ligatures w14:val="none"/>
        </w:rPr>
        <w:t xml:space="preserve"> [2</w:t>
      </w:r>
      <w:r w:rsidRPr="00B44B71">
        <w:rPr>
          <w:rFonts w:ascii="Times New Roman" w:eastAsia="Times New Roman" w:hAnsi="Times New Roman" w:cs="Times New Roman"/>
          <w:kern w:val="0"/>
          <w:sz w:val="28"/>
          <w:szCs w:val="28"/>
          <w:lang w:val="ru-RU" w:eastAsia="ru-RU"/>
          <w14:ligatures w14:val="none"/>
        </w:rPr>
        <w:t>,</w:t>
      </w:r>
      <w:r w:rsidRPr="00B44B71">
        <w:rPr>
          <w:rFonts w:ascii="Times New Roman" w:eastAsia="Times New Roman" w:hAnsi="Times New Roman" w:cs="Times New Roman"/>
          <w:kern w:val="0"/>
          <w:sz w:val="28"/>
          <w:szCs w:val="28"/>
          <w:lang w:val="uk-UA" w:eastAsia="ru-RU"/>
          <w14:ligatures w14:val="none"/>
        </w:rPr>
        <w:t xml:space="preserve"> </w:t>
      </w:r>
      <w:r w:rsidRPr="00B44B71">
        <w:rPr>
          <w:rFonts w:ascii="Times New Roman" w:eastAsia="Times New Roman" w:hAnsi="Times New Roman" w:cs="Times New Roman"/>
          <w:kern w:val="0"/>
          <w:sz w:val="28"/>
          <w:szCs w:val="28"/>
          <w:lang w:val="ru-RU" w:eastAsia="ru-RU"/>
          <w14:ligatures w14:val="none"/>
        </w:rPr>
        <w:t>3,</w:t>
      </w:r>
      <w:r w:rsidRPr="00B44B71">
        <w:rPr>
          <w:rFonts w:ascii="Times New Roman" w:eastAsia="Times New Roman" w:hAnsi="Times New Roman" w:cs="Times New Roman"/>
          <w:kern w:val="0"/>
          <w:sz w:val="28"/>
          <w:szCs w:val="28"/>
          <w:lang w:val="uk-UA" w:eastAsia="ru-RU"/>
          <w14:ligatures w14:val="none"/>
        </w:rPr>
        <w:t xml:space="preserve"> </w:t>
      </w:r>
      <w:r w:rsidRPr="00B44B71">
        <w:rPr>
          <w:rFonts w:ascii="Times New Roman" w:eastAsia="Times New Roman" w:hAnsi="Times New Roman" w:cs="Times New Roman"/>
          <w:kern w:val="0"/>
          <w:sz w:val="28"/>
          <w:szCs w:val="28"/>
          <w:lang w:val="ru-RU" w:eastAsia="ru-RU"/>
          <w14:ligatures w14:val="none"/>
        </w:rPr>
        <w:t>4</w:t>
      </w:r>
      <w:r w:rsidRPr="00B44B71">
        <w:rPr>
          <w:rFonts w:ascii="Times New Roman" w:eastAsia="Times New Roman" w:hAnsi="Times New Roman" w:cs="Times New Roman"/>
          <w:kern w:val="0"/>
          <w:sz w:val="28"/>
          <w:szCs w:val="28"/>
          <w:lang w:val="uk-UA" w:eastAsia="ru-RU"/>
          <w14:ligatures w14:val="none"/>
        </w:rPr>
        <w:t>]. Для цього необхідні спеціалізовані інституційні механізми, здатні системно узагальнювати бойовий досвід, здійснювати його науковий аналіз і інтегрувати отримані результати в систему військової та цивільної освіти [5].</w:t>
      </w:r>
    </w:p>
    <w:p w14:paraId="54D2C63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Особливої актуальності набуває проблема </w:t>
      </w:r>
      <w:r w:rsidRPr="00B44B71">
        <w:rPr>
          <w:rFonts w:ascii="Times New Roman" w:eastAsia="Times New Roman" w:hAnsi="Times New Roman" w:cs="Times New Roman"/>
          <w:bCs/>
          <w:kern w:val="0"/>
          <w:sz w:val="28"/>
          <w:szCs w:val="28"/>
          <w:lang w:val="uk-UA" w:eastAsia="ru-RU"/>
          <w14:ligatures w14:val="none"/>
        </w:rPr>
        <w:t>цивільно-військової взаємодії</w:t>
      </w:r>
      <w:r w:rsidRPr="00B44B71">
        <w:rPr>
          <w:rFonts w:ascii="Times New Roman" w:eastAsia="Times New Roman" w:hAnsi="Times New Roman" w:cs="Times New Roman"/>
          <w:kern w:val="0"/>
          <w:sz w:val="28"/>
          <w:szCs w:val="28"/>
          <w:lang w:val="uk-UA" w:eastAsia="ru-RU"/>
          <w14:ligatures w14:val="none"/>
        </w:rPr>
        <w:t xml:space="preserve"> у сфері стратегічного планування. В Україні досі відсутній сталий механізм підготовки представників органів державної влади — зокрема парламенту, уряду та інших структур державного управління — до ухвалення рішень у сфері воєнної безпеки та оборони. У результаті частина стратегічних рішень ухвалюється за відсутності системної підготовки у сфері воєнно-стратегічного аналізу.</w:t>
      </w:r>
    </w:p>
    <w:p w14:paraId="350B56E5"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Парадоксально, що за наявності значного бойового досвіду, здобутого Збройними Силами України в ході війни, держава не має інституції, яка б постійно здійснювала </w:t>
      </w:r>
      <w:r w:rsidRPr="00B44B71">
        <w:rPr>
          <w:rFonts w:ascii="Times New Roman" w:eastAsia="Times New Roman" w:hAnsi="Times New Roman" w:cs="Times New Roman"/>
          <w:bCs/>
          <w:kern w:val="0"/>
          <w:sz w:val="28"/>
          <w:szCs w:val="28"/>
          <w:lang w:val="uk-UA" w:eastAsia="ru-RU"/>
          <w14:ligatures w14:val="none"/>
        </w:rPr>
        <w:t>комплексне осмислення війни як державного явища</w:t>
      </w:r>
      <w:r w:rsidRPr="00B44B71">
        <w:rPr>
          <w:rFonts w:ascii="Times New Roman" w:eastAsia="Times New Roman" w:hAnsi="Times New Roman" w:cs="Times New Roman"/>
          <w:kern w:val="0"/>
          <w:sz w:val="28"/>
          <w:szCs w:val="28"/>
          <w:lang w:val="uk-UA" w:eastAsia="ru-RU"/>
          <w14:ligatures w14:val="none"/>
        </w:rPr>
        <w:t>. Потенційним центром такої діяльності міг би виступати Національний університет оборони України. Водночас за відсутності в його структурі постійно діючої інституції стратегічних досліджень університет виконує переважно освітню функцію, тоді як потенціал стратегічного аналізу та узагальнення досвіду війни залишається обмеженим [6].</w:t>
      </w:r>
    </w:p>
    <w:p w14:paraId="0F114F0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Отже, проблема трансформації військової освіти в Україні полягає не лише в модернізації навчальних програм або впровадженні нових освітніх технологій. Йдеться про формування </w:t>
      </w:r>
      <w:r w:rsidRPr="00B44B71">
        <w:rPr>
          <w:rFonts w:ascii="Times New Roman" w:eastAsia="Times New Roman" w:hAnsi="Times New Roman" w:cs="Times New Roman"/>
          <w:bCs/>
          <w:kern w:val="0"/>
          <w:sz w:val="28"/>
          <w:szCs w:val="28"/>
          <w:lang w:val="uk-UA" w:eastAsia="ru-RU"/>
          <w14:ligatures w14:val="none"/>
        </w:rPr>
        <w:t>цілісної інституційної системи стратегічної освіти</w:t>
      </w:r>
      <w:r w:rsidRPr="00B44B71">
        <w:rPr>
          <w:rFonts w:ascii="Times New Roman" w:eastAsia="Times New Roman" w:hAnsi="Times New Roman" w:cs="Times New Roman"/>
          <w:kern w:val="0"/>
          <w:sz w:val="28"/>
          <w:szCs w:val="28"/>
          <w:lang w:val="uk-UA" w:eastAsia="ru-RU"/>
          <w14:ligatures w14:val="none"/>
        </w:rPr>
        <w:t>, здатної забезпечити підготовку військових і цивільних керівників до діяльності в умовах сучасної багатодоменної війни.</w:t>
      </w:r>
    </w:p>
    <w:p w14:paraId="2611B675" w14:textId="77777777" w:rsidR="00B44B71" w:rsidRPr="00B44B71" w:rsidRDefault="00B44B71" w:rsidP="00023291">
      <w:pPr>
        <w:tabs>
          <w:tab w:val="left" w:pos="9638"/>
        </w:tabs>
        <w:spacing w:after="0" w:line="240" w:lineRule="auto"/>
        <w:ind w:firstLine="709"/>
        <w:jc w:val="both"/>
        <w:outlineLvl w:val="1"/>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bCs/>
          <w:kern w:val="0"/>
          <w:sz w:val="28"/>
          <w:szCs w:val="28"/>
          <w:lang w:val="uk-UA" w:eastAsia="ru-RU"/>
          <w14:ligatures w14:val="none"/>
        </w:rPr>
        <w:t>Аналіз останніх досліджень і публікацій</w:t>
      </w:r>
      <w:r w:rsidRPr="00B44B71">
        <w:rPr>
          <w:rFonts w:ascii="Times New Roman" w:eastAsia="Times New Roman" w:hAnsi="Times New Roman" w:cs="Times New Roman"/>
          <w:bCs/>
          <w:kern w:val="0"/>
          <w:sz w:val="28"/>
          <w:szCs w:val="28"/>
          <w:lang w:val="uk-UA" w:eastAsia="ru-RU"/>
          <w14:ligatures w14:val="none"/>
        </w:rPr>
        <w:t xml:space="preserve">. </w:t>
      </w:r>
      <w:r w:rsidRPr="00B44B71">
        <w:rPr>
          <w:rFonts w:ascii="Times New Roman" w:eastAsia="Times New Roman" w:hAnsi="Times New Roman" w:cs="Times New Roman"/>
          <w:kern w:val="0"/>
          <w:sz w:val="28"/>
          <w:szCs w:val="28"/>
          <w:lang w:val="uk-UA" w:eastAsia="ru-RU"/>
          <w14:ligatures w14:val="none"/>
        </w:rPr>
        <w:t xml:space="preserve">Проблематика розвитку військової освіти та підготовки офіцерського складу в Україні є предметом численних наукових досліджень вітчизняних і зарубіжних авторів. Упродовж останніх років опубліковано значну кількість робіт, присвячених реформуванню системи військової освіти, адаптації до стандартів НАТО, оновленню освітніх програм та впровадженню інноваційних методів навчання. </w:t>
      </w:r>
    </w:p>
    <w:p w14:paraId="1091641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lastRenderedPageBreak/>
        <w:t>Більшість вітчизняних досліджень розглядає військову освіту як систему професійної підготовки кадрів для Збройних Сил України, як складову процесу євроатлантичної інтеграції або як сферу впровадження педагогічних інновацій. Зокрема, питання розвитку військово-педагогічної науки та модернізації освітнього процесу аналізуються у працях українських дослідників [7]. Окремі дослідження присвячені використанню сучасних технологій, зокрема штучного інтелекту у системі військової освіти [8].</w:t>
      </w:r>
    </w:p>
    <w:p w14:paraId="34B9D26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Разом з тим питання військової освіти як інституційного механізму формування стратегічного мислення держави залишається недостатньо опрацьованим. </w:t>
      </w:r>
      <w:r w:rsidRPr="00B44B71">
        <w:rPr>
          <w:rFonts w:ascii="Times New Roman" w:eastAsia="Calibri" w:hAnsi="Times New Roman" w:cs="Times New Roman"/>
          <w:kern w:val="0"/>
          <w:sz w:val="28"/>
          <w:szCs w:val="28"/>
          <w:lang w:val="uk-UA"/>
          <w14:ligatures w14:val="none"/>
        </w:rPr>
        <w:t>У наявних дослідженнях фактично відсутня цілісна аналітична рамка, у межах якої військова освіта, стратегічні дослідження, механізми узагальнення бойового досвіду та система державного стратегічного планування розглядалися б як взаємопов’язані елементи єдиного інституційного контуру.</w:t>
      </w:r>
    </w:p>
    <w:p w14:paraId="57C9593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У західній науковій та аналітичній літературі професійна військова освіта розглядається як важливий елемент системи національної безпеки. У працях дослідників, пов’язаних із National Defense University (NDU), NATO Defence College та іншими аналітичними центрами, підкреслюється роль професійної військової освіти (Professional Military Education, PME) та спільної професійної військової освіти (Joint Professional Military Education, JPME) у формуванні стратегічної культури держави [2, 9, 10, 11].</w:t>
      </w:r>
    </w:p>
    <w:p w14:paraId="626F60E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Західні дослідження приділяють значну увагу інтеграції військової освіти, науки та механізмів узагальнення бойового досвіду (Lessons Learned) [12–14]. У таких моделях військова освіта функціонує не лише як освітній процес, а як інституційний механізм формування стратегічної еліти та вироблення знань, необхідних для довгострокового планування у сфері безпеки й оборони.</w:t>
      </w:r>
    </w:p>
    <w:p w14:paraId="65E4546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З початку повномасштабної агресії Російської Федерації проти України країни НАТО активізували роботу зі збору та аналізу бойового досвіду, що має значення для трансформації Альянсу. Відповідні структури здійснюють систематичне узагальнення уроків війни та використовують їх у процесах планування, підготовки та розвитку військових спроможностей [15; 16].</w:t>
      </w:r>
    </w:p>
    <w:p w14:paraId="0387DEC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Водночас в Україні відсутній сталий інституційний механізм, який забезпечував би системне узагальнення бойового досвіду та його інтеграцію у систему стратегічної військової освіти. За цих умов значна частина унікального досвіду сучасної війни залишається недостатньо інтегрованою у систему підготовки старшого офіцерського складу та цивільних керівників у сфері безпеки  оборони.</w:t>
      </w:r>
    </w:p>
    <w:p w14:paraId="0E79169D" w14:textId="77777777" w:rsidR="00B44B71" w:rsidRPr="00B44B71" w:rsidRDefault="00B44B71" w:rsidP="00023291">
      <w:pPr>
        <w:tabs>
          <w:tab w:val="left" w:pos="9638"/>
        </w:tabs>
        <w:spacing w:after="0" w:line="240" w:lineRule="auto"/>
        <w:ind w:firstLine="709"/>
        <w:jc w:val="both"/>
        <w:outlineLvl w:val="1"/>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У цьому контексті актуальним є проведення порівняльного аналізу систем військової освіти США, НАТО та України з метою визначення інституційних механізмів формування стратегічного мислення та можливостей їх адаптації до українських умов.</w:t>
      </w:r>
    </w:p>
    <w:p w14:paraId="5665349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bCs/>
          <w:kern w:val="0"/>
          <w:sz w:val="28"/>
          <w:szCs w:val="28"/>
          <w:lang w:val="uk-UA" w:eastAsia="ru-RU"/>
          <w14:ligatures w14:val="none"/>
        </w:rPr>
        <w:t xml:space="preserve">Мета статті - </w:t>
      </w:r>
      <w:r w:rsidRPr="00B44B71">
        <w:rPr>
          <w:rFonts w:ascii="Times New Roman" w:eastAsia="Times New Roman" w:hAnsi="Times New Roman" w:cs="Times New Roman"/>
          <w:bCs/>
          <w:kern w:val="0"/>
          <w:sz w:val="28"/>
          <w:szCs w:val="28"/>
          <w:lang w:val="uk-UA" w:eastAsia="ru-RU"/>
          <w14:ligatures w14:val="none"/>
        </w:rPr>
        <w:t>провести порівняльний аналіз систем професійної військової освіти США, НАТО та України</w:t>
      </w:r>
      <w:r w:rsidRPr="00B44B71">
        <w:rPr>
          <w:rFonts w:ascii="Times New Roman" w:eastAsia="Times New Roman" w:hAnsi="Times New Roman" w:cs="Times New Roman"/>
          <w:kern w:val="0"/>
          <w:sz w:val="28"/>
          <w:szCs w:val="28"/>
          <w:lang w:val="uk-UA" w:eastAsia="ru-RU"/>
          <w14:ligatures w14:val="none"/>
        </w:rPr>
        <w:t xml:space="preserve"> з метою виявлення інституційних і методологічних відмінностей у підготовці військової та цивільної стратегічної </w:t>
      </w:r>
      <w:r w:rsidRPr="00B44B71">
        <w:rPr>
          <w:rFonts w:ascii="Times New Roman" w:eastAsia="Times New Roman" w:hAnsi="Times New Roman" w:cs="Times New Roman"/>
          <w:kern w:val="0"/>
          <w:sz w:val="28"/>
          <w:szCs w:val="28"/>
          <w:lang w:val="uk-UA" w:eastAsia="ru-RU"/>
          <w14:ligatures w14:val="none"/>
        </w:rPr>
        <w:lastRenderedPageBreak/>
        <w:t>еліти, а також обґрунтування основних напрямів трансформації військової освіти України в умовах сучасної багатодоменної війни.</w:t>
      </w:r>
    </w:p>
    <w:p w14:paraId="03A051F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Дослідження зосереджене на аналізі концептуальних засад військової освіти стратегічного рівня у країнах Заходу, ролі інтеграції освіти, наукових досліджень і механізмів узагальнення бойового досвіду, а також на оцінці спроможності сучасної системи військової освіти України забезпечувати формування стратегічного мислення.</w:t>
      </w:r>
    </w:p>
    <w:p w14:paraId="3876206A" w14:textId="77777777" w:rsidR="00B44B71" w:rsidRPr="00B44B71" w:rsidRDefault="00B44B71" w:rsidP="00023291">
      <w:pPr>
        <w:tabs>
          <w:tab w:val="left" w:pos="9638"/>
        </w:tabs>
        <w:spacing w:after="0" w:line="240" w:lineRule="auto"/>
        <w:ind w:firstLine="709"/>
        <w:jc w:val="both"/>
        <w:outlineLvl w:val="1"/>
        <w:rPr>
          <w:rFonts w:ascii="Times New Roman" w:eastAsia="Times New Roman" w:hAnsi="Times New Roman" w:cs="Times New Roman"/>
          <w:bCs/>
          <w:kern w:val="0"/>
          <w:sz w:val="28"/>
          <w:szCs w:val="28"/>
          <w:lang w:val="uk-UA" w:eastAsia="ru-RU"/>
          <w14:ligatures w14:val="none"/>
        </w:rPr>
      </w:pPr>
      <w:r w:rsidRPr="00B44B71">
        <w:rPr>
          <w:rFonts w:ascii="Times New Roman" w:eastAsia="Times New Roman" w:hAnsi="Times New Roman" w:cs="Times New Roman"/>
          <w:b/>
          <w:bCs/>
          <w:kern w:val="0"/>
          <w:sz w:val="28"/>
          <w:szCs w:val="28"/>
          <w:lang w:val="uk-UA" w:eastAsia="ru-RU"/>
          <w14:ligatures w14:val="none"/>
        </w:rPr>
        <w:t xml:space="preserve">Методи дослідження. </w:t>
      </w:r>
      <w:r w:rsidRPr="00B44B71">
        <w:rPr>
          <w:rFonts w:ascii="Times New Roman" w:eastAsia="Times New Roman" w:hAnsi="Times New Roman" w:cs="Times New Roman"/>
          <w:bCs/>
          <w:kern w:val="0"/>
          <w:sz w:val="28"/>
          <w:szCs w:val="28"/>
          <w:lang w:val="uk-UA" w:eastAsia="ru-RU"/>
          <w14:ligatures w14:val="none"/>
        </w:rPr>
        <w:t>У дослідженні використано методи порівняльного інституційного аналізу, аналізу нормативних і доктринальних документів, а також метод наукового узагальнення. Порівняльний аналіз застосовано для зіставлення інституційної структури та функціонального призначення систем професійної військової освіти США, НАТО та України. Аналіз нормативних і концептуальних документів дав змогу дослідити підходи до організації стратегічної військової освіти та її ролі у формуванні системи національної безпеки. Метод узагальнення використано для виявлення ключових тенденцій інтеграції військової освіти, стратегічних досліджень і механізмів узагальнення бойового досвіду (Lessons Learned). Для оцінки сучасного стану системи військової освіти України застосовано елементи структурно-функціонального підходу.</w:t>
      </w:r>
    </w:p>
    <w:p w14:paraId="26C6639E" w14:textId="77777777" w:rsidR="00B44B71" w:rsidRPr="00B44B71" w:rsidRDefault="00B44B71" w:rsidP="00023291">
      <w:pPr>
        <w:tabs>
          <w:tab w:val="left" w:pos="9638"/>
        </w:tabs>
        <w:spacing w:after="0" w:line="240" w:lineRule="auto"/>
        <w:ind w:firstLine="709"/>
        <w:jc w:val="both"/>
        <w:outlineLvl w:val="0"/>
        <w:rPr>
          <w:rFonts w:ascii="Times New Roman" w:eastAsia="Times New Roman" w:hAnsi="Times New Roman" w:cs="Times New Roman"/>
          <w:bCs/>
          <w:kern w:val="0"/>
          <w:sz w:val="28"/>
          <w:szCs w:val="28"/>
          <w:lang w:val="uk-UA" w:eastAsia="ru-RU"/>
          <w14:ligatures w14:val="none"/>
        </w:rPr>
      </w:pPr>
      <w:r w:rsidRPr="00B44B71">
        <w:rPr>
          <w:rFonts w:ascii="Times New Roman" w:eastAsia="Times New Roman" w:hAnsi="Times New Roman" w:cs="Times New Roman"/>
          <w:b/>
          <w:bCs/>
          <w:kern w:val="36"/>
          <w:sz w:val="28"/>
          <w:szCs w:val="28"/>
          <w:lang w:val="uk-UA" w:eastAsia="ru-RU"/>
          <w14:ligatures w14:val="none"/>
        </w:rPr>
        <w:t xml:space="preserve">Виклад основного матеріалу. </w:t>
      </w:r>
      <w:r w:rsidRPr="00B44B71">
        <w:rPr>
          <w:rFonts w:ascii="Times New Roman" w:eastAsia="Times New Roman" w:hAnsi="Times New Roman" w:cs="Times New Roman"/>
          <w:bCs/>
          <w:kern w:val="0"/>
          <w:sz w:val="28"/>
          <w:szCs w:val="28"/>
          <w:u w:val="single"/>
          <w:lang w:val="uk-UA" w:eastAsia="ru-RU"/>
          <w14:ligatures w14:val="none"/>
        </w:rPr>
        <w:t>Система військової освіти США та НАТО</w:t>
      </w:r>
      <w:r w:rsidRPr="00B44B71">
        <w:rPr>
          <w:rFonts w:ascii="Times New Roman" w:eastAsia="Times New Roman" w:hAnsi="Times New Roman" w:cs="Times New Roman"/>
          <w:bCs/>
          <w:kern w:val="0"/>
          <w:sz w:val="28"/>
          <w:szCs w:val="28"/>
          <w:lang w:val="uk-UA" w:eastAsia="ru-RU"/>
          <w14:ligatures w14:val="none"/>
        </w:rPr>
        <w:t>.</w:t>
      </w:r>
    </w:p>
    <w:p w14:paraId="23E8677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У системах США та країн НАТО професійна військова освіта вибудовується як багаторівнева модель підготовки, що відповідає різним рівням прийняття рішень у військовій сфері. Тактичний, оперативний і стратегічний рівні освіти пов’язані не лише з кар’єрним просуванням офіцерів, а передусім зі зміною характеру управлінських завдань [1</w:t>
      </w:r>
      <w:r w:rsidRPr="00B44B71">
        <w:rPr>
          <w:rFonts w:ascii="Times New Roman" w:eastAsia="Times New Roman" w:hAnsi="Times New Roman" w:cs="Times New Roman"/>
          <w:kern w:val="0"/>
          <w:sz w:val="28"/>
          <w:szCs w:val="28"/>
          <w:lang w:val="ru-RU" w:eastAsia="ru-RU"/>
          <w14:ligatures w14:val="none"/>
        </w:rPr>
        <w:t>,</w:t>
      </w:r>
      <w:r w:rsidRPr="00B44B71">
        <w:rPr>
          <w:rFonts w:ascii="Times New Roman" w:eastAsia="Times New Roman" w:hAnsi="Times New Roman" w:cs="Times New Roman"/>
          <w:kern w:val="0"/>
          <w:sz w:val="28"/>
          <w:szCs w:val="28"/>
          <w:lang w:val="uk-UA" w:eastAsia="ru-RU"/>
          <w14:ligatures w14:val="none"/>
        </w:rPr>
        <w:t xml:space="preserve"> 10].</w:t>
      </w:r>
    </w:p>
    <w:p w14:paraId="25D5E32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На стратегічному рівні освіти увага зосереджується на аналізі війни як комплексного державного явища, що включає політичні, економічні, технологічні та соціальні аспекти. У зв’язку з цим стратегічна військова освіта орієнтована не лише на підготовку старшого офіцерського складу, але й на формування ширшого кола фахівців, залучених до формування політики у сфері національної безпеки [2</w:t>
      </w:r>
      <w:r w:rsidRPr="00B44B71">
        <w:rPr>
          <w:rFonts w:ascii="Times New Roman" w:eastAsia="Times New Roman" w:hAnsi="Times New Roman" w:cs="Times New Roman"/>
          <w:kern w:val="0"/>
          <w:sz w:val="28"/>
          <w:szCs w:val="28"/>
          <w:lang w:val="ru-RU" w:eastAsia="ru-RU"/>
          <w14:ligatures w14:val="none"/>
        </w:rPr>
        <w:t>,</w:t>
      </w:r>
      <w:r w:rsidRPr="00B44B71">
        <w:rPr>
          <w:rFonts w:ascii="Times New Roman" w:eastAsia="Times New Roman" w:hAnsi="Times New Roman" w:cs="Times New Roman"/>
          <w:kern w:val="0"/>
          <w:sz w:val="28"/>
          <w:szCs w:val="28"/>
          <w:lang w:val="uk-UA" w:eastAsia="ru-RU"/>
          <w14:ligatures w14:val="none"/>
        </w:rPr>
        <w:t xml:space="preserve"> 4].</w:t>
      </w:r>
    </w:p>
    <w:p w14:paraId="1977F50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Важливу роль у цій системі відіграє </w:t>
      </w:r>
      <w:r w:rsidRPr="00B44B71">
        <w:rPr>
          <w:rFonts w:ascii="Times New Roman" w:eastAsia="Times New Roman" w:hAnsi="Times New Roman" w:cs="Times New Roman"/>
          <w:bCs/>
          <w:kern w:val="0"/>
          <w:sz w:val="28"/>
          <w:szCs w:val="28"/>
          <w:lang w:eastAsia="ru-RU"/>
          <w14:ligatures w14:val="none"/>
        </w:rPr>
        <w:t>National</w:t>
      </w:r>
      <w:r w:rsidRPr="00B44B71">
        <w:rPr>
          <w:rFonts w:ascii="Times New Roman" w:eastAsia="Times New Roman" w:hAnsi="Times New Roman" w:cs="Times New Roman"/>
          <w:bCs/>
          <w:kern w:val="0"/>
          <w:sz w:val="28"/>
          <w:szCs w:val="28"/>
          <w:lang w:val="uk-UA" w:eastAsia="ru-RU"/>
          <w14:ligatures w14:val="none"/>
        </w:rPr>
        <w:t xml:space="preserve"> </w:t>
      </w:r>
      <w:r w:rsidRPr="00B44B71">
        <w:rPr>
          <w:rFonts w:ascii="Times New Roman" w:eastAsia="Times New Roman" w:hAnsi="Times New Roman" w:cs="Times New Roman"/>
          <w:bCs/>
          <w:kern w:val="0"/>
          <w:sz w:val="28"/>
          <w:szCs w:val="28"/>
          <w:lang w:eastAsia="ru-RU"/>
          <w14:ligatures w14:val="none"/>
        </w:rPr>
        <w:t>Defense</w:t>
      </w:r>
      <w:r w:rsidRPr="00B44B71">
        <w:rPr>
          <w:rFonts w:ascii="Times New Roman" w:eastAsia="Times New Roman" w:hAnsi="Times New Roman" w:cs="Times New Roman"/>
          <w:bCs/>
          <w:kern w:val="0"/>
          <w:sz w:val="28"/>
          <w:szCs w:val="28"/>
          <w:lang w:val="uk-UA" w:eastAsia="ru-RU"/>
          <w14:ligatures w14:val="none"/>
        </w:rPr>
        <w:t xml:space="preserve"> </w:t>
      </w:r>
      <w:r w:rsidRPr="00B44B71">
        <w:rPr>
          <w:rFonts w:ascii="Times New Roman" w:eastAsia="Times New Roman" w:hAnsi="Times New Roman" w:cs="Times New Roman"/>
          <w:bCs/>
          <w:kern w:val="0"/>
          <w:sz w:val="28"/>
          <w:szCs w:val="28"/>
          <w:lang w:eastAsia="ru-RU"/>
          <w14:ligatures w14:val="none"/>
        </w:rPr>
        <w:t>University</w:t>
      </w:r>
      <w:r w:rsidRPr="00B44B71">
        <w:rPr>
          <w:rFonts w:ascii="Times New Roman" w:eastAsia="Times New Roman" w:hAnsi="Times New Roman" w:cs="Times New Roman"/>
          <w:kern w:val="0"/>
          <w:sz w:val="28"/>
          <w:szCs w:val="28"/>
          <w:lang w:val="uk-UA" w:eastAsia="ru-RU"/>
          <w14:ligatures w14:val="none"/>
        </w:rPr>
        <w:t xml:space="preserve">, який виконує функції не лише освітньої установи, але й центру стратегічних досліджень. У структурі університету функціонують коледжі за видами збройних сил та міжвидові освітні програми, а також наукові підрозділи, зокрема </w:t>
      </w:r>
      <w:r w:rsidRPr="00B44B71">
        <w:rPr>
          <w:rFonts w:ascii="Times New Roman" w:eastAsia="Times New Roman" w:hAnsi="Times New Roman" w:cs="Times New Roman"/>
          <w:bCs/>
          <w:kern w:val="0"/>
          <w:sz w:val="28"/>
          <w:szCs w:val="28"/>
          <w:lang w:eastAsia="ru-RU"/>
          <w14:ligatures w14:val="none"/>
        </w:rPr>
        <w:t>Institute</w:t>
      </w:r>
      <w:r w:rsidRPr="00B44B71">
        <w:rPr>
          <w:rFonts w:ascii="Times New Roman" w:eastAsia="Times New Roman" w:hAnsi="Times New Roman" w:cs="Times New Roman"/>
          <w:bCs/>
          <w:kern w:val="0"/>
          <w:sz w:val="28"/>
          <w:szCs w:val="28"/>
          <w:lang w:val="uk-UA" w:eastAsia="ru-RU"/>
          <w14:ligatures w14:val="none"/>
        </w:rPr>
        <w:t xml:space="preserve"> </w:t>
      </w:r>
      <w:r w:rsidRPr="00B44B71">
        <w:rPr>
          <w:rFonts w:ascii="Times New Roman" w:eastAsia="Times New Roman" w:hAnsi="Times New Roman" w:cs="Times New Roman"/>
          <w:bCs/>
          <w:kern w:val="0"/>
          <w:sz w:val="28"/>
          <w:szCs w:val="28"/>
          <w:lang w:eastAsia="ru-RU"/>
          <w14:ligatures w14:val="none"/>
        </w:rPr>
        <w:t>for</w:t>
      </w:r>
      <w:r w:rsidRPr="00B44B71">
        <w:rPr>
          <w:rFonts w:ascii="Times New Roman" w:eastAsia="Times New Roman" w:hAnsi="Times New Roman" w:cs="Times New Roman"/>
          <w:bCs/>
          <w:kern w:val="0"/>
          <w:sz w:val="28"/>
          <w:szCs w:val="28"/>
          <w:lang w:val="uk-UA" w:eastAsia="ru-RU"/>
          <w14:ligatures w14:val="none"/>
        </w:rPr>
        <w:t xml:space="preserve"> </w:t>
      </w:r>
      <w:r w:rsidRPr="00B44B71">
        <w:rPr>
          <w:rFonts w:ascii="Times New Roman" w:eastAsia="Times New Roman" w:hAnsi="Times New Roman" w:cs="Times New Roman"/>
          <w:bCs/>
          <w:kern w:val="0"/>
          <w:sz w:val="28"/>
          <w:szCs w:val="28"/>
          <w:lang w:eastAsia="ru-RU"/>
          <w14:ligatures w14:val="none"/>
        </w:rPr>
        <w:t>National</w:t>
      </w:r>
      <w:r w:rsidRPr="00B44B71">
        <w:rPr>
          <w:rFonts w:ascii="Times New Roman" w:eastAsia="Times New Roman" w:hAnsi="Times New Roman" w:cs="Times New Roman"/>
          <w:bCs/>
          <w:kern w:val="0"/>
          <w:sz w:val="28"/>
          <w:szCs w:val="28"/>
          <w:lang w:val="uk-UA" w:eastAsia="ru-RU"/>
          <w14:ligatures w14:val="none"/>
        </w:rPr>
        <w:t xml:space="preserve"> </w:t>
      </w:r>
      <w:r w:rsidRPr="00B44B71">
        <w:rPr>
          <w:rFonts w:ascii="Times New Roman" w:eastAsia="Times New Roman" w:hAnsi="Times New Roman" w:cs="Times New Roman"/>
          <w:bCs/>
          <w:kern w:val="0"/>
          <w:sz w:val="28"/>
          <w:szCs w:val="28"/>
          <w:lang w:eastAsia="ru-RU"/>
          <w14:ligatures w14:val="none"/>
        </w:rPr>
        <w:t>Strategic</w:t>
      </w:r>
      <w:r w:rsidRPr="00B44B71">
        <w:rPr>
          <w:rFonts w:ascii="Times New Roman" w:eastAsia="Times New Roman" w:hAnsi="Times New Roman" w:cs="Times New Roman"/>
          <w:bCs/>
          <w:kern w:val="0"/>
          <w:sz w:val="28"/>
          <w:szCs w:val="28"/>
          <w:lang w:val="uk-UA" w:eastAsia="ru-RU"/>
          <w14:ligatures w14:val="none"/>
        </w:rPr>
        <w:t xml:space="preserve"> </w:t>
      </w:r>
      <w:r w:rsidRPr="00B44B71">
        <w:rPr>
          <w:rFonts w:ascii="Times New Roman" w:eastAsia="Times New Roman" w:hAnsi="Times New Roman" w:cs="Times New Roman"/>
          <w:bCs/>
          <w:kern w:val="0"/>
          <w:sz w:val="28"/>
          <w:szCs w:val="28"/>
          <w:lang w:eastAsia="ru-RU"/>
          <w14:ligatures w14:val="none"/>
        </w:rPr>
        <w:t>Studies</w:t>
      </w:r>
      <w:r w:rsidRPr="00B44B71">
        <w:rPr>
          <w:rFonts w:ascii="Times New Roman" w:eastAsia="Times New Roman" w:hAnsi="Times New Roman" w:cs="Times New Roman"/>
          <w:kern w:val="0"/>
          <w:sz w:val="28"/>
          <w:szCs w:val="28"/>
          <w:lang w:val="uk-UA" w:eastAsia="ru-RU"/>
          <w14:ligatures w14:val="none"/>
        </w:rPr>
        <w:t xml:space="preserve"> [2, 3].</w:t>
      </w:r>
    </w:p>
    <w:p w14:paraId="29FF1D27"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Особливістю цієї моделі є інтеграція освіти і наукових досліджень. Наукові підрозділи університету здійснюють аналітичну роботу у сфері безпеки та оборони і водночас беруть участь у навчальному процесі. Така взаємодія дозволяє забезпечити безперервний зв’язок між науковим аналізом сучасних конфліктів, освітніми програмами та процесом стратегічного планування [2, 4].</w:t>
      </w:r>
    </w:p>
    <w:p w14:paraId="3B0E2953"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Важливою рисою системи стратегічної військової освіти США та країн НАТО є участь у навчальному процесі цивільних слухачів. До програм </w:t>
      </w:r>
      <w:r w:rsidRPr="00B44B71">
        <w:rPr>
          <w:rFonts w:ascii="Times New Roman" w:eastAsia="Times New Roman" w:hAnsi="Times New Roman" w:cs="Times New Roman"/>
          <w:kern w:val="0"/>
          <w:sz w:val="28"/>
          <w:szCs w:val="28"/>
          <w:lang w:val="uk-UA" w:eastAsia="ru-RU"/>
          <w14:ligatures w14:val="none"/>
        </w:rPr>
        <w:lastRenderedPageBreak/>
        <w:t>стратегічного рівня залучаються представники органів державної влади, аналітичних структур, оборонної промисловості та інших секторів, дотичних до формування політики національної безпеки [4].</w:t>
      </w:r>
    </w:p>
    <w:p w14:paraId="29542BE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Такий підхід сприяє формуванню спільної стратегічної культури між військовими та цивільними інституціями держави. У результаті професійна військова освіта виконує функцію не лише підготовки військових фахівців, але й формування стратегічної еліти, здатної працювати у міжвідомчому середовищі [4, 5].</w:t>
      </w:r>
    </w:p>
    <w:p w14:paraId="1D25BD4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У системі НАТО стратегічна освіта також має наднаціональний вимір. Навчальні програми </w:t>
      </w:r>
      <w:r w:rsidRPr="00B44B71">
        <w:rPr>
          <w:rFonts w:ascii="Times New Roman" w:eastAsia="Times New Roman" w:hAnsi="Times New Roman" w:cs="Times New Roman"/>
          <w:bCs/>
          <w:kern w:val="0"/>
          <w:sz w:val="28"/>
          <w:szCs w:val="28"/>
          <w:lang w:val="uk-UA" w:eastAsia="ru-RU"/>
          <w14:ligatures w14:val="none"/>
        </w:rPr>
        <w:t xml:space="preserve">NATO </w:t>
      </w:r>
      <w:r w:rsidRPr="00B44B71">
        <w:rPr>
          <w:rFonts w:ascii="Times New Roman" w:eastAsia="Times New Roman" w:hAnsi="Times New Roman" w:cs="Times New Roman"/>
          <w:bCs/>
          <w:kern w:val="0"/>
          <w:sz w:val="28"/>
          <w:szCs w:val="28"/>
          <w:lang w:eastAsia="ru-RU"/>
          <w14:ligatures w14:val="none"/>
        </w:rPr>
        <w:t>Defense</w:t>
      </w:r>
      <w:r w:rsidRPr="00B44B71">
        <w:rPr>
          <w:rFonts w:ascii="Times New Roman" w:eastAsia="Times New Roman" w:hAnsi="Times New Roman" w:cs="Times New Roman"/>
          <w:bCs/>
          <w:kern w:val="0"/>
          <w:sz w:val="28"/>
          <w:szCs w:val="28"/>
          <w:lang w:val="uk-UA" w:eastAsia="ru-RU"/>
          <w14:ligatures w14:val="none"/>
        </w:rPr>
        <w:t xml:space="preserve"> </w:t>
      </w:r>
      <w:r w:rsidRPr="00B44B71">
        <w:rPr>
          <w:rFonts w:ascii="Times New Roman" w:eastAsia="Times New Roman" w:hAnsi="Times New Roman" w:cs="Times New Roman"/>
          <w:bCs/>
          <w:kern w:val="0"/>
          <w:sz w:val="28"/>
          <w:szCs w:val="28"/>
          <w:lang w:eastAsia="ru-RU"/>
          <w14:ligatures w14:val="none"/>
        </w:rPr>
        <w:t>College</w:t>
      </w:r>
      <w:r w:rsidRPr="00B44B71">
        <w:rPr>
          <w:rFonts w:ascii="Times New Roman" w:eastAsia="Times New Roman" w:hAnsi="Times New Roman" w:cs="Times New Roman"/>
          <w:kern w:val="0"/>
          <w:sz w:val="28"/>
          <w:szCs w:val="28"/>
          <w:lang w:val="uk-UA" w:eastAsia="ru-RU"/>
          <w14:ligatures w14:val="none"/>
        </w:rPr>
        <w:t xml:space="preserve"> орієнтовані на підготовку військових і цивільних керівників до діяльності у багатонаціональному середовищі та на формування спільного розуміння сучасних загроз безпеці [9].</w:t>
      </w:r>
    </w:p>
    <w:p w14:paraId="4BDA02C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Сучасна дискусія щодо реформування системи професійної військової освіти активно ведеться і в самих країнах НАТО. Зокрема, у новітніх аналітичних публікаціях американських військових експертів підкреслюється необхідність переосмислення ролі старших військових коледжів (</w:t>
      </w:r>
      <w:r w:rsidRPr="00B44B71">
        <w:rPr>
          <w:rFonts w:ascii="Times New Roman" w:eastAsia="Times New Roman" w:hAnsi="Times New Roman" w:cs="Times New Roman"/>
          <w:bCs/>
          <w:kern w:val="0"/>
          <w:sz w:val="28"/>
          <w:szCs w:val="28"/>
          <w:lang w:val="uk-UA" w:eastAsia="ru-RU"/>
          <w14:ligatures w14:val="none"/>
        </w:rPr>
        <w:t>Senior Service Colleges</w:t>
      </w:r>
      <w:r w:rsidRPr="00B44B71">
        <w:rPr>
          <w:rFonts w:ascii="Times New Roman" w:eastAsia="Times New Roman" w:hAnsi="Times New Roman" w:cs="Times New Roman"/>
          <w:kern w:val="0"/>
          <w:sz w:val="28"/>
          <w:szCs w:val="28"/>
          <w:lang w:val="uk-UA" w:eastAsia="ru-RU"/>
          <w14:ligatures w14:val="none"/>
        </w:rPr>
        <w:t>) у підготовці стратегічних керівників. Дослідники звертають увагу на те, що надмірна концентрація на тактичних аспектах ведення бойових дій може обмежувати розвиток стратегічного мислення офіцерів, оскільки стратегічні рішення потребують інтеграції політичних, економічних, дипломатичних та інформаційних факторів [4, 5]. У цьому контексті стратегічна військова освіта розглядається як інструмент підготовки фахівців, здатних пов’язувати тактичні дії з досягненням стратегічних цілей держави.</w:t>
      </w:r>
    </w:p>
    <w:p w14:paraId="05A9BE4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Важливою складовою функціонування цих систем є інституційні механізми узагальнення бойового досвіду. Значну роль у цьому процесі відіграє </w:t>
      </w:r>
      <w:r w:rsidRPr="00B44B71">
        <w:rPr>
          <w:rFonts w:ascii="Times New Roman" w:eastAsia="Times New Roman" w:hAnsi="Times New Roman" w:cs="Times New Roman"/>
          <w:bCs/>
          <w:kern w:val="0"/>
          <w:sz w:val="28"/>
          <w:szCs w:val="28"/>
          <w:lang w:eastAsia="ru-RU"/>
          <w14:ligatures w14:val="none"/>
        </w:rPr>
        <w:t>Joint</w:t>
      </w:r>
      <w:r w:rsidRPr="00B44B71">
        <w:rPr>
          <w:rFonts w:ascii="Times New Roman" w:eastAsia="Times New Roman" w:hAnsi="Times New Roman" w:cs="Times New Roman"/>
          <w:bCs/>
          <w:kern w:val="0"/>
          <w:sz w:val="28"/>
          <w:szCs w:val="28"/>
          <w:lang w:val="uk-UA" w:eastAsia="ru-RU"/>
          <w14:ligatures w14:val="none"/>
        </w:rPr>
        <w:t xml:space="preserve"> </w:t>
      </w:r>
      <w:r w:rsidRPr="00B44B71">
        <w:rPr>
          <w:rFonts w:ascii="Times New Roman" w:eastAsia="Times New Roman" w:hAnsi="Times New Roman" w:cs="Times New Roman"/>
          <w:bCs/>
          <w:kern w:val="0"/>
          <w:sz w:val="28"/>
          <w:szCs w:val="28"/>
          <w:lang w:eastAsia="ru-RU"/>
          <w14:ligatures w14:val="none"/>
        </w:rPr>
        <w:t>Analysis</w:t>
      </w:r>
      <w:r w:rsidRPr="00B44B71">
        <w:rPr>
          <w:rFonts w:ascii="Times New Roman" w:eastAsia="Times New Roman" w:hAnsi="Times New Roman" w:cs="Times New Roman"/>
          <w:bCs/>
          <w:kern w:val="0"/>
          <w:sz w:val="28"/>
          <w:szCs w:val="28"/>
          <w:lang w:val="uk-UA" w:eastAsia="ru-RU"/>
          <w14:ligatures w14:val="none"/>
        </w:rPr>
        <w:t xml:space="preserve"> </w:t>
      </w:r>
      <w:r w:rsidRPr="00B44B71">
        <w:rPr>
          <w:rFonts w:ascii="Times New Roman" w:eastAsia="Times New Roman" w:hAnsi="Times New Roman" w:cs="Times New Roman"/>
          <w:bCs/>
          <w:kern w:val="0"/>
          <w:sz w:val="28"/>
          <w:szCs w:val="28"/>
          <w:lang w:eastAsia="ru-RU"/>
          <w14:ligatures w14:val="none"/>
        </w:rPr>
        <w:t>and</w:t>
      </w:r>
      <w:r w:rsidRPr="00B44B71">
        <w:rPr>
          <w:rFonts w:ascii="Times New Roman" w:eastAsia="Times New Roman" w:hAnsi="Times New Roman" w:cs="Times New Roman"/>
          <w:bCs/>
          <w:kern w:val="0"/>
          <w:sz w:val="28"/>
          <w:szCs w:val="28"/>
          <w:lang w:val="uk-UA" w:eastAsia="ru-RU"/>
          <w14:ligatures w14:val="none"/>
        </w:rPr>
        <w:t xml:space="preserve"> </w:t>
      </w:r>
      <w:r w:rsidRPr="00B44B71">
        <w:rPr>
          <w:rFonts w:ascii="Times New Roman" w:eastAsia="Times New Roman" w:hAnsi="Times New Roman" w:cs="Times New Roman"/>
          <w:bCs/>
          <w:kern w:val="0"/>
          <w:sz w:val="28"/>
          <w:szCs w:val="28"/>
          <w:lang w:eastAsia="ru-RU"/>
          <w14:ligatures w14:val="none"/>
        </w:rPr>
        <w:t>Lessons</w:t>
      </w:r>
      <w:r w:rsidRPr="00B44B71">
        <w:rPr>
          <w:rFonts w:ascii="Times New Roman" w:eastAsia="Times New Roman" w:hAnsi="Times New Roman" w:cs="Times New Roman"/>
          <w:bCs/>
          <w:kern w:val="0"/>
          <w:sz w:val="28"/>
          <w:szCs w:val="28"/>
          <w:lang w:val="uk-UA" w:eastAsia="ru-RU"/>
          <w14:ligatures w14:val="none"/>
        </w:rPr>
        <w:t xml:space="preserve"> </w:t>
      </w:r>
      <w:r w:rsidRPr="00B44B71">
        <w:rPr>
          <w:rFonts w:ascii="Times New Roman" w:eastAsia="Times New Roman" w:hAnsi="Times New Roman" w:cs="Times New Roman"/>
          <w:bCs/>
          <w:kern w:val="0"/>
          <w:sz w:val="28"/>
          <w:szCs w:val="28"/>
          <w:lang w:eastAsia="ru-RU"/>
          <w14:ligatures w14:val="none"/>
        </w:rPr>
        <w:t>Learned</w:t>
      </w:r>
      <w:r w:rsidRPr="00B44B71">
        <w:rPr>
          <w:rFonts w:ascii="Times New Roman" w:eastAsia="Times New Roman" w:hAnsi="Times New Roman" w:cs="Times New Roman"/>
          <w:bCs/>
          <w:kern w:val="0"/>
          <w:sz w:val="28"/>
          <w:szCs w:val="28"/>
          <w:lang w:val="uk-UA" w:eastAsia="ru-RU"/>
          <w14:ligatures w14:val="none"/>
        </w:rPr>
        <w:t xml:space="preserve"> </w:t>
      </w:r>
      <w:r w:rsidRPr="00B44B71">
        <w:rPr>
          <w:rFonts w:ascii="Times New Roman" w:eastAsia="Times New Roman" w:hAnsi="Times New Roman" w:cs="Times New Roman"/>
          <w:bCs/>
          <w:kern w:val="0"/>
          <w:sz w:val="28"/>
          <w:szCs w:val="28"/>
          <w:lang w:eastAsia="ru-RU"/>
          <w14:ligatures w14:val="none"/>
        </w:rPr>
        <w:t>Centre</w:t>
      </w:r>
      <w:r w:rsidRPr="00B44B71">
        <w:rPr>
          <w:rFonts w:ascii="Times New Roman" w:eastAsia="Times New Roman" w:hAnsi="Times New Roman" w:cs="Times New Roman"/>
          <w:bCs/>
          <w:kern w:val="0"/>
          <w:sz w:val="28"/>
          <w:szCs w:val="28"/>
          <w:lang w:val="uk-UA" w:eastAsia="ru-RU"/>
          <w14:ligatures w14:val="none"/>
        </w:rPr>
        <w:t xml:space="preserve"> (JALLC)</w:t>
      </w:r>
      <w:r w:rsidRPr="00B44B71">
        <w:rPr>
          <w:rFonts w:ascii="Times New Roman" w:eastAsia="Times New Roman" w:hAnsi="Times New Roman" w:cs="Times New Roman"/>
          <w:kern w:val="0"/>
          <w:sz w:val="28"/>
          <w:szCs w:val="28"/>
          <w:lang w:val="uk-UA" w:eastAsia="ru-RU"/>
          <w14:ligatures w14:val="none"/>
        </w:rPr>
        <w:t>, діяльність якого спрямована на системний аналіз досвіду сучасних конфліктів та інтеграцію отриманих результатів у процес планування, розвитку спроможностей та військової освіти [12–14].</w:t>
      </w:r>
    </w:p>
    <w:p w14:paraId="5BF45FEF"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Інституційна інтеграція освіти, науки та аналізу бойового досвіду забезпечує здатність системи військової освіти адаптуватися до змін характеру війни та формувати стратегічні компетенції, необхідні для державного управління у сфері безпеки й оборони [12–14].</w:t>
      </w:r>
    </w:p>
    <w:p w14:paraId="491146FD" w14:textId="77777777" w:rsidR="00B44B71" w:rsidRPr="00B44B71" w:rsidRDefault="00B44B71" w:rsidP="00023291">
      <w:pPr>
        <w:tabs>
          <w:tab w:val="left" w:pos="9638"/>
        </w:tabs>
        <w:spacing w:after="0" w:line="240" w:lineRule="auto"/>
        <w:ind w:firstLine="709"/>
        <w:jc w:val="both"/>
        <w:outlineLvl w:val="1"/>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Cs/>
          <w:kern w:val="0"/>
          <w:sz w:val="28"/>
          <w:szCs w:val="28"/>
          <w:u w:val="single"/>
          <w:lang w:val="uk-UA" w:eastAsia="ru-RU"/>
          <w14:ligatures w14:val="none"/>
        </w:rPr>
        <w:t>Стан системи військової освіти України.</w:t>
      </w:r>
      <w:r w:rsidRPr="00B44B71">
        <w:rPr>
          <w:rFonts w:ascii="Times New Roman" w:eastAsia="Times New Roman" w:hAnsi="Times New Roman" w:cs="Times New Roman"/>
          <w:b/>
          <w:bCs/>
          <w:kern w:val="0"/>
          <w:sz w:val="28"/>
          <w:szCs w:val="28"/>
          <w:lang w:val="uk-UA" w:eastAsia="ru-RU"/>
          <w14:ligatures w14:val="none"/>
        </w:rPr>
        <w:t xml:space="preserve"> </w:t>
      </w:r>
      <w:r w:rsidRPr="00B44B71">
        <w:rPr>
          <w:rFonts w:ascii="Times New Roman" w:eastAsia="Times New Roman" w:hAnsi="Times New Roman" w:cs="Times New Roman"/>
          <w:kern w:val="0"/>
          <w:sz w:val="28"/>
          <w:szCs w:val="28"/>
          <w:lang w:val="uk-UA" w:eastAsia="ru-RU"/>
          <w14:ligatures w14:val="none"/>
        </w:rPr>
        <w:t>Система військової освіти України перебуває у процесі реформування та декларує орієнтацію на стандарти НАТО. Разом з тим реальні трансформаційні процеси здебільшого зосереджені на організаційних і нормативних змінах, тоді як концептуальні засади системи освіти залишаються значною мірою незмінними [6, 7].</w:t>
      </w:r>
    </w:p>
    <w:p w14:paraId="36DD38B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У більшості випадків військова освіта продовжує розглядатися передусім як система підготовки кадрів для проходження військової служби та кар’єрного зростання офіцерів. Водночас її потенціал як інструмент формування стратегічного мислення держави використовується недостатньо.</w:t>
      </w:r>
    </w:p>
    <w:p w14:paraId="5FD5B865"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lastRenderedPageBreak/>
        <w:t>Центральним елементом системи військової освіти України є Національний університет оборони України. У структурі університету функціонують навчальні інститути, кафедри та наукові підрозділи, орієнтовані на підготовку офіцерського складу та розвиток військово-педагогічних досліджень [6].</w:t>
      </w:r>
    </w:p>
    <w:p w14:paraId="250FD475"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Незважаючи на наявність окремих елементів сучасної системи професійної військової освіти, ці елементи не утворюють цілісного інституційного контуру стратегічної освіти та стратегічної науки. Зокрема, відсутній постійний механізм інтеграції бойового досвіду, наукових досліджень та освітніх програм стратегічного рівня.</w:t>
      </w:r>
    </w:p>
    <w:p w14:paraId="6B565735"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Умови сучасної війни характеризуються значним ускладненням структури бойових дій. Планування операцій відбувається у мультидоменному середовищі, де взаємодіють різні компоненти військової сили, інформаційні системи та технологічні платформи. За таких умов стратегічні компетенції не можуть формуватися виключно у межах практичного досвіду бойових дій</w:t>
      </w:r>
      <w:r w:rsidRPr="00B44B71">
        <w:rPr>
          <w:rFonts w:ascii="Times New Roman" w:eastAsia="Times New Roman" w:hAnsi="Times New Roman" w:cs="Times New Roman"/>
          <w:kern w:val="0"/>
          <w:sz w:val="28"/>
          <w:szCs w:val="28"/>
          <w:lang w:val="ru-RU" w:eastAsia="ru-RU"/>
          <w14:ligatures w14:val="none"/>
        </w:rPr>
        <w:t xml:space="preserve"> [5]</w:t>
      </w:r>
      <w:r w:rsidRPr="00B44B71">
        <w:rPr>
          <w:rFonts w:ascii="Times New Roman" w:eastAsia="Times New Roman" w:hAnsi="Times New Roman" w:cs="Times New Roman"/>
          <w:kern w:val="0"/>
          <w:sz w:val="28"/>
          <w:szCs w:val="28"/>
          <w:lang w:val="uk-UA" w:eastAsia="ru-RU"/>
          <w14:ligatures w14:val="none"/>
        </w:rPr>
        <w:t>.</w:t>
      </w:r>
    </w:p>
    <w:p w14:paraId="6A5C69C3"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Відсутність інституційно оформленої системи узагальнення бойового досвіду призводить до того, що значна частина знань залишається фрагментованою і не інтегрується у систему стратегічної підготовки. У результаті формування стратегічних компетенцій значною мірою відбувається ситуативно.</w:t>
      </w:r>
    </w:p>
    <w:p w14:paraId="7652520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Окремою проблемою є обмежена інтеграція цивільного компоненту у систему військової освіти. На відміну від західних моделей, де стратегічні освітні програми передбачають спільне навчання військових і цивільних слухачів, в Україні військова освіта фактично ізольована від системи підготовки цивільної управлінської еліти [4].</w:t>
      </w:r>
    </w:p>
    <w:p w14:paraId="4F22B25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Додатковим фактором, що стримує розвиток стратегічної освіти, є інституційний розрив між науковими дослідженнями та навчальним процесом. Відсутність у структурі університету постійної науково-аналітичної інституції стратегічного рівня обмежує можливості інтеграції сучасних наукових підходів у підготовку слухачів.</w:t>
      </w:r>
    </w:p>
    <w:p w14:paraId="0121542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Одним із ключових компонентів розвитку сучасної системи військової освіти є формування лідерських компетенцій у військовому середовищі. У більшості країн НАТО розвиток лідерства розглядається як безперервний освітній процес, який починається на ранніх етапах підготовки майбутніх військовослужбовців і продовжується протягом усієї професійної кар’єри [4].</w:t>
      </w:r>
    </w:p>
    <w:p w14:paraId="76A6491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Такий підхід передбачає формування лідерських якостей не лише у вищих військових навчальних закладах або на стратегічному рівні освіти, а й на попередніх етапах підготовки — у військових ліцеях, військових училищах та системі базової військової підготовки. У цих умовах лідерство розглядається не як окрема навчальна дисципліна, а як наскрізний принцип підготовки військових кадрів.</w:t>
      </w:r>
    </w:p>
    <w:p w14:paraId="644FBB6B"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У національній системі військової освіти України питання розвитку лідерських компетенцій поки що реалізується переважно у вигляді окремих </w:t>
      </w:r>
      <w:r w:rsidRPr="00B44B71">
        <w:rPr>
          <w:rFonts w:ascii="Times New Roman" w:eastAsia="Times New Roman" w:hAnsi="Times New Roman" w:cs="Times New Roman"/>
          <w:kern w:val="0"/>
          <w:sz w:val="28"/>
          <w:szCs w:val="28"/>
          <w:lang w:val="uk-UA" w:eastAsia="ru-RU"/>
          <w14:ligatures w14:val="none"/>
        </w:rPr>
        <w:lastRenderedPageBreak/>
        <w:t>навчальних курсів або тренінгових програм. Такий підхід не забезпечує формування цілісної культури лідерства в системі підготовки офіцерського корпусу.</w:t>
      </w:r>
    </w:p>
    <w:p w14:paraId="61D5F42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Водночас сучасні соціологічні дослідження свідчать про зростання суспільного інтересу до розвитку лідерських якостей у системі освіти. Як показують результати досліджень українських соціологів, зокрема академіка Елла Лібанова, значна частина молоді орієнтується на розвиток лідерських компетенцій уже на ранніх етапах освіти</w:t>
      </w:r>
      <w:r w:rsidRPr="00B44B71">
        <w:rPr>
          <w:rFonts w:ascii="Times New Roman" w:eastAsia="Times New Roman" w:hAnsi="Times New Roman" w:cs="Times New Roman"/>
          <w:kern w:val="0"/>
          <w:sz w:val="28"/>
          <w:szCs w:val="28"/>
          <w:lang w:val="ru-RU" w:eastAsia="ru-RU"/>
          <w14:ligatures w14:val="none"/>
        </w:rPr>
        <w:t xml:space="preserve"> [17]</w:t>
      </w:r>
      <w:r w:rsidRPr="00B44B71">
        <w:rPr>
          <w:rFonts w:ascii="Times New Roman" w:eastAsia="Times New Roman" w:hAnsi="Times New Roman" w:cs="Times New Roman"/>
          <w:kern w:val="0"/>
          <w:sz w:val="28"/>
          <w:szCs w:val="28"/>
          <w:lang w:val="uk-UA" w:eastAsia="ru-RU"/>
          <w14:ligatures w14:val="none"/>
        </w:rPr>
        <w:t>. Це створює передумови для формування нової освітньої культури, у якій розвиток відповідальності, ініціативності та здатності працювати в команді стає важливим елементом підготовки майбутніх фахівців.</w:t>
      </w:r>
    </w:p>
    <w:p w14:paraId="6805494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З огляду на це формування лідерства у військовій сфері доцільно розглядати як безперервний процес, що охоплює різні рівні освіти — від загальноосвітньої школи та спеціалізованих військових ліцеїв до системи професійної військової освіти стратегічного рівня.</w:t>
      </w:r>
    </w:p>
    <w:p w14:paraId="2DD9D87B"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u w:val="single"/>
          <w:lang w:val="uk-UA" w:eastAsia="ru-RU"/>
          <w14:ligatures w14:val="none"/>
        </w:rPr>
        <w:t>Порівняльний аналіз систем військової освіти США, НАТО та України</w:t>
      </w:r>
      <w:r w:rsidRPr="00B44B71">
        <w:rPr>
          <w:rFonts w:ascii="Times New Roman" w:eastAsia="Times New Roman" w:hAnsi="Times New Roman" w:cs="Times New Roman"/>
          <w:kern w:val="0"/>
          <w:sz w:val="28"/>
          <w:szCs w:val="28"/>
          <w:lang w:val="uk-UA" w:eastAsia="ru-RU"/>
          <w14:ligatures w14:val="none"/>
        </w:rPr>
        <w:t xml:space="preserve"> свідчить, що основні відмінності між ними полягають не стільки в організаційній структурі освітніх установ, скільки у функціональному призначенні стратегічного рівня освіти та ролі науки у підготовці військової і цивільної управлінської еліти [2, 4, 9].</w:t>
      </w:r>
    </w:p>
    <w:p w14:paraId="1952A16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У системі США стратегічний рівень професійної військової освіти є завершальним етапом багаторівневої підготовки офіцерського складу та одночасно важливим елементом державної системи стратегічного управління. Освітні програми стратегічного рівня інтегровані з науковими дослідженнями, аналітичною діяльністю та процесом узагальнення бойового досвіду. Така інтеграція забезпечує формування спільного стратегічного мислення серед військових та цивільних фахівців, залучених до процесу прийняття рішень у сфері національної безпеки [2, 3].</w:t>
      </w:r>
    </w:p>
    <w:p w14:paraId="1207BC0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У системі НАТО стратегічна військова освіта орієнтована на підготовку керівників до діяльності у багатонаціональному середовищі. Навчальні програми спрямовані на формування політико-військового мислення, розвиток здатності до координації між союзниками та підготовку до управління складними міжнародними кризами</w:t>
      </w:r>
      <w:r w:rsidRPr="00B44B71">
        <w:rPr>
          <w:rFonts w:ascii="Times New Roman" w:eastAsia="Times New Roman" w:hAnsi="Times New Roman" w:cs="Times New Roman"/>
          <w:kern w:val="0"/>
          <w:sz w:val="28"/>
          <w:szCs w:val="28"/>
          <w:lang w:val="ru-RU" w:eastAsia="ru-RU"/>
          <w14:ligatures w14:val="none"/>
        </w:rPr>
        <w:t xml:space="preserve"> [9]</w:t>
      </w:r>
      <w:r w:rsidRPr="00B44B71">
        <w:rPr>
          <w:rFonts w:ascii="Times New Roman" w:eastAsia="Times New Roman" w:hAnsi="Times New Roman" w:cs="Times New Roman"/>
          <w:kern w:val="0"/>
          <w:sz w:val="28"/>
          <w:szCs w:val="28"/>
          <w:lang w:val="uk-UA" w:eastAsia="ru-RU"/>
          <w14:ligatures w14:val="none"/>
        </w:rPr>
        <w:t>. Особливу роль у цій системі відіграють механізми аналізу бойового досвіду та узагальнення уроків сучасних конфліктів, що дозволяє оперативно інтегрувати нові знання у процес військової освіти [12-14].</w:t>
      </w:r>
    </w:p>
    <w:p w14:paraId="4DC4FB7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В Україні система військової освіти також має багаторівневу структуру, однак стратегічний рівень підготовки поки що не сформований як функціонально завершена інституційна ланка. Основна увага зосереджена на підготовці офіцерів до виконання службових обов’язків у межах існуючої військової ієрархії, тоді як підготовка стратегів державного рівня залишається обмеженою </w:t>
      </w:r>
      <w:r w:rsidRPr="00B44B71">
        <w:rPr>
          <w:rFonts w:ascii="Times New Roman" w:eastAsia="Times New Roman" w:hAnsi="Times New Roman" w:cs="Times New Roman"/>
          <w:kern w:val="0"/>
          <w:sz w:val="28"/>
          <w:szCs w:val="28"/>
          <w:lang w:val="ru-RU" w:eastAsia="ru-RU"/>
          <w14:ligatures w14:val="none"/>
        </w:rPr>
        <w:t>[6, 7]</w:t>
      </w:r>
      <w:r w:rsidRPr="00B44B71">
        <w:rPr>
          <w:rFonts w:ascii="Times New Roman" w:eastAsia="Times New Roman" w:hAnsi="Times New Roman" w:cs="Times New Roman"/>
          <w:kern w:val="0"/>
          <w:sz w:val="28"/>
          <w:szCs w:val="28"/>
          <w:lang w:val="uk-UA" w:eastAsia="ru-RU"/>
          <w14:ligatures w14:val="none"/>
        </w:rPr>
        <w:t>.</w:t>
      </w:r>
    </w:p>
    <w:p w14:paraId="18EFAA1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У західних моделях процес стратегічного осмислення війни має інституційну сталість. Узагальнення досвіду бойових дій, розвиток </w:t>
      </w:r>
      <w:r w:rsidRPr="00B44B71">
        <w:rPr>
          <w:rFonts w:ascii="Times New Roman" w:eastAsia="Times New Roman" w:hAnsi="Times New Roman" w:cs="Times New Roman"/>
          <w:kern w:val="0"/>
          <w:sz w:val="28"/>
          <w:szCs w:val="28"/>
          <w:lang w:val="uk-UA" w:eastAsia="ru-RU"/>
          <w14:ligatures w14:val="none"/>
        </w:rPr>
        <w:lastRenderedPageBreak/>
        <w:t>доктринальних підходів і їх інтеграція в освітні програми здійснюються в межах взаємопов’язаних інституцій, що забезпечує безперервність накопичення стратегічних знань.</w:t>
      </w:r>
    </w:p>
    <w:p w14:paraId="3D5C43F7"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В українській практиці ці функції здебільшого розподілені між різними структурами або реалізуються ситуативно, що ускладнює систематизацію знань і їх використання у підготовці керівного складу.</w:t>
      </w:r>
    </w:p>
    <w:p w14:paraId="17A822E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Окрему роль у сучасних моделях військової освіти відіграє наукова діяльність. У країнах НАТО наукові дослідження у сфері безпеки і оборони безпосередньо інтегровані в освітній процес і спрямовані на аналіз майбутніх конфліктів, розвиток нових технологій та оцінку змін характеру війни. В Україні ж наукові дослідження часто існують паралельно з освітнім процесом, що обмежує їх вплив на формування стратегічних компетенцій.</w:t>
      </w:r>
    </w:p>
    <w:p w14:paraId="284F353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Отже, головною проблемою української системи військової освіти є не відсутність окремих елементів сучасної моделі, а недостатня інтеграція освіти, науки та аналізу бойового досвіду у єдину інституційну систему формування стратегічного мислення.</w:t>
      </w:r>
    </w:p>
    <w:p w14:paraId="01B9FF5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p>
    <w:p w14:paraId="57846299"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i/>
          <w:kern w:val="0"/>
          <w:sz w:val="24"/>
          <w:szCs w:val="24"/>
          <w:lang w:val="uk-UA" w:eastAsia="ru-RU"/>
          <w14:ligatures w14:val="none"/>
        </w:rPr>
      </w:pPr>
      <w:r w:rsidRPr="00B44B71">
        <w:rPr>
          <w:rFonts w:ascii="Times New Roman" w:eastAsia="Times New Roman" w:hAnsi="Times New Roman" w:cs="Times New Roman"/>
          <w:iCs/>
          <w:kern w:val="0"/>
          <w:sz w:val="24"/>
          <w:szCs w:val="24"/>
          <w:lang w:val="uk-UA" w:eastAsia="ru-RU"/>
          <w14:ligatures w14:val="none"/>
        </w:rPr>
        <w:t>Таблиця 1</w:t>
      </w:r>
    </w:p>
    <w:p w14:paraId="0CC76CD1" w14:textId="77777777" w:rsidR="00B44B71" w:rsidRPr="00B44B71" w:rsidRDefault="00B44B71" w:rsidP="00023291">
      <w:pPr>
        <w:tabs>
          <w:tab w:val="left" w:pos="9638"/>
        </w:tabs>
        <w:spacing w:after="0" w:line="360" w:lineRule="auto"/>
        <w:ind w:firstLine="709"/>
        <w:jc w:val="center"/>
        <w:rPr>
          <w:rFonts w:ascii="Times New Roman" w:eastAsia="Times New Roman" w:hAnsi="Times New Roman" w:cs="Times New Roman"/>
          <w:b/>
          <w:kern w:val="0"/>
          <w:sz w:val="28"/>
          <w:szCs w:val="28"/>
          <w:lang w:val="uk-UA" w:eastAsia="ru-RU"/>
          <w14:ligatures w14:val="none"/>
        </w:rPr>
      </w:pPr>
      <w:r w:rsidRPr="00B44B71">
        <w:rPr>
          <w:rFonts w:ascii="Times New Roman" w:eastAsia="Calibri" w:hAnsi="Times New Roman" w:cs="Times New Roman"/>
          <w:b/>
          <w:kern w:val="0"/>
          <w:sz w:val="28"/>
          <w:szCs w:val="28"/>
          <w:lang w:val="uk-UA"/>
          <w14:ligatures w14:val="none"/>
        </w:rPr>
        <w:t>Порівняльні характеристики систем військової освіти США, НАТО та України</w:t>
      </w:r>
    </w:p>
    <w:tbl>
      <w:tblPr>
        <w:tblStyle w:val="1b"/>
        <w:tblW w:w="0" w:type="auto"/>
        <w:tblLook w:val="04A0" w:firstRow="1" w:lastRow="0" w:firstColumn="1" w:lastColumn="0" w:noHBand="0" w:noVBand="1"/>
      </w:tblPr>
      <w:tblGrid>
        <w:gridCol w:w="2152"/>
        <w:gridCol w:w="2490"/>
        <w:gridCol w:w="2947"/>
        <w:gridCol w:w="2408"/>
      </w:tblGrid>
      <w:tr w:rsidR="00B44B71" w:rsidRPr="00B44B71" w14:paraId="307E760D" w14:textId="77777777" w:rsidTr="00F918EC">
        <w:tc>
          <w:tcPr>
            <w:tcW w:w="0" w:type="auto"/>
            <w:vAlign w:val="center"/>
            <w:hideMark/>
          </w:tcPr>
          <w:p w14:paraId="59A64140" w14:textId="77777777" w:rsidR="00B44B71" w:rsidRPr="00B44B71" w:rsidRDefault="00B44B71" w:rsidP="00023291">
            <w:pPr>
              <w:tabs>
                <w:tab w:val="left" w:pos="9638"/>
              </w:tabs>
              <w:ind w:firstLine="709"/>
              <w:jc w:val="center"/>
              <w:rPr>
                <w:rFonts w:ascii="Times New Roman" w:hAnsi="Times New Roman"/>
                <w:sz w:val="24"/>
                <w:szCs w:val="18"/>
                <w:lang w:eastAsia="ru-RU"/>
              </w:rPr>
            </w:pPr>
            <w:r w:rsidRPr="00B44B71">
              <w:rPr>
                <w:rFonts w:ascii="Times New Roman" w:hAnsi="Times New Roman"/>
                <w:sz w:val="24"/>
                <w:szCs w:val="18"/>
                <w:lang w:eastAsia="ru-RU"/>
              </w:rPr>
              <w:t>Критерій</w:t>
            </w:r>
          </w:p>
        </w:tc>
        <w:tc>
          <w:tcPr>
            <w:tcW w:w="2490" w:type="dxa"/>
            <w:vAlign w:val="center"/>
            <w:hideMark/>
          </w:tcPr>
          <w:p w14:paraId="5A221E59" w14:textId="77777777" w:rsidR="00B44B71" w:rsidRPr="00B44B71" w:rsidRDefault="00B44B71" w:rsidP="00023291">
            <w:pPr>
              <w:tabs>
                <w:tab w:val="left" w:pos="9638"/>
              </w:tabs>
              <w:ind w:firstLine="709"/>
              <w:jc w:val="center"/>
              <w:rPr>
                <w:rFonts w:ascii="Times New Roman" w:hAnsi="Times New Roman"/>
                <w:sz w:val="24"/>
                <w:szCs w:val="18"/>
                <w:lang w:eastAsia="ru-RU"/>
              </w:rPr>
            </w:pPr>
            <w:r w:rsidRPr="00B44B71">
              <w:rPr>
                <w:rFonts w:ascii="Times New Roman" w:hAnsi="Times New Roman"/>
                <w:sz w:val="24"/>
                <w:szCs w:val="18"/>
                <w:lang w:eastAsia="ru-RU"/>
              </w:rPr>
              <w:t>США</w:t>
            </w:r>
          </w:p>
        </w:tc>
        <w:tc>
          <w:tcPr>
            <w:tcW w:w="2947" w:type="dxa"/>
            <w:vAlign w:val="center"/>
            <w:hideMark/>
          </w:tcPr>
          <w:p w14:paraId="69F31DF6" w14:textId="77777777" w:rsidR="00B44B71" w:rsidRPr="00B44B71" w:rsidRDefault="00B44B71" w:rsidP="00023291">
            <w:pPr>
              <w:tabs>
                <w:tab w:val="left" w:pos="9638"/>
              </w:tabs>
              <w:ind w:firstLine="709"/>
              <w:jc w:val="center"/>
              <w:rPr>
                <w:rFonts w:ascii="Times New Roman" w:hAnsi="Times New Roman"/>
                <w:sz w:val="24"/>
                <w:szCs w:val="18"/>
                <w:lang w:eastAsia="ru-RU"/>
              </w:rPr>
            </w:pPr>
            <w:r w:rsidRPr="00B44B71">
              <w:rPr>
                <w:rFonts w:ascii="Times New Roman" w:hAnsi="Times New Roman"/>
                <w:sz w:val="24"/>
                <w:szCs w:val="18"/>
                <w:lang w:eastAsia="ru-RU"/>
              </w:rPr>
              <w:t>НАТО</w:t>
            </w:r>
          </w:p>
        </w:tc>
        <w:tc>
          <w:tcPr>
            <w:tcW w:w="2408" w:type="dxa"/>
            <w:vAlign w:val="center"/>
            <w:hideMark/>
          </w:tcPr>
          <w:p w14:paraId="2ED15A35" w14:textId="77777777" w:rsidR="00B44B71" w:rsidRPr="00B44B71" w:rsidRDefault="00B44B71" w:rsidP="00023291">
            <w:pPr>
              <w:tabs>
                <w:tab w:val="left" w:pos="9638"/>
              </w:tabs>
              <w:ind w:firstLine="709"/>
              <w:jc w:val="center"/>
              <w:rPr>
                <w:rFonts w:ascii="Times New Roman" w:hAnsi="Times New Roman"/>
                <w:sz w:val="24"/>
                <w:szCs w:val="18"/>
                <w:lang w:eastAsia="ru-RU"/>
              </w:rPr>
            </w:pPr>
            <w:r w:rsidRPr="00B44B71">
              <w:rPr>
                <w:rFonts w:ascii="Times New Roman" w:hAnsi="Times New Roman"/>
                <w:sz w:val="24"/>
                <w:szCs w:val="18"/>
                <w:lang w:eastAsia="ru-RU"/>
              </w:rPr>
              <w:t>Україна</w:t>
            </w:r>
          </w:p>
        </w:tc>
      </w:tr>
      <w:tr w:rsidR="00B44B71" w:rsidRPr="00F25FCF" w14:paraId="1D5D3CE9" w14:textId="77777777" w:rsidTr="00F918EC">
        <w:tc>
          <w:tcPr>
            <w:tcW w:w="0" w:type="auto"/>
            <w:vAlign w:val="center"/>
            <w:hideMark/>
          </w:tcPr>
          <w:p w14:paraId="7E839F8B"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Інституційна структура стратегічної освіти</w:t>
            </w:r>
          </w:p>
        </w:tc>
        <w:tc>
          <w:tcPr>
            <w:tcW w:w="2490" w:type="dxa"/>
            <w:vAlign w:val="center"/>
            <w:hideMark/>
          </w:tcPr>
          <w:p w14:paraId="1A8C9AFF"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Розвинена система старших військових коледжів та університетів оборони</w:t>
            </w:r>
          </w:p>
        </w:tc>
        <w:tc>
          <w:tcPr>
            <w:tcW w:w="2947" w:type="dxa"/>
            <w:vAlign w:val="center"/>
            <w:hideMark/>
          </w:tcPr>
          <w:p w14:paraId="1F22FA16"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Міжнародні освітні інституції стратегічного рівня</w:t>
            </w:r>
          </w:p>
        </w:tc>
        <w:tc>
          <w:tcPr>
            <w:tcW w:w="2408" w:type="dxa"/>
            <w:vAlign w:val="center"/>
            <w:hideMark/>
          </w:tcPr>
          <w:p w14:paraId="1BE0E27B"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Багаторівнева система військової освіти, стратегічний рівень перебуває у стадії формування</w:t>
            </w:r>
          </w:p>
        </w:tc>
      </w:tr>
      <w:tr w:rsidR="00B44B71" w:rsidRPr="00F25FCF" w14:paraId="25B76007" w14:textId="77777777" w:rsidTr="00F918EC">
        <w:tc>
          <w:tcPr>
            <w:tcW w:w="0" w:type="auto"/>
            <w:vAlign w:val="center"/>
            <w:hideMark/>
          </w:tcPr>
          <w:p w14:paraId="1CF68147"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Інтеграція освіти і наукових досліджень</w:t>
            </w:r>
          </w:p>
        </w:tc>
        <w:tc>
          <w:tcPr>
            <w:tcW w:w="2490" w:type="dxa"/>
            <w:vAlign w:val="center"/>
            <w:hideMark/>
          </w:tcPr>
          <w:p w14:paraId="37CA30F9"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Високий рівень інтеграції освіти, аналітики та стратегічних досліджень</w:t>
            </w:r>
          </w:p>
        </w:tc>
        <w:tc>
          <w:tcPr>
            <w:tcW w:w="2947" w:type="dxa"/>
            <w:vAlign w:val="center"/>
            <w:hideMark/>
          </w:tcPr>
          <w:p w14:paraId="62C5926D"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Науково-аналітичні центри інтегровані у систему військової освіти</w:t>
            </w:r>
          </w:p>
        </w:tc>
        <w:tc>
          <w:tcPr>
            <w:tcW w:w="2408" w:type="dxa"/>
            <w:vAlign w:val="center"/>
            <w:hideMark/>
          </w:tcPr>
          <w:p w14:paraId="508F54DC"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Наукові дослідження частково відокремлені від освітнього процесу</w:t>
            </w:r>
          </w:p>
        </w:tc>
      </w:tr>
      <w:tr w:rsidR="00B44B71" w:rsidRPr="00F25FCF" w14:paraId="77555CB6" w14:textId="77777777" w:rsidTr="00F918EC">
        <w:tc>
          <w:tcPr>
            <w:tcW w:w="0" w:type="auto"/>
            <w:vAlign w:val="center"/>
            <w:hideMark/>
          </w:tcPr>
          <w:p w14:paraId="06EBB9CC"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Узагальнення бойового досвіду (Lessons Learned)</w:t>
            </w:r>
          </w:p>
        </w:tc>
        <w:tc>
          <w:tcPr>
            <w:tcW w:w="2490" w:type="dxa"/>
            <w:vAlign w:val="center"/>
            <w:hideMark/>
          </w:tcPr>
          <w:p w14:paraId="1C438501"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Системна інституційна модель збору та аналізу досвіду</w:t>
            </w:r>
          </w:p>
        </w:tc>
        <w:tc>
          <w:tcPr>
            <w:tcW w:w="2947" w:type="dxa"/>
            <w:vAlign w:val="center"/>
            <w:hideMark/>
          </w:tcPr>
          <w:p w14:paraId="65522C30"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Міжнародна система аналізу та обміну досвідом</w:t>
            </w:r>
          </w:p>
        </w:tc>
        <w:tc>
          <w:tcPr>
            <w:tcW w:w="2408" w:type="dxa"/>
            <w:vAlign w:val="center"/>
            <w:hideMark/>
          </w:tcPr>
          <w:p w14:paraId="1C760974"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Механізми аналізу досвіду формуються, але залишаються фрагментованими</w:t>
            </w:r>
          </w:p>
        </w:tc>
      </w:tr>
      <w:tr w:rsidR="00B44B71" w:rsidRPr="00B44B71" w14:paraId="2D18D311" w14:textId="77777777" w:rsidTr="00F918EC">
        <w:tc>
          <w:tcPr>
            <w:tcW w:w="0" w:type="auto"/>
            <w:vAlign w:val="center"/>
            <w:hideMark/>
          </w:tcPr>
          <w:p w14:paraId="20D2AD74"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Участь цивільних слухачів</w:t>
            </w:r>
          </w:p>
        </w:tc>
        <w:tc>
          <w:tcPr>
            <w:tcW w:w="2490" w:type="dxa"/>
            <w:vAlign w:val="center"/>
            <w:hideMark/>
          </w:tcPr>
          <w:p w14:paraId="4D54EE04"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Активна участь представників державних структур</w:t>
            </w:r>
          </w:p>
        </w:tc>
        <w:tc>
          <w:tcPr>
            <w:tcW w:w="2947" w:type="dxa"/>
            <w:vAlign w:val="center"/>
            <w:hideMark/>
          </w:tcPr>
          <w:p w14:paraId="4E3BF61B"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Спільна підготовка військових і цивільних</w:t>
            </w:r>
          </w:p>
        </w:tc>
        <w:tc>
          <w:tcPr>
            <w:tcW w:w="2408" w:type="dxa"/>
            <w:vAlign w:val="center"/>
            <w:hideMark/>
          </w:tcPr>
          <w:p w14:paraId="6D5D3DCD"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Обмежена інтеграція цивільного компоненту</w:t>
            </w:r>
          </w:p>
        </w:tc>
      </w:tr>
      <w:tr w:rsidR="00B44B71" w:rsidRPr="00F25FCF" w14:paraId="0DD0F76A" w14:textId="77777777" w:rsidTr="00F918EC">
        <w:tc>
          <w:tcPr>
            <w:tcW w:w="0" w:type="auto"/>
            <w:vAlign w:val="center"/>
            <w:hideMark/>
          </w:tcPr>
          <w:p w14:paraId="2C65F4BD"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Формування стратегічної культури</w:t>
            </w:r>
          </w:p>
        </w:tc>
        <w:tc>
          <w:tcPr>
            <w:tcW w:w="2490" w:type="dxa"/>
            <w:vAlign w:val="center"/>
            <w:hideMark/>
          </w:tcPr>
          <w:p w14:paraId="5E6ACE06"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Освіта є елементом системи державного стратегічного управління</w:t>
            </w:r>
          </w:p>
        </w:tc>
        <w:tc>
          <w:tcPr>
            <w:tcW w:w="2947" w:type="dxa"/>
            <w:vAlign w:val="center"/>
            <w:hideMark/>
          </w:tcPr>
          <w:p w14:paraId="426EB471"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Орієнтація на міждержавну координацію та спільне стратегічне мислення</w:t>
            </w:r>
          </w:p>
        </w:tc>
        <w:tc>
          <w:tcPr>
            <w:tcW w:w="2408" w:type="dxa"/>
            <w:vAlign w:val="center"/>
            <w:hideMark/>
          </w:tcPr>
          <w:p w14:paraId="2C0D1AFC"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Переважно орієнтація на професійну підготовку офіцерського складу</w:t>
            </w:r>
          </w:p>
        </w:tc>
      </w:tr>
      <w:tr w:rsidR="00B44B71" w:rsidRPr="00F25FCF" w14:paraId="47AA4599" w14:textId="77777777" w:rsidTr="00F918EC">
        <w:tc>
          <w:tcPr>
            <w:tcW w:w="0" w:type="auto"/>
            <w:vAlign w:val="center"/>
            <w:hideMark/>
          </w:tcPr>
          <w:p w14:paraId="24B04406"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Роль лідерства у підготовці кадрів</w:t>
            </w:r>
          </w:p>
        </w:tc>
        <w:tc>
          <w:tcPr>
            <w:tcW w:w="2490" w:type="dxa"/>
            <w:vAlign w:val="center"/>
            <w:hideMark/>
          </w:tcPr>
          <w:p w14:paraId="192E5B98"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Лідерство формується як безперервний процес на всіх рівнях військової освіти</w:t>
            </w:r>
          </w:p>
        </w:tc>
        <w:tc>
          <w:tcPr>
            <w:tcW w:w="2947" w:type="dxa"/>
            <w:vAlign w:val="center"/>
            <w:hideMark/>
          </w:tcPr>
          <w:p w14:paraId="227C9FA7"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Значна увага розвитку лідерських компетенцій у багатонаціональному середовищі</w:t>
            </w:r>
          </w:p>
        </w:tc>
        <w:tc>
          <w:tcPr>
            <w:tcW w:w="2408" w:type="dxa"/>
            <w:vAlign w:val="center"/>
            <w:hideMark/>
          </w:tcPr>
          <w:p w14:paraId="22057D72" w14:textId="77777777" w:rsidR="00B44B71" w:rsidRPr="00B44B71" w:rsidRDefault="00B44B71" w:rsidP="00023291">
            <w:pPr>
              <w:tabs>
                <w:tab w:val="left" w:pos="9638"/>
              </w:tabs>
              <w:ind w:firstLine="709"/>
              <w:jc w:val="center"/>
              <w:rPr>
                <w:rFonts w:ascii="Times New Roman" w:hAnsi="Times New Roman"/>
                <w:sz w:val="20"/>
                <w:szCs w:val="18"/>
                <w:lang w:eastAsia="ru-RU"/>
              </w:rPr>
            </w:pPr>
            <w:r w:rsidRPr="00B44B71">
              <w:rPr>
                <w:rFonts w:ascii="Times New Roman" w:hAnsi="Times New Roman"/>
                <w:sz w:val="20"/>
                <w:szCs w:val="18"/>
                <w:lang w:eastAsia="ru-RU"/>
              </w:rPr>
              <w:t>Лідерство здебільшого розглядається як окремий навчальний компонент</w:t>
            </w:r>
          </w:p>
        </w:tc>
      </w:tr>
    </w:tbl>
    <w:p w14:paraId="6A3CC77C" w14:textId="77777777" w:rsidR="00B44B71" w:rsidRPr="00B44B71" w:rsidRDefault="00B44B71" w:rsidP="00023291">
      <w:pPr>
        <w:tabs>
          <w:tab w:val="left" w:pos="9638"/>
        </w:tabs>
        <w:spacing w:before="240" w:after="0" w:line="240" w:lineRule="auto"/>
        <w:ind w:firstLine="709"/>
        <w:jc w:val="both"/>
        <w:outlineLvl w:val="0"/>
        <w:rPr>
          <w:rFonts w:ascii="Times New Roman" w:eastAsia="Times New Roman" w:hAnsi="Times New Roman" w:cs="Times New Roman"/>
          <w:b/>
          <w:bCs/>
          <w:kern w:val="36"/>
          <w:sz w:val="28"/>
          <w:szCs w:val="28"/>
          <w:lang w:val="uk-UA" w:eastAsia="ru-RU"/>
          <w14:ligatures w14:val="none"/>
        </w:rPr>
      </w:pPr>
      <w:r w:rsidRPr="00B44B71">
        <w:rPr>
          <w:rFonts w:ascii="Times New Roman" w:eastAsia="Calibri" w:hAnsi="Times New Roman" w:cs="Times New Roman"/>
          <w:kern w:val="0"/>
          <w:sz w:val="28"/>
          <w:szCs w:val="28"/>
          <w:lang w:val="uk-UA"/>
          <w14:ligatures w14:val="none"/>
        </w:rPr>
        <w:lastRenderedPageBreak/>
        <w:t>Наведене порівняння свідчить, що ключовою відмінністю між західними моделями військової освіти та українською системою є рівень інституційної інтеграції освіти, наукових досліджень і механізмів узагальнення бойового досвіду.</w:t>
      </w:r>
    </w:p>
    <w:p w14:paraId="38BDD62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u w:val="single"/>
          <w:lang w:val="uk-UA" w:eastAsia="ru-RU"/>
          <w14:ligatures w14:val="none"/>
        </w:rPr>
        <w:t>Трансформація військової освіти України</w:t>
      </w:r>
      <w:r w:rsidRPr="00B44B71">
        <w:rPr>
          <w:rFonts w:ascii="Times New Roman" w:eastAsia="Times New Roman" w:hAnsi="Times New Roman" w:cs="Times New Roman"/>
          <w:kern w:val="0"/>
          <w:sz w:val="28"/>
          <w:szCs w:val="28"/>
          <w:lang w:val="uk-UA" w:eastAsia="ru-RU"/>
          <w14:ligatures w14:val="none"/>
        </w:rPr>
        <w:t xml:space="preserve"> має бути спрямована на формування цілісної інституційної системи стратегічної освіти, здатної забезпечити підготовку військових і цивільних керівників до діяльності в умовах сучасної війни.</w:t>
      </w:r>
    </w:p>
    <w:p w14:paraId="65CCBA61"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Основними напрямами такої трансформації є:</w:t>
      </w:r>
    </w:p>
    <w:p w14:paraId="7A1707E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Cs/>
          <w:kern w:val="0"/>
          <w:sz w:val="28"/>
          <w:szCs w:val="28"/>
          <w:lang w:val="uk-UA" w:eastAsia="ru-RU"/>
          <w14:ligatures w14:val="none"/>
        </w:rPr>
        <w:t>1. Формування завершеного стратегічного рівня професійної військової</w:t>
      </w:r>
      <w:r w:rsidRPr="00B44B71">
        <w:rPr>
          <w:rFonts w:ascii="Times New Roman" w:eastAsia="Times New Roman" w:hAnsi="Times New Roman" w:cs="Times New Roman"/>
          <w:b/>
          <w:bCs/>
          <w:kern w:val="0"/>
          <w:sz w:val="28"/>
          <w:szCs w:val="28"/>
          <w:lang w:val="uk-UA" w:eastAsia="ru-RU"/>
          <w14:ligatures w14:val="none"/>
        </w:rPr>
        <w:t xml:space="preserve"> </w:t>
      </w:r>
      <w:r w:rsidRPr="00B44B71">
        <w:rPr>
          <w:rFonts w:ascii="Times New Roman" w:eastAsia="Times New Roman" w:hAnsi="Times New Roman" w:cs="Times New Roman"/>
          <w:bCs/>
          <w:kern w:val="0"/>
          <w:sz w:val="28"/>
          <w:szCs w:val="28"/>
          <w:lang w:val="uk-UA" w:eastAsia="ru-RU"/>
          <w14:ligatures w14:val="none"/>
        </w:rPr>
        <w:t>освіти.</w:t>
      </w:r>
      <w:r w:rsidRPr="00B44B71">
        <w:rPr>
          <w:rFonts w:ascii="Times New Roman" w:eastAsia="Times New Roman" w:hAnsi="Times New Roman" w:cs="Times New Roman"/>
          <w:b/>
          <w:bCs/>
          <w:kern w:val="0"/>
          <w:sz w:val="28"/>
          <w:szCs w:val="28"/>
          <w:lang w:val="uk-UA" w:eastAsia="ru-RU"/>
          <w14:ligatures w14:val="none"/>
        </w:rPr>
        <w:t xml:space="preserve"> </w:t>
      </w:r>
      <w:r w:rsidRPr="00B44B71">
        <w:rPr>
          <w:rFonts w:ascii="Times New Roman" w:eastAsia="Times New Roman" w:hAnsi="Times New Roman" w:cs="Times New Roman"/>
          <w:kern w:val="0"/>
          <w:sz w:val="28"/>
          <w:szCs w:val="28"/>
          <w:lang w:val="uk-UA" w:eastAsia="ru-RU"/>
          <w14:ligatures w14:val="none"/>
        </w:rPr>
        <w:t>Першочерговим завданням є створення функціонально завершеного стратегічного рівня професійної військової освіти. Йдеться не лише про розширення освітніх програм, а про формування інституційного середовища, у межах якого поєднуються стратегічний аналіз, підготовка керівного складу та розвиток стратегічної культури держави.</w:t>
      </w:r>
    </w:p>
    <w:p w14:paraId="6096517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Cs/>
          <w:kern w:val="0"/>
          <w:sz w:val="28"/>
          <w:szCs w:val="28"/>
          <w:lang w:val="uk-UA" w:eastAsia="ru-RU"/>
          <w14:ligatures w14:val="none"/>
        </w:rPr>
        <w:t>2. Інтеграція наукових досліджень у систему військової освіти.</w:t>
      </w:r>
      <w:r w:rsidRPr="00B44B71">
        <w:rPr>
          <w:rFonts w:ascii="Times New Roman" w:eastAsia="Times New Roman" w:hAnsi="Times New Roman" w:cs="Times New Roman"/>
          <w:kern w:val="0"/>
          <w:sz w:val="28"/>
          <w:szCs w:val="28"/>
          <w:lang w:val="uk-UA" w:eastAsia="ru-RU"/>
          <w14:ligatures w14:val="none"/>
        </w:rPr>
        <w:br/>
        <w:t>Важливим елементом трансформації є посилення ролі стратегічних досліджень у навчальному процесі. У цьому контексті доцільним є розвиток у структурі Національного університету оборони України постійної інституції стратегічних досліджень, діяльність якої має бути спрямована на аналіз сучасних конфліктів, прогнозування розвитку безпекового середовища та участь у підготовці слухачів стратегічного рівня.</w:t>
      </w:r>
    </w:p>
    <w:p w14:paraId="01C0903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Cs/>
          <w:kern w:val="0"/>
          <w:sz w:val="28"/>
          <w:szCs w:val="28"/>
          <w:lang w:val="uk-UA" w:eastAsia="ru-RU"/>
          <w14:ligatures w14:val="none"/>
        </w:rPr>
        <w:t>3. Створення ефективної системи узагальнення бойового досвіду.</w:t>
      </w:r>
      <w:r w:rsidRPr="00B44B71">
        <w:rPr>
          <w:rFonts w:ascii="Times New Roman" w:eastAsia="Times New Roman" w:hAnsi="Times New Roman" w:cs="Times New Roman"/>
          <w:kern w:val="0"/>
          <w:sz w:val="28"/>
          <w:szCs w:val="28"/>
          <w:lang w:val="uk-UA" w:eastAsia="ru-RU"/>
          <w14:ligatures w14:val="none"/>
        </w:rPr>
        <w:br/>
        <w:t xml:space="preserve">Механізми </w:t>
      </w:r>
      <w:r w:rsidRPr="00B44B71">
        <w:rPr>
          <w:rFonts w:ascii="Times New Roman" w:eastAsia="Times New Roman" w:hAnsi="Times New Roman" w:cs="Times New Roman"/>
          <w:bCs/>
          <w:kern w:val="0"/>
          <w:sz w:val="28"/>
          <w:szCs w:val="28"/>
          <w:lang w:val="uk-UA" w:eastAsia="ru-RU"/>
          <w14:ligatures w14:val="none"/>
        </w:rPr>
        <w:t>Lessons Learned</w:t>
      </w:r>
      <w:r w:rsidRPr="00B44B71">
        <w:rPr>
          <w:rFonts w:ascii="Times New Roman" w:eastAsia="Times New Roman" w:hAnsi="Times New Roman" w:cs="Times New Roman"/>
          <w:kern w:val="0"/>
          <w:sz w:val="28"/>
          <w:szCs w:val="28"/>
          <w:lang w:val="uk-UA" w:eastAsia="ru-RU"/>
          <w14:ligatures w14:val="none"/>
        </w:rPr>
        <w:t xml:space="preserve"> повинні забезпечувати системний збір і аналіз досвіду бойових дій, його наукове осмислення та інтеграцію у навчальні програми, доктринальні документи і процес оборонного планування.</w:t>
      </w:r>
    </w:p>
    <w:p w14:paraId="536927C1"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Cs/>
          <w:kern w:val="0"/>
          <w:sz w:val="28"/>
          <w:szCs w:val="28"/>
          <w:lang w:val="uk-UA" w:eastAsia="ru-RU"/>
          <w14:ligatures w14:val="none"/>
        </w:rPr>
        <w:t>4. Розширення цивільно-військової складової стратегічної освіти.</w:t>
      </w:r>
      <w:r w:rsidRPr="00B44B71">
        <w:rPr>
          <w:rFonts w:ascii="Times New Roman" w:eastAsia="Times New Roman" w:hAnsi="Times New Roman" w:cs="Times New Roman"/>
          <w:kern w:val="0"/>
          <w:sz w:val="28"/>
          <w:szCs w:val="28"/>
          <w:lang w:val="uk-UA" w:eastAsia="ru-RU"/>
          <w14:ligatures w14:val="none"/>
        </w:rPr>
        <w:br/>
        <w:t>Важливим напрямом розвитку стратегічної освіти є залучення до освітніх програм стратегічного рівня представників цивільних державних інституцій. Спільне навчання військових і цивільних фахівців сприяє формуванню спільної стратегічної культури та підвищує ефективність державного управління у сфері національної безпеки.</w:t>
      </w:r>
    </w:p>
    <w:p w14:paraId="0427038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Cs/>
          <w:kern w:val="0"/>
          <w:sz w:val="28"/>
          <w:szCs w:val="28"/>
          <w:lang w:val="uk-UA" w:eastAsia="ru-RU"/>
          <w14:ligatures w14:val="none"/>
        </w:rPr>
        <w:t>5. Інтеграція сучасних технологічних напрямів у підготовку керівного складу.</w:t>
      </w:r>
      <w:r w:rsidRPr="00B44B71">
        <w:rPr>
          <w:rFonts w:ascii="Times New Roman" w:eastAsia="Times New Roman" w:hAnsi="Times New Roman" w:cs="Times New Roman"/>
          <w:kern w:val="0"/>
          <w:sz w:val="28"/>
          <w:szCs w:val="28"/>
          <w:lang w:val="uk-UA" w:eastAsia="ru-RU"/>
          <w14:ligatures w14:val="none"/>
        </w:rPr>
        <w:t xml:space="preserve"> У процесі трансформації військової освіти необхідно враховувати технологічні зміни, що визначають характер сучасної війни. Розвиток штучного інтелекту, аналіз великих масивів даних, кібербезпека та інші технологічні напрями дедалі більше впливають на процес стратегічного планування, тому відповідні наукові та освітні компоненти мають бути інтегровані у програми підготовки керівного складу.</w:t>
      </w:r>
    </w:p>
    <w:p w14:paraId="67BF893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Таким чином, реформування військової освіти доцільно розглядати не лише як модернізацію освітньої системи, а як важливий елемент формування стратегічної спроможності держави у сфері національної безпеки і оборони.</w:t>
      </w:r>
    </w:p>
    <w:p w14:paraId="3A00EDA2" w14:textId="77777777" w:rsidR="00B44B71" w:rsidRPr="00B44B71" w:rsidRDefault="00B44B71" w:rsidP="00023291">
      <w:pPr>
        <w:tabs>
          <w:tab w:val="left" w:pos="9638"/>
        </w:tabs>
        <w:spacing w:after="0" w:line="240" w:lineRule="auto"/>
        <w:ind w:firstLine="709"/>
        <w:jc w:val="both"/>
        <w:outlineLvl w:val="0"/>
        <w:rPr>
          <w:rFonts w:ascii="Times New Roman" w:eastAsia="Times New Roman" w:hAnsi="Times New Roman" w:cs="Times New Roman"/>
          <w:b/>
          <w:bCs/>
          <w:kern w:val="36"/>
          <w:sz w:val="28"/>
          <w:szCs w:val="28"/>
          <w:lang w:val="uk-UA" w:eastAsia="ru-RU"/>
          <w14:ligatures w14:val="none"/>
        </w:rPr>
      </w:pPr>
      <w:r w:rsidRPr="00B44B71">
        <w:rPr>
          <w:rFonts w:ascii="Times New Roman" w:eastAsia="Times New Roman" w:hAnsi="Times New Roman" w:cs="Times New Roman"/>
          <w:b/>
          <w:bCs/>
          <w:kern w:val="36"/>
          <w:sz w:val="28"/>
          <w:szCs w:val="28"/>
          <w:lang w:val="uk-UA" w:eastAsia="ru-RU"/>
          <w14:ligatures w14:val="none"/>
        </w:rPr>
        <w:lastRenderedPageBreak/>
        <w:t xml:space="preserve">Висновки. </w:t>
      </w:r>
      <w:r w:rsidRPr="00B44B71">
        <w:rPr>
          <w:rFonts w:ascii="Times New Roman" w:eastAsia="Calibri" w:hAnsi="Times New Roman" w:cs="Times New Roman"/>
          <w:kern w:val="0"/>
          <w:sz w:val="28"/>
          <w:szCs w:val="28"/>
          <w:lang w:val="uk-UA"/>
          <w14:ligatures w14:val="none"/>
        </w:rPr>
        <w:t>Професійна військова освіта стратегічного рівня є важливим елементом інституційної системи національної безпеки держави. Вона виконує функцію не лише підготовки військових кадрів, а й формування стратегічного мислення, необхідного для довгострокового планування у сфері безпеки та оборони.</w:t>
      </w:r>
    </w:p>
    <w:p w14:paraId="50A93F1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Порівняльний аналіз систем військової освіти США, НАТО та України свідчить, що ключова відмінність між ними полягає не у формальній структурі освітніх рівнів, а у рівні інституційної інтеграції освіти, стратегічної науки та механізмів узагальнення бойового досвіду. У західних моделях ці елементи функціонують як єдина система, що забезпечує безперервне накопичення стратегічних знань і підготовку військової та цивільної управлінської еліти.</w:t>
      </w:r>
    </w:p>
    <w:p w14:paraId="07E603A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В Україні, незважаючи на значний бойовий досвід, здобутий під час сучасної війни, стратегічний рівень професійної військової освіти залишається інституційно незавершеним. Відсутність системної інтеграції науки, освіти та механізмів </w:t>
      </w:r>
      <w:r w:rsidRPr="00B44B71">
        <w:rPr>
          <w:rFonts w:ascii="Times New Roman" w:eastAsia="Times New Roman" w:hAnsi="Times New Roman" w:cs="Times New Roman"/>
          <w:bCs/>
          <w:kern w:val="0"/>
          <w:sz w:val="28"/>
          <w:szCs w:val="28"/>
          <w:lang w:eastAsia="ru-RU"/>
          <w14:ligatures w14:val="none"/>
        </w:rPr>
        <w:t>Lessons</w:t>
      </w:r>
      <w:r w:rsidRPr="00B44B71">
        <w:rPr>
          <w:rFonts w:ascii="Times New Roman" w:eastAsia="Times New Roman" w:hAnsi="Times New Roman" w:cs="Times New Roman"/>
          <w:bCs/>
          <w:kern w:val="0"/>
          <w:sz w:val="28"/>
          <w:szCs w:val="28"/>
          <w:lang w:val="uk-UA" w:eastAsia="ru-RU"/>
          <w14:ligatures w14:val="none"/>
        </w:rPr>
        <w:t xml:space="preserve"> </w:t>
      </w:r>
      <w:r w:rsidRPr="00B44B71">
        <w:rPr>
          <w:rFonts w:ascii="Times New Roman" w:eastAsia="Times New Roman" w:hAnsi="Times New Roman" w:cs="Times New Roman"/>
          <w:bCs/>
          <w:kern w:val="0"/>
          <w:sz w:val="28"/>
          <w:szCs w:val="28"/>
          <w:lang w:eastAsia="ru-RU"/>
          <w14:ligatures w14:val="none"/>
        </w:rPr>
        <w:t>Learned</w:t>
      </w:r>
      <w:r w:rsidRPr="00B44B71">
        <w:rPr>
          <w:rFonts w:ascii="Times New Roman" w:eastAsia="Times New Roman" w:hAnsi="Times New Roman" w:cs="Times New Roman"/>
          <w:kern w:val="0"/>
          <w:sz w:val="28"/>
          <w:szCs w:val="28"/>
          <w:lang w:val="uk-UA" w:eastAsia="ru-RU"/>
          <w14:ligatures w14:val="none"/>
        </w:rPr>
        <w:t xml:space="preserve"> обмежує можливості трансформації бойового досвіду у стратегічні знання та їх використання у процесі державного стратегічного планування.</w:t>
      </w:r>
    </w:p>
    <w:p w14:paraId="1E274DF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Важливим компонентом розвитку сучасної військової освіти є формування лідерських компетенцій у військовому середовищі. Лідерство доцільно розглядати не як окрему дисципліну у системі підготовки офіцерів, а як наскрізний принцип розвитку військових кадрів на всіх рівнях освіти. Формування таких компетенцій має починатися на ранніх етапах підготовки — у військових ліцеях, спеціалізованих навчальних закладах та системі базової військової підготовки.</w:t>
      </w:r>
    </w:p>
    <w:p w14:paraId="64E732A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Отже, трансформація військової освіти України має виходити за межі адаптації до формальних стандартів і бути спрямованою на створення цілісної системи стратегічної освіти, інтегрованої з науковими дослідженнями, аналізом бойового досвіду та підготовкою як військової, так і цивільної управлінської еліти.</w:t>
      </w:r>
    </w:p>
    <w:p w14:paraId="148F31C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Подальші дослідження доцільно зосередити на аналізі інституційних механізмів узагальнення бойового досвіду та його інтеграції у систему військової освіти.</w:t>
      </w:r>
    </w:p>
    <w:p w14:paraId="54752B21" w14:textId="77777777" w:rsidR="00B44B71" w:rsidRPr="00B44B71" w:rsidRDefault="00B44B71" w:rsidP="00023291">
      <w:pPr>
        <w:tabs>
          <w:tab w:val="left" w:pos="9638"/>
        </w:tabs>
        <w:spacing w:after="0" w:line="240" w:lineRule="auto"/>
        <w:ind w:firstLine="709"/>
        <w:jc w:val="both"/>
        <w:outlineLvl w:val="0"/>
        <w:rPr>
          <w:rFonts w:ascii="Times New Roman" w:eastAsia="Times New Roman" w:hAnsi="Times New Roman" w:cs="Times New Roman"/>
          <w:bCs/>
          <w:kern w:val="36"/>
          <w:sz w:val="28"/>
          <w:szCs w:val="28"/>
          <w:lang w:val="uk-UA" w:eastAsia="ru-RU"/>
          <w14:ligatures w14:val="none"/>
        </w:rPr>
      </w:pPr>
      <w:r w:rsidRPr="00B44B71">
        <w:rPr>
          <w:rFonts w:ascii="Times New Roman" w:eastAsia="Times New Roman" w:hAnsi="Times New Roman" w:cs="Times New Roman"/>
          <w:b/>
          <w:bCs/>
          <w:kern w:val="36"/>
          <w:sz w:val="28"/>
          <w:szCs w:val="28"/>
          <w:lang w:val="uk-UA" w:eastAsia="ru-RU"/>
          <w14:ligatures w14:val="none"/>
        </w:rPr>
        <w:t xml:space="preserve">Напрями подальших досліджень. </w:t>
      </w:r>
      <w:r w:rsidRPr="00B44B71">
        <w:rPr>
          <w:rFonts w:ascii="Times New Roman" w:eastAsia="Times New Roman" w:hAnsi="Times New Roman" w:cs="Times New Roman"/>
          <w:bCs/>
          <w:kern w:val="36"/>
          <w:sz w:val="28"/>
          <w:szCs w:val="28"/>
          <w:lang w:val="uk-UA" w:eastAsia="ru-RU"/>
          <w14:ligatures w14:val="none"/>
        </w:rPr>
        <w:t>Проведений аналіз не вичерпує всього спектра проблем, пов’язаних із трансформацією військової освіти в умовах сучасної війни, а лише окреслює ключові інституційні аспекти формування стратегічної освіти. Подальші дослідження доцільно зосередити на кількох напрямах.</w:t>
      </w:r>
    </w:p>
    <w:p w14:paraId="2E0485A7"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Cs/>
          <w:kern w:val="0"/>
          <w:sz w:val="28"/>
          <w:szCs w:val="28"/>
          <w:lang w:val="uk-UA" w:eastAsia="ru-RU"/>
          <w14:ligatures w14:val="none"/>
        </w:rPr>
        <w:t>По-перше</w:t>
      </w:r>
      <w:r w:rsidRPr="00B44B71">
        <w:rPr>
          <w:rFonts w:ascii="Times New Roman" w:eastAsia="Times New Roman" w:hAnsi="Times New Roman" w:cs="Times New Roman"/>
          <w:kern w:val="0"/>
          <w:sz w:val="28"/>
          <w:szCs w:val="28"/>
          <w:lang w:val="uk-UA" w:eastAsia="ru-RU"/>
          <w14:ligatures w14:val="none"/>
        </w:rPr>
        <w:t>, перспективним є поглиблений аналіз моделей стратегічної освіти цивільної управлінської еліти в державах — членах НАТО, зокрема ролі університетів оборони у підготовці державних службовців, парламентарів та аналітиків сектору безпеки.</w:t>
      </w:r>
    </w:p>
    <w:p w14:paraId="7E882A63"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Cs/>
          <w:kern w:val="0"/>
          <w:sz w:val="28"/>
          <w:szCs w:val="28"/>
          <w:lang w:val="uk-UA" w:eastAsia="ru-RU"/>
          <w14:ligatures w14:val="none"/>
        </w:rPr>
        <w:t>По-друге</w:t>
      </w:r>
      <w:r w:rsidRPr="00B44B71">
        <w:rPr>
          <w:rFonts w:ascii="Times New Roman" w:eastAsia="Times New Roman" w:hAnsi="Times New Roman" w:cs="Times New Roman"/>
          <w:kern w:val="0"/>
          <w:sz w:val="28"/>
          <w:szCs w:val="28"/>
          <w:lang w:val="uk-UA" w:eastAsia="ru-RU"/>
          <w14:ligatures w14:val="none"/>
        </w:rPr>
        <w:t xml:space="preserve">, окремого дослідження потребують механізми інтеграції стратегічної науки та професійної військової освіти, включно з роллю </w:t>
      </w:r>
      <w:r w:rsidRPr="00B44B71">
        <w:rPr>
          <w:rFonts w:ascii="Times New Roman" w:eastAsia="Times New Roman" w:hAnsi="Times New Roman" w:cs="Times New Roman"/>
          <w:kern w:val="0"/>
          <w:sz w:val="28"/>
          <w:szCs w:val="28"/>
          <w:lang w:val="uk-UA" w:eastAsia="ru-RU"/>
          <w14:ligatures w14:val="none"/>
        </w:rPr>
        <w:lastRenderedPageBreak/>
        <w:t>університетських центрів стратегічних досліджень у формуванні доктринальних документів і стратегій національної безпеки.</w:t>
      </w:r>
    </w:p>
    <w:p w14:paraId="48CF062F"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Cs/>
          <w:kern w:val="0"/>
          <w:sz w:val="28"/>
          <w:szCs w:val="28"/>
          <w:lang w:val="uk-UA" w:eastAsia="ru-RU"/>
          <w14:ligatures w14:val="none"/>
        </w:rPr>
        <w:t>По-третє</w:t>
      </w:r>
      <w:r w:rsidRPr="00B44B71">
        <w:rPr>
          <w:rFonts w:ascii="Times New Roman" w:eastAsia="Times New Roman" w:hAnsi="Times New Roman" w:cs="Times New Roman"/>
          <w:kern w:val="0"/>
          <w:sz w:val="28"/>
          <w:szCs w:val="28"/>
          <w:lang w:val="uk-UA" w:eastAsia="ru-RU"/>
          <w14:ligatures w14:val="none"/>
        </w:rPr>
        <w:t xml:space="preserve">, актуальним напрямом є дослідження механізмів трансформації бойового досвіду у системні знання через інституції </w:t>
      </w:r>
      <w:r w:rsidRPr="00B44B71">
        <w:rPr>
          <w:rFonts w:ascii="Times New Roman" w:eastAsia="Times New Roman" w:hAnsi="Times New Roman" w:cs="Times New Roman"/>
          <w:bCs/>
          <w:kern w:val="0"/>
          <w:sz w:val="28"/>
          <w:szCs w:val="28"/>
          <w:lang w:val="uk-UA" w:eastAsia="ru-RU"/>
          <w14:ligatures w14:val="none"/>
        </w:rPr>
        <w:t>Lessons Learned</w:t>
      </w:r>
      <w:r w:rsidRPr="00B44B71">
        <w:rPr>
          <w:rFonts w:ascii="Times New Roman" w:eastAsia="Times New Roman" w:hAnsi="Times New Roman" w:cs="Times New Roman"/>
          <w:kern w:val="0"/>
          <w:sz w:val="28"/>
          <w:szCs w:val="28"/>
          <w:lang w:val="uk-UA" w:eastAsia="ru-RU"/>
          <w14:ligatures w14:val="none"/>
        </w:rPr>
        <w:t xml:space="preserve"> та їх інтеграцію у навчальні програми оперативного і стратегічного рівнів.</w:t>
      </w:r>
    </w:p>
    <w:p w14:paraId="492D1A6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Cs/>
          <w:kern w:val="0"/>
          <w:sz w:val="28"/>
          <w:szCs w:val="28"/>
          <w:lang w:val="uk-UA" w:eastAsia="ru-RU"/>
          <w14:ligatures w14:val="none"/>
        </w:rPr>
        <w:t>По-четверте</w:t>
      </w:r>
      <w:r w:rsidRPr="00B44B71">
        <w:rPr>
          <w:rFonts w:ascii="Times New Roman" w:eastAsia="Times New Roman" w:hAnsi="Times New Roman" w:cs="Times New Roman"/>
          <w:kern w:val="0"/>
          <w:sz w:val="28"/>
          <w:szCs w:val="28"/>
          <w:lang w:val="uk-UA" w:eastAsia="ru-RU"/>
          <w14:ligatures w14:val="none"/>
        </w:rPr>
        <w:t>, важливим напрямом подальших досліджень є формування системи розвитку лідерських компетенцій у секторі безпеки і оборони. Йдеться про створення безперервної моделі розвитку лідерства, що охоплює різні етапи освіти — від загальноосвітньої школи та військових ліцеїв до військових навчальних закладів і програм стратегічної освіти.</w:t>
      </w:r>
    </w:p>
    <w:p w14:paraId="625ADFBF"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Необхідність такого підходу підтверджується сучасними соціологічними дослідженнями, які демонструють зростання суспільного запиту на розвиток лідерських якостей у системі освіти. Водночас формування ефективного лідерства у військовій сфері має поєднувати розвиток індивідуальної відповідальності з формуванням культури командної взаємодії та державного служіння.</w:t>
      </w:r>
    </w:p>
    <w:p w14:paraId="534685A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p>
    <w:p w14:paraId="5382BE72"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b/>
          <w:kern w:val="0"/>
          <w:sz w:val="24"/>
          <w:szCs w:val="24"/>
          <w:lang w:val="uk-UA" w:eastAsia="ru-RU"/>
          <w14:ligatures w14:val="none"/>
        </w:rPr>
      </w:pPr>
      <w:r w:rsidRPr="00B44B71">
        <w:rPr>
          <w:rFonts w:ascii="Times New Roman" w:eastAsia="Calibri" w:hAnsi="Times New Roman" w:cs="Times New Roman"/>
          <w:b/>
          <w:kern w:val="0"/>
          <w:sz w:val="24"/>
          <w:szCs w:val="24"/>
          <w:shd w:val="clear" w:color="auto" w:fill="FFFFFF"/>
          <w:lang w:val="uk-UA"/>
          <w14:ligatures w14:val="none"/>
        </w:rPr>
        <w:t>ЛІТЕРАТУРА</w:t>
      </w:r>
    </w:p>
    <w:p w14:paraId="59D106A3" w14:textId="77777777" w:rsidR="00B44B71" w:rsidRPr="00B44B71" w:rsidRDefault="00B44B71" w:rsidP="006025B7">
      <w:pPr>
        <w:numPr>
          <w:ilvl w:val="0"/>
          <w:numId w:val="7"/>
        </w:numPr>
        <w:tabs>
          <w:tab w:val="left" w:pos="1418"/>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CJCSI 1800.01G — Officer Professional Military Education Policy (2024, April 15). URL: https://www.jcs.mil/Portals/36/Documents/Library/Instructions/CJCSI%201800.01G.pdf</w:t>
      </w:r>
    </w:p>
    <w:p w14:paraId="42F87248" w14:textId="77777777" w:rsidR="00B44B71" w:rsidRPr="00B44B71" w:rsidRDefault="00B44B71" w:rsidP="006025B7">
      <w:pPr>
        <w:numPr>
          <w:ilvl w:val="0"/>
          <w:numId w:val="7"/>
        </w:numPr>
        <w:tabs>
          <w:tab w:val="left" w:pos="1418"/>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National Defense University. URL: https://www.ndu.edu/</w:t>
      </w:r>
    </w:p>
    <w:p w14:paraId="5045108B" w14:textId="77777777" w:rsidR="00B44B71" w:rsidRPr="00B44B71" w:rsidRDefault="00B44B71" w:rsidP="006025B7">
      <w:pPr>
        <w:numPr>
          <w:ilvl w:val="0"/>
          <w:numId w:val="7"/>
        </w:numPr>
        <w:tabs>
          <w:tab w:val="left" w:pos="1418"/>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bCs/>
          <w:kern w:val="0"/>
          <w:sz w:val="24"/>
          <w:szCs w:val="24"/>
          <w14:ligatures w14:val="none"/>
        </w:rPr>
        <w:t xml:space="preserve">Ryan Wadle, Heather Venable. </w:t>
      </w:r>
      <w:r w:rsidRPr="00B44B71">
        <w:rPr>
          <w:rFonts w:ascii="Calibri" w:eastAsia="Calibri" w:hAnsi="Calibri" w:cs="Times New Roman"/>
          <w:bCs/>
          <w:kern w:val="0"/>
          <w:sz w:val="24"/>
          <w:szCs w:val="24"/>
          <w14:ligatures w14:val="none"/>
        </w:rPr>
        <w:t xml:space="preserve">(2025, December 30). </w:t>
      </w:r>
      <w:r w:rsidRPr="00B44B71">
        <w:rPr>
          <w:rFonts w:ascii="Times New Roman" w:eastAsia="Calibri" w:hAnsi="Times New Roman" w:cs="Times New Roman"/>
          <w:bCs/>
          <w:kern w:val="0"/>
          <w:sz w:val="24"/>
          <w:szCs w:val="24"/>
          <w14:ligatures w14:val="none"/>
        </w:rPr>
        <w:t xml:space="preserve">Breadth or Depth: The Ongoing Battle in Professional Military Education. </w:t>
      </w:r>
      <w:r w:rsidRPr="00B44B71">
        <w:rPr>
          <w:rFonts w:ascii="Calibri" w:eastAsia="Calibri" w:hAnsi="Calibri" w:cs="Times New Roman"/>
          <w:bCs/>
          <w:kern w:val="0"/>
          <w:sz w:val="24"/>
          <w:szCs w:val="24"/>
          <w14:ligatures w14:val="none"/>
        </w:rPr>
        <w:t xml:space="preserve">URL: </w:t>
      </w:r>
      <w:r w:rsidRPr="00B44B71">
        <w:rPr>
          <w:rFonts w:ascii="Times New Roman" w:eastAsia="Calibri" w:hAnsi="Times New Roman" w:cs="Times New Roman"/>
          <w:bCs/>
          <w:kern w:val="0"/>
          <w:sz w:val="24"/>
          <w:szCs w:val="24"/>
          <w14:ligatures w14:val="none"/>
        </w:rPr>
        <w:t>https://ndupress.ndu.edu/Media/News/News-Article-View/Article/4364889/breadth-or-depth-the-ongoing-battle-in-professional-military-education/</w:t>
      </w:r>
    </w:p>
    <w:p w14:paraId="04987CEA" w14:textId="77777777" w:rsidR="00B44B71" w:rsidRPr="00B44B71" w:rsidRDefault="00B44B71" w:rsidP="006025B7">
      <w:pPr>
        <w:numPr>
          <w:ilvl w:val="0"/>
          <w:numId w:val="7"/>
        </w:numPr>
        <w:tabs>
          <w:tab w:val="left" w:pos="1418"/>
          <w:tab w:val="left" w:pos="9638"/>
        </w:tabs>
        <w:spacing w:after="0" w:line="240" w:lineRule="auto"/>
        <w:ind w:firstLine="709"/>
        <w:contextualSpacing/>
        <w:jc w:val="both"/>
        <w:rPr>
          <w:rFonts w:ascii="Calibri" w:eastAsia="Calibri" w:hAnsi="Calibri" w:cs="Times New Roman"/>
          <w:color w:val="212529"/>
          <w:kern w:val="0"/>
          <w:sz w:val="24"/>
          <w:szCs w:val="24"/>
          <w:lang w:val="uk-UA"/>
          <w14:ligatures w14:val="none"/>
        </w:rPr>
      </w:pPr>
      <w:r w:rsidRPr="00B44B71">
        <w:rPr>
          <w:rFonts w:ascii="Times New Roman" w:eastAsia="Calibri" w:hAnsi="Times New Roman" w:cs="Times New Roman"/>
          <w:bCs/>
          <w:kern w:val="0"/>
          <w:sz w:val="24"/>
          <w:szCs w:val="24"/>
          <w14:ligatures w14:val="none"/>
        </w:rPr>
        <w:t>Tim Devine</w:t>
      </w:r>
      <w:r w:rsidRPr="00B44B71">
        <w:rPr>
          <w:rFonts w:ascii="Times New Roman" w:eastAsia="Calibri" w:hAnsi="Times New Roman" w:cs="Times New Roman"/>
          <w:bCs/>
          <w:kern w:val="0"/>
          <w:sz w:val="24"/>
          <w:szCs w:val="24"/>
          <w:lang w:val="uk-UA"/>
          <w14:ligatures w14:val="none"/>
        </w:rPr>
        <w:t xml:space="preserve">, </w:t>
      </w:r>
      <w:r w:rsidRPr="00B44B71">
        <w:rPr>
          <w:rFonts w:ascii="Times New Roman" w:eastAsia="Calibri" w:hAnsi="Times New Roman" w:cs="Times New Roman"/>
          <w:bCs/>
          <w:kern w:val="0"/>
          <w:sz w:val="24"/>
          <w:szCs w:val="24"/>
          <w14:ligatures w14:val="none"/>
        </w:rPr>
        <w:t xml:space="preserve">Todd Graham. (2026, January 20). Change or Just Cheating? Overhauling Professional Military Education for the AI Era. </w:t>
      </w:r>
      <w:r w:rsidRPr="00B44B71">
        <w:rPr>
          <w:rFonts w:ascii="Calibri" w:eastAsia="Calibri" w:hAnsi="Calibri" w:cs="Times New Roman"/>
          <w:bCs/>
          <w:kern w:val="0"/>
          <w:sz w:val="24"/>
          <w:szCs w:val="24"/>
          <w14:ligatures w14:val="none"/>
        </w:rPr>
        <w:t xml:space="preserve">URL: </w:t>
      </w:r>
      <w:r w:rsidRPr="00B44B71">
        <w:rPr>
          <w:rFonts w:ascii="Times New Roman" w:eastAsia="Calibri" w:hAnsi="Times New Roman" w:cs="Times New Roman"/>
          <w:bCs/>
          <w:kern w:val="0"/>
          <w:sz w:val="24"/>
          <w:szCs w:val="24"/>
          <w14:ligatures w14:val="none"/>
        </w:rPr>
        <w:t xml:space="preserve">https://warontherocks.com/2026/01/change-or-just-cheating-overhauling-professional-military-education-for-the-ai-era/ </w:t>
      </w:r>
    </w:p>
    <w:p w14:paraId="68FCDD5E" w14:textId="77777777" w:rsidR="00B44B71" w:rsidRPr="00B44B71" w:rsidRDefault="00B44B71" w:rsidP="006025B7">
      <w:pPr>
        <w:numPr>
          <w:ilvl w:val="0"/>
          <w:numId w:val="7"/>
        </w:numPr>
        <w:tabs>
          <w:tab w:val="left" w:pos="1418"/>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Institute for National Strategic Studies. National Defense University. URL: https://inss.ndu.edu/</w:t>
      </w:r>
    </w:p>
    <w:p w14:paraId="47C56079" w14:textId="77777777" w:rsidR="00B44B71" w:rsidRPr="00B44B71" w:rsidRDefault="00B44B71" w:rsidP="006025B7">
      <w:pPr>
        <w:numPr>
          <w:ilvl w:val="0"/>
          <w:numId w:val="7"/>
        </w:numPr>
        <w:tabs>
          <w:tab w:val="left" w:pos="1418"/>
          <w:tab w:val="left" w:pos="9638"/>
        </w:tabs>
        <w:spacing w:after="0" w:line="240" w:lineRule="auto"/>
        <w:ind w:firstLine="709"/>
        <w:contextualSpacing/>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color w:val="212529"/>
          <w:kern w:val="0"/>
          <w:sz w:val="24"/>
          <w:szCs w:val="24"/>
          <w:lang w:val="uk-UA"/>
          <w14:ligatures w14:val="none"/>
        </w:rPr>
        <w:t>Національний університет оборони України. Структурні підрозділи університету.</w:t>
      </w:r>
      <w:r w:rsidRPr="00B44B71">
        <w:rPr>
          <w:rFonts w:ascii="Times New Roman" w:eastAsia="Calibri" w:hAnsi="Times New Roman" w:cs="Times New Roman"/>
          <w:color w:val="212529"/>
          <w:kern w:val="0"/>
          <w:sz w:val="24"/>
          <w:szCs w:val="24"/>
          <w:lang w:val="ru-RU"/>
          <w14:ligatures w14:val="none"/>
        </w:rPr>
        <w:t xml:space="preserve"> </w:t>
      </w:r>
      <w:r w:rsidRPr="00B44B71">
        <w:rPr>
          <w:rFonts w:ascii="Times New Roman" w:eastAsia="Calibri" w:hAnsi="Times New Roman" w:cs="Times New Roman"/>
          <w:kern w:val="0"/>
          <w:sz w:val="24"/>
          <w:szCs w:val="24"/>
          <w14:ligatures w14:val="none"/>
        </w:rPr>
        <w:t>URL:</w:t>
      </w:r>
      <w:r w:rsidRPr="00B44B71">
        <w:rPr>
          <w:rFonts w:ascii="Times New Roman" w:eastAsia="Calibri" w:hAnsi="Times New Roman" w:cs="Times New Roman"/>
          <w:color w:val="212529"/>
          <w:kern w:val="0"/>
          <w:sz w:val="24"/>
          <w:szCs w:val="24"/>
          <w:lang w:val="uk-UA"/>
          <w14:ligatures w14:val="none"/>
        </w:rPr>
        <w:t xml:space="preserve"> https://nuou.org.ua/u/stru/</w:t>
      </w:r>
    </w:p>
    <w:p w14:paraId="7A12EF6D" w14:textId="77777777" w:rsidR="00B44B71" w:rsidRPr="00B44B71" w:rsidRDefault="00B44B71" w:rsidP="006025B7">
      <w:pPr>
        <w:numPr>
          <w:ilvl w:val="0"/>
          <w:numId w:val="7"/>
        </w:numPr>
        <w:tabs>
          <w:tab w:val="left" w:pos="1418"/>
          <w:tab w:val="left" w:pos="9638"/>
        </w:tabs>
        <w:spacing w:after="0" w:line="240" w:lineRule="auto"/>
        <w:ind w:firstLine="709"/>
        <w:contextualSpacing/>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uk-UA"/>
          <w14:ligatures w14:val="none"/>
        </w:rPr>
        <w:t xml:space="preserve">Андрій Вітченко. </w:t>
      </w:r>
      <w:r w:rsidRPr="00B44B71">
        <w:rPr>
          <w:rFonts w:ascii="Times New Roman" w:eastAsia="Calibri" w:hAnsi="Times New Roman" w:cs="Times New Roman"/>
          <w:kern w:val="0"/>
          <w:sz w:val="24"/>
          <w:szCs w:val="24"/>
          <w:lang w:val="ru-RU"/>
          <w14:ligatures w14:val="none"/>
        </w:rPr>
        <w:t xml:space="preserve">(2025). </w:t>
      </w:r>
      <w:r w:rsidRPr="00B44B71">
        <w:rPr>
          <w:rFonts w:ascii="Times New Roman" w:eastAsia="Calibri" w:hAnsi="Times New Roman" w:cs="Times New Roman"/>
          <w:kern w:val="0"/>
          <w:sz w:val="24"/>
          <w:szCs w:val="24"/>
          <w:lang w:val="uk-UA"/>
          <w14:ligatures w14:val="none"/>
        </w:rPr>
        <w:t>Військово-педагогічна наука в Україні: сучасний стан, проблеми та пріоритети інноваційного розвитку</w:t>
      </w:r>
      <w:r w:rsidRPr="00B44B71">
        <w:rPr>
          <w:rFonts w:ascii="Times New Roman" w:eastAsia="Calibri" w:hAnsi="Times New Roman" w:cs="Times New Roman"/>
          <w:i/>
          <w:kern w:val="0"/>
          <w:sz w:val="24"/>
          <w:szCs w:val="24"/>
          <w:lang w:val="uk-UA"/>
          <w14:ligatures w14:val="none"/>
        </w:rPr>
        <w:t>.</w:t>
      </w:r>
      <w:r w:rsidRPr="00B44B71">
        <w:rPr>
          <w:rFonts w:ascii="Times New Roman" w:eastAsia="Calibri" w:hAnsi="Times New Roman" w:cs="Times New Roman"/>
          <w:kern w:val="0"/>
          <w:sz w:val="24"/>
          <w:szCs w:val="24"/>
          <w:lang w:val="uk-UA"/>
          <w14:ligatures w14:val="none"/>
        </w:rPr>
        <w:t xml:space="preserve"> Національний університет оборони України. </w:t>
      </w:r>
      <w:r w:rsidRPr="00B44B71">
        <w:rPr>
          <w:rFonts w:ascii="Times New Roman" w:eastAsia="Calibri" w:hAnsi="Times New Roman" w:cs="Times New Roman"/>
          <w:i/>
          <w:kern w:val="0"/>
          <w:sz w:val="24"/>
          <w:szCs w:val="24"/>
          <w:lang w:val="uk-UA"/>
          <w14:ligatures w14:val="none"/>
        </w:rPr>
        <w:t>Збірник наукових праць "Військова освіта</w:t>
      </w:r>
      <w:r w:rsidRPr="00B44B71">
        <w:rPr>
          <w:rFonts w:ascii="Times New Roman" w:eastAsia="Calibri" w:hAnsi="Times New Roman" w:cs="Times New Roman"/>
          <w:kern w:val="0"/>
          <w:sz w:val="24"/>
          <w:szCs w:val="24"/>
          <w:lang w:val="uk-UA"/>
          <w14:ligatures w14:val="none"/>
        </w:rPr>
        <w:t>", №2 (52), 45-60.</w:t>
      </w:r>
    </w:p>
    <w:p w14:paraId="437810E6" w14:textId="77777777" w:rsidR="00B44B71" w:rsidRPr="00B44B71" w:rsidRDefault="00B44B71" w:rsidP="006025B7">
      <w:pPr>
        <w:numPr>
          <w:ilvl w:val="0"/>
          <w:numId w:val="7"/>
        </w:numPr>
        <w:tabs>
          <w:tab w:val="left" w:pos="1418"/>
          <w:tab w:val="left" w:pos="9638"/>
        </w:tabs>
        <w:spacing w:after="0" w:line="240" w:lineRule="auto"/>
        <w:ind w:firstLine="709"/>
        <w:contextualSpacing/>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uk-UA"/>
          <w14:ligatures w14:val="none"/>
        </w:rPr>
        <w:t>Світлана Бондаренко, Андрій Гупало. (2025). Інтеграція AI у військову освіту: бібліометричний аналіз глобальний тенденцій та пріоритети України</w:t>
      </w:r>
      <w:r w:rsidRPr="00B44B71">
        <w:rPr>
          <w:rFonts w:ascii="Times New Roman" w:eastAsia="Calibri" w:hAnsi="Times New Roman" w:cs="Times New Roman"/>
          <w:i/>
          <w:kern w:val="0"/>
          <w:sz w:val="24"/>
          <w:szCs w:val="24"/>
          <w:lang w:val="uk-UA"/>
          <w14:ligatures w14:val="none"/>
        </w:rPr>
        <w:t>.</w:t>
      </w:r>
      <w:r w:rsidRPr="00B44B71">
        <w:rPr>
          <w:rFonts w:ascii="Times New Roman" w:eastAsia="Calibri" w:hAnsi="Times New Roman" w:cs="Times New Roman"/>
          <w:kern w:val="0"/>
          <w:sz w:val="24"/>
          <w:szCs w:val="24"/>
          <w:lang w:val="uk-UA"/>
          <w14:ligatures w14:val="none"/>
        </w:rPr>
        <w:t xml:space="preserve"> Національний університет оборони України. </w:t>
      </w:r>
      <w:r w:rsidRPr="00B44B71">
        <w:rPr>
          <w:rFonts w:ascii="Times New Roman" w:eastAsia="Calibri" w:hAnsi="Times New Roman" w:cs="Times New Roman"/>
          <w:i/>
          <w:kern w:val="0"/>
          <w:sz w:val="24"/>
          <w:szCs w:val="24"/>
          <w:lang w:val="uk-UA"/>
          <w14:ligatures w14:val="none"/>
        </w:rPr>
        <w:t>Збірник наукових праць "Військова освіта"</w:t>
      </w:r>
      <w:r w:rsidRPr="00B44B71">
        <w:rPr>
          <w:rFonts w:ascii="Times New Roman" w:eastAsia="Calibri" w:hAnsi="Times New Roman" w:cs="Times New Roman"/>
          <w:kern w:val="0"/>
          <w:sz w:val="24"/>
          <w:szCs w:val="24"/>
          <w:lang w:val="uk-UA"/>
          <w14:ligatures w14:val="none"/>
        </w:rPr>
        <w:t>, №2 (52) 2025,  9-31</w:t>
      </w:r>
      <w:r w:rsidRPr="00B44B71">
        <w:rPr>
          <w:rFonts w:ascii="Times New Roman" w:eastAsia="Calibri" w:hAnsi="Times New Roman" w:cs="Times New Roman"/>
          <w:kern w:val="0"/>
          <w:sz w:val="24"/>
          <w:szCs w:val="24"/>
          <w:lang w:val="ru-RU"/>
          <w14:ligatures w14:val="none"/>
        </w:rPr>
        <w:t>.</w:t>
      </w:r>
    </w:p>
    <w:p w14:paraId="702D1B66" w14:textId="77777777" w:rsidR="00B44B71" w:rsidRPr="00B44B71" w:rsidRDefault="00B44B71" w:rsidP="006025B7">
      <w:pPr>
        <w:numPr>
          <w:ilvl w:val="0"/>
          <w:numId w:val="7"/>
        </w:numPr>
        <w:tabs>
          <w:tab w:val="left" w:pos="1418"/>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bCs/>
          <w:kern w:val="0"/>
          <w:sz w:val="24"/>
          <w:szCs w:val="24"/>
          <w14:ligatures w14:val="none"/>
        </w:rPr>
        <w:t>NATO</w:t>
      </w:r>
      <w:r w:rsidRPr="00B44B71">
        <w:rPr>
          <w:rFonts w:ascii="Times New Roman" w:eastAsia="Calibri" w:hAnsi="Times New Roman" w:cs="Times New Roman"/>
          <w:bCs/>
          <w:kern w:val="0"/>
          <w:sz w:val="24"/>
          <w:szCs w:val="24"/>
          <w:lang w:val="uk-UA"/>
          <w14:ligatures w14:val="none"/>
        </w:rPr>
        <w:t xml:space="preserve"> </w:t>
      </w:r>
      <w:r w:rsidRPr="00B44B71">
        <w:rPr>
          <w:rFonts w:ascii="Times New Roman" w:eastAsia="Calibri" w:hAnsi="Times New Roman" w:cs="Times New Roman"/>
          <w:bCs/>
          <w:kern w:val="0"/>
          <w:sz w:val="24"/>
          <w:szCs w:val="24"/>
          <w14:ligatures w14:val="none"/>
        </w:rPr>
        <w:t>Defense</w:t>
      </w:r>
      <w:r w:rsidRPr="00B44B71">
        <w:rPr>
          <w:rFonts w:ascii="Times New Roman" w:eastAsia="Calibri" w:hAnsi="Times New Roman" w:cs="Times New Roman"/>
          <w:bCs/>
          <w:kern w:val="0"/>
          <w:sz w:val="24"/>
          <w:szCs w:val="24"/>
          <w:lang w:val="uk-UA"/>
          <w14:ligatures w14:val="none"/>
        </w:rPr>
        <w:t xml:space="preserve"> </w:t>
      </w:r>
      <w:r w:rsidRPr="00B44B71">
        <w:rPr>
          <w:rFonts w:ascii="Times New Roman" w:eastAsia="Calibri" w:hAnsi="Times New Roman" w:cs="Times New Roman"/>
          <w:bCs/>
          <w:kern w:val="0"/>
          <w:sz w:val="24"/>
          <w:szCs w:val="24"/>
          <w14:ligatures w14:val="none"/>
        </w:rPr>
        <w:t>College. https://www.ndc.nato.int/education/senior-course/</w:t>
      </w:r>
    </w:p>
    <w:p w14:paraId="0D80FBB6" w14:textId="77777777" w:rsidR="00B44B71" w:rsidRPr="00B44B71" w:rsidRDefault="00B44B71" w:rsidP="006025B7">
      <w:pPr>
        <w:numPr>
          <w:ilvl w:val="0"/>
          <w:numId w:val="7"/>
        </w:numPr>
        <w:tabs>
          <w:tab w:val="left" w:pos="1418"/>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Joint Chiefs of Staff. CJCS Instructions. URL: https://www.jcs.mil/library/cjcs-instructions/</w:t>
      </w:r>
    </w:p>
    <w:p w14:paraId="28453F13" w14:textId="77777777" w:rsidR="00B44B71" w:rsidRPr="00B44B71" w:rsidRDefault="00B44B71" w:rsidP="006025B7">
      <w:pPr>
        <w:numPr>
          <w:ilvl w:val="0"/>
          <w:numId w:val="7"/>
        </w:numPr>
        <w:tabs>
          <w:tab w:val="left" w:pos="1418"/>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Joint Chiefs of Staff. Joint Education. URL: https://www.jcs.mil/Doctrine/Joint-Education/</w:t>
      </w:r>
      <w:r w:rsidRPr="00B44B71">
        <w:rPr>
          <w:rFonts w:ascii="Times New Roman" w:eastAsia="Calibri" w:hAnsi="Times New Roman" w:cs="Times New Roman"/>
          <w:bCs/>
          <w:kern w:val="0"/>
          <w:sz w:val="24"/>
          <w:szCs w:val="24"/>
          <w:lang w:val="uk-UA"/>
          <w14:ligatures w14:val="none"/>
        </w:rPr>
        <w:t xml:space="preserve"> </w:t>
      </w:r>
    </w:p>
    <w:p w14:paraId="03917A19" w14:textId="77777777" w:rsidR="00B44B71" w:rsidRPr="00B44B71" w:rsidRDefault="00B44B71" w:rsidP="006025B7">
      <w:pPr>
        <w:numPr>
          <w:ilvl w:val="0"/>
          <w:numId w:val="7"/>
        </w:numPr>
        <w:tabs>
          <w:tab w:val="left" w:pos="1418"/>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Center for Army Lessons Learned. URL: https://www.army.mil/call/</w:t>
      </w:r>
    </w:p>
    <w:p w14:paraId="7F05BB6A" w14:textId="77777777" w:rsidR="00B44B71" w:rsidRPr="00B44B71" w:rsidRDefault="00B44B71" w:rsidP="006025B7">
      <w:pPr>
        <w:numPr>
          <w:ilvl w:val="0"/>
          <w:numId w:val="7"/>
        </w:numPr>
        <w:tabs>
          <w:tab w:val="left" w:pos="1418"/>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bCs/>
          <w:kern w:val="0"/>
          <w:sz w:val="24"/>
          <w:szCs w:val="24"/>
          <w14:ligatures w14:val="none"/>
        </w:rPr>
        <w:lastRenderedPageBreak/>
        <w:t xml:space="preserve">JOINT ANALYSIS and LESSONS LEARNED CENTRE NATO's Lead Agent for Lessons Learned. </w:t>
      </w:r>
      <w:r w:rsidRPr="00B44B71">
        <w:rPr>
          <w:rFonts w:ascii="Calibri" w:eastAsia="Calibri" w:hAnsi="Calibri" w:cs="Times New Roman"/>
          <w:bCs/>
          <w:kern w:val="0"/>
          <w:sz w:val="24"/>
          <w:szCs w:val="24"/>
          <w14:ligatures w14:val="none"/>
        </w:rPr>
        <w:t xml:space="preserve">URL: </w:t>
      </w:r>
      <w:r w:rsidRPr="00B44B71">
        <w:rPr>
          <w:rFonts w:ascii="Times New Roman" w:eastAsia="Calibri" w:hAnsi="Times New Roman" w:cs="Times New Roman"/>
          <w:bCs/>
          <w:kern w:val="0"/>
          <w:sz w:val="24"/>
          <w:szCs w:val="24"/>
          <w14:ligatures w14:val="none"/>
        </w:rPr>
        <w:t>https://www.jallc.nato.int/</w:t>
      </w:r>
      <w:r w:rsidRPr="00B44B71">
        <w:rPr>
          <w:rFonts w:ascii="Times New Roman" w:eastAsia="Calibri" w:hAnsi="Times New Roman" w:cs="Times New Roman"/>
          <w:kern w:val="0"/>
          <w:sz w:val="24"/>
          <w:szCs w:val="24"/>
          <w:lang w:val="uk-UA"/>
          <w14:ligatures w14:val="none"/>
        </w:rPr>
        <w:t xml:space="preserve"> </w:t>
      </w:r>
    </w:p>
    <w:p w14:paraId="19F3C367" w14:textId="77777777" w:rsidR="00B44B71" w:rsidRPr="00B44B71" w:rsidRDefault="00B44B71" w:rsidP="006025B7">
      <w:pPr>
        <w:numPr>
          <w:ilvl w:val="0"/>
          <w:numId w:val="7"/>
        </w:numPr>
        <w:tabs>
          <w:tab w:val="left" w:pos="1418"/>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The NATO Lessons Learned Handbook (2022, June, Fourth edition). URL: https://www.jallc.nato.int/application/files/4416/5781/2017/JALLC_LL_Handbook_Update_-_4th_Edition_FINAL_14072022.pdf</w:t>
      </w:r>
    </w:p>
    <w:p w14:paraId="379BFD7E" w14:textId="77777777" w:rsidR="00B44B71" w:rsidRPr="00B44B71" w:rsidRDefault="00B44B71" w:rsidP="006025B7">
      <w:pPr>
        <w:numPr>
          <w:ilvl w:val="0"/>
          <w:numId w:val="7"/>
        </w:numPr>
        <w:tabs>
          <w:tab w:val="left" w:pos="1418"/>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bCs/>
          <w:kern w:val="0"/>
          <w:sz w:val="24"/>
          <w:szCs w:val="24"/>
          <w14:ligatures w14:val="none"/>
        </w:rPr>
        <w:t xml:space="preserve">JALLC publishes report on Two Years of Lessons Relating to Russia’s War Against Ukraine (2024, Sep 16). </w:t>
      </w:r>
      <w:r w:rsidRPr="00B44B71">
        <w:rPr>
          <w:rFonts w:ascii="Calibri" w:eastAsia="Calibri" w:hAnsi="Calibri" w:cs="Times New Roman"/>
          <w:bCs/>
          <w:kern w:val="0"/>
          <w:sz w:val="24"/>
          <w:szCs w:val="24"/>
          <w14:ligatures w14:val="none"/>
        </w:rPr>
        <w:t xml:space="preserve">URL: </w:t>
      </w:r>
      <w:r w:rsidRPr="00B44B71">
        <w:rPr>
          <w:rFonts w:ascii="Times New Roman" w:eastAsia="Calibri" w:hAnsi="Times New Roman" w:cs="Times New Roman"/>
          <w:bCs/>
          <w:kern w:val="0"/>
          <w:sz w:val="24"/>
          <w:szCs w:val="24"/>
          <w14:ligatures w14:val="none"/>
        </w:rPr>
        <w:t>https://www.jallc.nato.int/articles/jallc-publishes-report-two-years-lessons-relating-russias-war-against-ukraine/</w:t>
      </w:r>
    </w:p>
    <w:p w14:paraId="765891A7" w14:textId="77777777" w:rsidR="00B44B71" w:rsidRPr="00B44B71" w:rsidRDefault="00B44B71" w:rsidP="006025B7">
      <w:pPr>
        <w:numPr>
          <w:ilvl w:val="0"/>
          <w:numId w:val="7"/>
        </w:numPr>
        <w:tabs>
          <w:tab w:val="left" w:pos="1418"/>
          <w:tab w:val="left" w:pos="9638"/>
        </w:tabs>
        <w:spacing w:after="0" w:line="240" w:lineRule="auto"/>
        <w:ind w:firstLine="709"/>
        <w:contextualSpacing/>
        <w:jc w:val="both"/>
        <w:rPr>
          <w:rFonts w:ascii="Calibri" w:eastAsia="Calibri" w:hAnsi="Calibri" w:cs="Times New Roman"/>
          <w:kern w:val="0"/>
          <w:sz w:val="24"/>
          <w:szCs w:val="24"/>
          <w14:ligatures w14:val="none"/>
        </w:rPr>
      </w:pPr>
      <w:r w:rsidRPr="00B44B71">
        <w:rPr>
          <w:rFonts w:ascii="Times New Roman" w:eastAsia="Calibri" w:hAnsi="Times New Roman" w:cs="Times New Roman"/>
          <w:bCs/>
          <w:kern w:val="0"/>
          <w:sz w:val="24"/>
          <w:szCs w:val="24"/>
          <w14:ligatures w14:val="none"/>
        </w:rPr>
        <w:t>The JALLC-UKR Initiative</w:t>
      </w:r>
      <w:r w:rsidRPr="00B44B71">
        <w:rPr>
          <w:rFonts w:ascii="Calibri" w:eastAsia="Calibri" w:hAnsi="Calibri" w:cs="Times New Roman"/>
          <w:bCs/>
          <w:kern w:val="0"/>
          <w:sz w:val="24"/>
          <w:szCs w:val="24"/>
          <w14:ligatures w14:val="none"/>
        </w:rPr>
        <w:t xml:space="preserve"> (2024)</w:t>
      </w:r>
      <w:r w:rsidRPr="00B44B71">
        <w:rPr>
          <w:rFonts w:ascii="Times New Roman" w:eastAsia="Calibri" w:hAnsi="Times New Roman" w:cs="Times New Roman"/>
          <w:bCs/>
          <w:kern w:val="0"/>
          <w:sz w:val="24"/>
          <w:szCs w:val="24"/>
          <w14:ligatures w14:val="none"/>
        </w:rPr>
        <w:t xml:space="preserve">. </w:t>
      </w:r>
      <w:r w:rsidRPr="00B44B71">
        <w:rPr>
          <w:rFonts w:ascii="Calibri" w:eastAsia="Calibri" w:hAnsi="Calibri" w:cs="Times New Roman"/>
          <w:bCs/>
          <w:kern w:val="0"/>
          <w:sz w:val="24"/>
          <w:szCs w:val="24"/>
          <w14:ligatures w14:val="none"/>
        </w:rPr>
        <w:t xml:space="preserve">URL: </w:t>
      </w:r>
      <w:r w:rsidRPr="00B44B71">
        <w:rPr>
          <w:rFonts w:ascii="Times New Roman" w:eastAsia="Calibri" w:hAnsi="Times New Roman" w:cs="Times New Roman"/>
          <w:bCs/>
          <w:kern w:val="0"/>
          <w:sz w:val="24"/>
          <w:szCs w:val="24"/>
          <w14:ligatures w14:val="none"/>
        </w:rPr>
        <w:t xml:space="preserve">https://www.jallc.nato.int/JALLC-UKR-Initiative/ </w:t>
      </w:r>
    </w:p>
    <w:p w14:paraId="3ED8AD6D" w14:textId="77777777" w:rsidR="00B44B71" w:rsidRPr="00B44B71" w:rsidRDefault="00B44B71" w:rsidP="006025B7">
      <w:pPr>
        <w:numPr>
          <w:ilvl w:val="0"/>
          <w:numId w:val="7"/>
        </w:numPr>
        <w:tabs>
          <w:tab w:val="left" w:pos="1418"/>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lang w:val="uk-UA"/>
          <w14:ligatures w14:val="none"/>
        </w:rPr>
        <w:t>Інтерв'ю Елли Лібанової</w:t>
      </w:r>
      <w:r w:rsidRPr="00B44B71">
        <w:rPr>
          <w:rFonts w:ascii="Times New Roman" w:eastAsia="Calibri" w:hAnsi="Times New Roman" w:cs="Times New Roman"/>
          <w:kern w:val="0"/>
          <w:sz w:val="24"/>
          <w:szCs w:val="24"/>
          <w14:ligatures w14:val="none"/>
        </w:rPr>
        <w:t xml:space="preserve"> (2026)</w:t>
      </w:r>
      <w:r w:rsidRPr="00B44B71">
        <w:rPr>
          <w:rFonts w:ascii="Times New Roman" w:eastAsia="Calibri" w:hAnsi="Times New Roman" w:cs="Times New Roman"/>
          <w:kern w:val="0"/>
          <w:sz w:val="24"/>
          <w:szCs w:val="24"/>
          <w:lang w:val="uk-UA"/>
          <w14:ligatures w14:val="none"/>
        </w:rPr>
        <w:t xml:space="preserve">. URL: </w:t>
      </w:r>
      <w:hyperlink r:id="rId148" w:history="1">
        <w:r w:rsidRPr="00B44B71">
          <w:rPr>
            <w:rFonts w:ascii="Times New Roman" w:eastAsia="Calibri" w:hAnsi="Times New Roman" w:cs="Times New Roman"/>
            <w:color w:val="0563C1"/>
            <w:kern w:val="0"/>
            <w:sz w:val="24"/>
            <w:szCs w:val="24"/>
            <w:u w:val="single"/>
            <w:lang w:val="uk-UA"/>
            <w14:ligatures w14:val="none"/>
          </w:rPr>
          <w:t>https://www.youtube.com/watch?v=3x-JRdREaGo</w:t>
        </w:r>
        <w:r w:rsidRPr="00B44B71">
          <w:rPr>
            <w:rFonts w:ascii="Times New Roman" w:eastAsia="Calibri" w:hAnsi="Times New Roman" w:cs="Times New Roman"/>
            <w:color w:val="0563C1"/>
            <w:kern w:val="0"/>
            <w:sz w:val="24"/>
            <w:szCs w:val="24"/>
            <w:u w:val="single"/>
            <w14:ligatures w14:val="none"/>
          </w:rPr>
          <w:t>/</w:t>
        </w:r>
      </w:hyperlink>
      <w:r w:rsidRPr="00B44B71">
        <w:rPr>
          <w:rFonts w:ascii="Times New Roman" w:eastAsia="Calibri" w:hAnsi="Times New Roman" w:cs="Times New Roman"/>
          <w:kern w:val="0"/>
          <w:sz w:val="24"/>
          <w:szCs w:val="24"/>
          <w:lang w:val="uk-UA"/>
          <w14:ligatures w14:val="none"/>
        </w:rPr>
        <w:t>.</w:t>
      </w:r>
    </w:p>
    <w:p w14:paraId="19820EE2" w14:textId="77777777" w:rsidR="00B44B71" w:rsidRPr="00B44B71" w:rsidRDefault="00B44B71" w:rsidP="006025B7">
      <w:pPr>
        <w:tabs>
          <w:tab w:val="left" w:pos="1418"/>
          <w:tab w:val="left" w:pos="9638"/>
        </w:tabs>
        <w:spacing w:after="0" w:line="240" w:lineRule="auto"/>
        <w:ind w:firstLine="709"/>
        <w:contextualSpacing/>
        <w:jc w:val="both"/>
        <w:rPr>
          <w:rFonts w:ascii="Times New Roman" w:eastAsia="Calibri" w:hAnsi="Times New Roman" w:cs="Times New Roman"/>
          <w:kern w:val="0"/>
          <w:sz w:val="24"/>
          <w:szCs w:val="24"/>
          <w:lang w:val="uk-UA"/>
          <w14:ligatures w14:val="none"/>
        </w:rPr>
      </w:pPr>
    </w:p>
    <w:p w14:paraId="2D81B73D"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b/>
          <w:kern w:val="0"/>
          <w:sz w:val="24"/>
          <w:szCs w:val="24"/>
          <w:lang w:eastAsia="ru-RU"/>
          <w14:ligatures w14:val="none"/>
        </w:rPr>
      </w:pPr>
      <w:r w:rsidRPr="00B44B71">
        <w:rPr>
          <w:rFonts w:ascii="Times New Roman" w:eastAsia="Times New Roman" w:hAnsi="Times New Roman" w:cs="Times New Roman"/>
          <w:b/>
          <w:kern w:val="0"/>
          <w:sz w:val="24"/>
          <w:szCs w:val="24"/>
          <w:lang w:eastAsia="ru-RU"/>
          <w14:ligatures w14:val="none"/>
        </w:rPr>
        <w:t>REFERENCE</w:t>
      </w:r>
    </w:p>
    <w:p w14:paraId="645F6F68" w14:textId="77777777" w:rsidR="00B44B71" w:rsidRPr="00B44B71" w:rsidRDefault="00B44B71" w:rsidP="00B6038D">
      <w:pPr>
        <w:numPr>
          <w:ilvl w:val="0"/>
          <w:numId w:val="20"/>
        </w:numPr>
        <w:tabs>
          <w:tab w:val="left" w:pos="1276"/>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CJCSI 1800.01G — Officer Professional Military Education Policy (2024, April 15). URL: https://www.jcs.mil/Portals/36/Documents/Library/Instructions/CJCSI%201800.01G.pdf</w:t>
      </w:r>
    </w:p>
    <w:p w14:paraId="3C41D73A" w14:textId="77777777" w:rsidR="00B44B71" w:rsidRPr="00B44B71" w:rsidRDefault="00B44B71" w:rsidP="00B6038D">
      <w:pPr>
        <w:numPr>
          <w:ilvl w:val="0"/>
          <w:numId w:val="20"/>
        </w:numPr>
        <w:tabs>
          <w:tab w:val="left" w:pos="1276"/>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National Defense University. URL: https://www.ndu.edu/</w:t>
      </w:r>
    </w:p>
    <w:p w14:paraId="44EA9BDE" w14:textId="77777777" w:rsidR="00B44B71" w:rsidRPr="00B44B71" w:rsidRDefault="00B44B71" w:rsidP="00B6038D">
      <w:pPr>
        <w:numPr>
          <w:ilvl w:val="0"/>
          <w:numId w:val="20"/>
        </w:numPr>
        <w:tabs>
          <w:tab w:val="left" w:pos="1276"/>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bCs/>
          <w:kern w:val="0"/>
          <w:sz w:val="24"/>
          <w:szCs w:val="24"/>
          <w14:ligatures w14:val="none"/>
        </w:rPr>
        <w:t xml:space="preserve">Ryan Wadle, Heather Venable. </w:t>
      </w:r>
      <w:r w:rsidRPr="00B44B71">
        <w:rPr>
          <w:rFonts w:ascii="Calibri" w:eastAsia="Calibri" w:hAnsi="Calibri" w:cs="Times New Roman"/>
          <w:bCs/>
          <w:kern w:val="0"/>
          <w:sz w:val="24"/>
          <w:szCs w:val="24"/>
          <w14:ligatures w14:val="none"/>
        </w:rPr>
        <w:t xml:space="preserve">(2025, December 30). </w:t>
      </w:r>
      <w:r w:rsidRPr="00B44B71">
        <w:rPr>
          <w:rFonts w:ascii="Times New Roman" w:eastAsia="Calibri" w:hAnsi="Times New Roman" w:cs="Times New Roman"/>
          <w:bCs/>
          <w:kern w:val="0"/>
          <w:sz w:val="24"/>
          <w:szCs w:val="24"/>
          <w14:ligatures w14:val="none"/>
        </w:rPr>
        <w:t xml:space="preserve">Breadth or Depth: The Ongoing Battle in Professional Military Education. </w:t>
      </w:r>
      <w:r w:rsidRPr="00B44B71">
        <w:rPr>
          <w:rFonts w:ascii="Calibri" w:eastAsia="Calibri" w:hAnsi="Calibri" w:cs="Times New Roman"/>
          <w:bCs/>
          <w:kern w:val="0"/>
          <w:sz w:val="24"/>
          <w:szCs w:val="24"/>
          <w14:ligatures w14:val="none"/>
        </w:rPr>
        <w:t xml:space="preserve">URL: </w:t>
      </w:r>
      <w:r w:rsidRPr="00B44B71">
        <w:rPr>
          <w:rFonts w:ascii="Times New Roman" w:eastAsia="Calibri" w:hAnsi="Times New Roman" w:cs="Times New Roman"/>
          <w:bCs/>
          <w:kern w:val="0"/>
          <w:sz w:val="24"/>
          <w:szCs w:val="24"/>
          <w14:ligatures w14:val="none"/>
        </w:rPr>
        <w:t>https://ndupress.ndu.edu/Media/News/News-Article-View/Article/4364889/breadth-or-depth-the-ongoing-battle-in-professional-military-education/</w:t>
      </w:r>
    </w:p>
    <w:p w14:paraId="776A7EA5" w14:textId="77777777" w:rsidR="00B44B71" w:rsidRPr="00B44B71" w:rsidRDefault="00B44B71" w:rsidP="00B6038D">
      <w:pPr>
        <w:numPr>
          <w:ilvl w:val="0"/>
          <w:numId w:val="20"/>
        </w:numPr>
        <w:tabs>
          <w:tab w:val="left" w:pos="1276"/>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bCs/>
          <w:kern w:val="0"/>
          <w:sz w:val="24"/>
          <w:szCs w:val="24"/>
          <w14:ligatures w14:val="none"/>
        </w:rPr>
        <w:t>Tim Devine</w:t>
      </w:r>
      <w:r w:rsidRPr="00B44B71">
        <w:rPr>
          <w:rFonts w:ascii="Times New Roman" w:eastAsia="Calibri" w:hAnsi="Times New Roman" w:cs="Times New Roman"/>
          <w:bCs/>
          <w:kern w:val="0"/>
          <w:sz w:val="24"/>
          <w:szCs w:val="24"/>
          <w:lang w:val="uk-UA"/>
          <w14:ligatures w14:val="none"/>
        </w:rPr>
        <w:t xml:space="preserve">, </w:t>
      </w:r>
      <w:r w:rsidRPr="00B44B71">
        <w:rPr>
          <w:rFonts w:ascii="Times New Roman" w:eastAsia="Calibri" w:hAnsi="Times New Roman" w:cs="Times New Roman"/>
          <w:bCs/>
          <w:kern w:val="0"/>
          <w:sz w:val="24"/>
          <w:szCs w:val="24"/>
          <w14:ligatures w14:val="none"/>
        </w:rPr>
        <w:t xml:space="preserve">Todd Graham. (2026, January 20). Change or Just Cheating? Overhauling Professional Military Education for the AI Era. </w:t>
      </w:r>
      <w:r w:rsidRPr="00B44B71">
        <w:rPr>
          <w:rFonts w:ascii="Calibri" w:eastAsia="Calibri" w:hAnsi="Calibri" w:cs="Times New Roman"/>
          <w:bCs/>
          <w:kern w:val="0"/>
          <w:sz w:val="24"/>
          <w:szCs w:val="24"/>
          <w14:ligatures w14:val="none"/>
        </w:rPr>
        <w:t xml:space="preserve">URL: </w:t>
      </w:r>
      <w:r w:rsidRPr="00B44B71">
        <w:rPr>
          <w:rFonts w:ascii="Times New Roman" w:eastAsia="Calibri" w:hAnsi="Times New Roman" w:cs="Times New Roman"/>
          <w:bCs/>
          <w:kern w:val="0"/>
          <w:sz w:val="24"/>
          <w:szCs w:val="24"/>
          <w14:ligatures w14:val="none"/>
        </w:rPr>
        <w:t xml:space="preserve">https://warontherocks.com/2026/01/change-or-just-cheating-overhauling-professional-military-education-for-the-ai-era/ </w:t>
      </w:r>
    </w:p>
    <w:p w14:paraId="4B896877" w14:textId="77777777" w:rsidR="00B44B71" w:rsidRPr="00B44B71" w:rsidRDefault="00B44B71" w:rsidP="00B6038D">
      <w:pPr>
        <w:numPr>
          <w:ilvl w:val="0"/>
          <w:numId w:val="20"/>
        </w:numPr>
        <w:tabs>
          <w:tab w:val="left" w:pos="1276"/>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Institute for National Strategic Studies. National Defense University. URL: https://inss.ndu.edu/</w:t>
      </w:r>
    </w:p>
    <w:p w14:paraId="7179860D" w14:textId="77777777" w:rsidR="00B44B71" w:rsidRPr="00B44B71" w:rsidRDefault="00B44B71" w:rsidP="00B6038D">
      <w:pPr>
        <w:numPr>
          <w:ilvl w:val="0"/>
          <w:numId w:val="20"/>
        </w:numPr>
        <w:tabs>
          <w:tab w:val="left" w:pos="1276"/>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color w:val="212529"/>
          <w:kern w:val="0"/>
          <w:sz w:val="24"/>
          <w:szCs w:val="24"/>
          <w14:ligatures w14:val="none"/>
        </w:rPr>
        <w:t>National Defense University of Ukraine. Structural divisions of the university</w:t>
      </w:r>
      <w:r w:rsidRPr="00B44B71">
        <w:rPr>
          <w:rFonts w:ascii="Times New Roman" w:eastAsia="Calibri" w:hAnsi="Times New Roman" w:cs="Times New Roman"/>
          <w:color w:val="212529"/>
          <w:kern w:val="0"/>
          <w:sz w:val="24"/>
          <w:szCs w:val="24"/>
          <w:lang w:val="uk-UA"/>
          <w14:ligatures w14:val="none"/>
        </w:rPr>
        <w:t>.</w:t>
      </w:r>
      <w:r w:rsidRPr="00B44B71">
        <w:rPr>
          <w:rFonts w:ascii="Times New Roman" w:eastAsia="Calibri" w:hAnsi="Times New Roman" w:cs="Times New Roman"/>
          <w:color w:val="212529"/>
          <w:kern w:val="0"/>
          <w:sz w:val="24"/>
          <w:szCs w:val="24"/>
          <w14:ligatures w14:val="none"/>
        </w:rPr>
        <w:t xml:space="preserve"> </w:t>
      </w:r>
      <w:r w:rsidRPr="00B44B71">
        <w:rPr>
          <w:rFonts w:ascii="Times New Roman" w:eastAsia="Calibri" w:hAnsi="Times New Roman" w:cs="Times New Roman"/>
          <w:kern w:val="0"/>
          <w:sz w:val="24"/>
          <w:szCs w:val="24"/>
          <w14:ligatures w14:val="none"/>
        </w:rPr>
        <w:t>URL:</w:t>
      </w:r>
      <w:r w:rsidRPr="00B44B71">
        <w:rPr>
          <w:rFonts w:ascii="Times New Roman" w:eastAsia="Calibri" w:hAnsi="Times New Roman" w:cs="Times New Roman"/>
          <w:color w:val="212529"/>
          <w:kern w:val="0"/>
          <w:sz w:val="24"/>
          <w:szCs w:val="24"/>
          <w:lang w:val="uk-UA"/>
          <w14:ligatures w14:val="none"/>
        </w:rPr>
        <w:t xml:space="preserve"> https://nuou.org.ua/u/stru/</w:t>
      </w:r>
    </w:p>
    <w:p w14:paraId="5E18A558" w14:textId="77777777" w:rsidR="00B44B71" w:rsidRPr="00B44B71" w:rsidRDefault="00B44B71" w:rsidP="00B6038D">
      <w:pPr>
        <w:numPr>
          <w:ilvl w:val="0"/>
          <w:numId w:val="20"/>
        </w:numPr>
        <w:tabs>
          <w:tab w:val="left" w:pos="1276"/>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Andrii Vitchenko. Innovative Development of Military-Pedagogical Science in Ukraine: Current State, Problems, and Priorities. National Defense University of Ukraine, Kyiv. Collection of scientific works "Military Education", №2 (52) 2025, с. 45-60.</w:t>
      </w:r>
    </w:p>
    <w:p w14:paraId="728C0E49" w14:textId="77777777" w:rsidR="00B44B71" w:rsidRPr="00B44B71" w:rsidRDefault="00B44B71" w:rsidP="00B6038D">
      <w:pPr>
        <w:numPr>
          <w:ilvl w:val="0"/>
          <w:numId w:val="20"/>
        </w:numPr>
        <w:tabs>
          <w:tab w:val="left" w:pos="1276"/>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Svitlana Bondarenko, Andrii Hupalo. Integration of AI into Military Education: Bibliometric Analysis of Global Trends and Priorities for Ukraine. National Defense University of Ukraine, Kyiv. Collection of scientific works "Military Education", №2 (52) 2025, с. 9-31.</w:t>
      </w:r>
    </w:p>
    <w:p w14:paraId="020D0740" w14:textId="77777777" w:rsidR="00B44B71" w:rsidRPr="00B44B71" w:rsidRDefault="00B44B71" w:rsidP="00B6038D">
      <w:pPr>
        <w:numPr>
          <w:ilvl w:val="0"/>
          <w:numId w:val="20"/>
        </w:numPr>
        <w:tabs>
          <w:tab w:val="left" w:pos="1276"/>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bCs/>
          <w:kern w:val="0"/>
          <w:sz w:val="24"/>
          <w:szCs w:val="24"/>
          <w14:ligatures w14:val="none"/>
        </w:rPr>
        <w:t>NATO</w:t>
      </w:r>
      <w:r w:rsidRPr="00B44B71">
        <w:rPr>
          <w:rFonts w:ascii="Times New Roman" w:eastAsia="Calibri" w:hAnsi="Times New Roman" w:cs="Times New Roman"/>
          <w:bCs/>
          <w:kern w:val="0"/>
          <w:sz w:val="24"/>
          <w:szCs w:val="24"/>
          <w:lang w:val="uk-UA"/>
          <w14:ligatures w14:val="none"/>
        </w:rPr>
        <w:t xml:space="preserve"> </w:t>
      </w:r>
      <w:r w:rsidRPr="00B44B71">
        <w:rPr>
          <w:rFonts w:ascii="Times New Roman" w:eastAsia="Calibri" w:hAnsi="Times New Roman" w:cs="Times New Roman"/>
          <w:bCs/>
          <w:kern w:val="0"/>
          <w:sz w:val="24"/>
          <w:szCs w:val="24"/>
          <w14:ligatures w14:val="none"/>
        </w:rPr>
        <w:t>Defense</w:t>
      </w:r>
      <w:r w:rsidRPr="00B44B71">
        <w:rPr>
          <w:rFonts w:ascii="Times New Roman" w:eastAsia="Calibri" w:hAnsi="Times New Roman" w:cs="Times New Roman"/>
          <w:bCs/>
          <w:kern w:val="0"/>
          <w:sz w:val="24"/>
          <w:szCs w:val="24"/>
          <w:lang w:val="uk-UA"/>
          <w14:ligatures w14:val="none"/>
        </w:rPr>
        <w:t xml:space="preserve"> </w:t>
      </w:r>
      <w:r w:rsidRPr="00B44B71">
        <w:rPr>
          <w:rFonts w:ascii="Times New Roman" w:eastAsia="Calibri" w:hAnsi="Times New Roman" w:cs="Times New Roman"/>
          <w:bCs/>
          <w:kern w:val="0"/>
          <w:sz w:val="24"/>
          <w:szCs w:val="24"/>
          <w14:ligatures w14:val="none"/>
        </w:rPr>
        <w:t>College. https://www.ndc.nato.int/education/senior-course/</w:t>
      </w:r>
    </w:p>
    <w:p w14:paraId="48DBD820" w14:textId="77777777" w:rsidR="00B44B71" w:rsidRPr="00B44B71" w:rsidRDefault="00B44B71" w:rsidP="00B6038D">
      <w:pPr>
        <w:numPr>
          <w:ilvl w:val="0"/>
          <w:numId w:val="20"/>
        </w:numPr>
        <w:tabs>
          <w:tab w:val="left" w:pos="1276"/>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Joint Chiefs of Staff. CJCS Instructions. URL: https://www.jcs.mil/library/cjcs-instructions/</w:t>
      </w:r>
    </w:p>
    <w:p w14:paraId="34FF0E1B" w14:textId="77777777" w:rsidR="00B44B71" w:rsidRPr="00B44B71" w:rsidRDefault="00B44B71" w:rsidP="00B6038D">
      <w:pPr>
        <w:numPr>
          <w:ilvl w:val="0"/>
          <w:numId w:val="20"/>
        </w:numPr>
        <w:tabs>
          <w:tab w:val="left" w:pos="1276"/>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Joint Chiefs of Staff. Joint Education. URL: https://www.jcs.mil/Doctrine/Joint-Education/</w:t>
      </w:r>
    </w:p>
    <w:p w14:paraId="37CD016B" w14:textId="77777777" w:rsidR="00B44B71" w:rsidRPr="00B44B71" w:rsidRDefault="00B44B71" w:rsidP="00B6038D">
      <w:pPr>
        <w:numPr>
          <w:ilvl w:val="0"/>
          <w:numId w:val="20"/>
        </w:numPr>
        <w:tabs>
          <w:tab w:val="left" w:pos="1276"/>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Center for Army Lessons Learned. URL: https://www.army.mil/call/</w:t>
      </w:r>
    </w:p>
    <w:p w14:paraId="4EBC3705" w14:textId="77777777" w:rsidR="00B44B71" w:rsidRPr="00B44B71" w:rsidRDefault="00B44B71" w:rsidP="00B6038D">
      <w:pPr>
        <w:numPr>
          <w:ilvl w:val="0"/>
          <w:numId w:val="20"/>
        </w:numPr>
        <w:tabs>
          <w:tab w:val="left" w:pos="1276"/>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bCs/>
          <w:kern w:val="0"/>
          <w:sz w:val="24"/>
          <w:szCs w:val="24"/>
          <w14:ligatures w14:val="none"/>
        </w:rPr>
        <w:t xml:space="preserve">JOINT ANALYSIS and LESSONS LEARNED CENTRE NATO's Lead Agent for Lessons Learned. </w:t>
      </w:r>
      <w:r w:rsidRPr="00B44B71">
        <w:rPr>
          <w:rFonts w:ascii="Calibri" w:eastAsia="Calibri" w:hAnsi="Calibri" w:cs="Times New Roman"/>
          <w:bCs/>
          <w:kern w:val="0"/>
          <w:sz w:val="24"/>
          <w:szCs w:val="24"/>
          <w14:ligatures w14:val="none"/>
        </w:rPr>
        <w:t xml:space="preserve">URL: </w:t>
      </w:r>
      <w:r w:rsidRPr="00B44B71">
        <w:rPr>
          <w:rFonts w:ascii="Times New Roman" w:eastAsia="Calibri" w:hAnsi="Times New Roman" w:cs="Times New Roman"/>
          <w:bCs/>
          <w:kern w:val="0"/>
          <w:sz w:val="24"/>
          <w:szCs w:val="24"/>
          <w14:ligatures w14:val="none"/>
        </w:rPr>
        <w:t>https://www.jallc.nato.int/</w:t>
      </w:r>
      <w:r w:rsidRPr="00B44B71">
        <w:rPr>
          <w:rFonts w:ascii="Times New Roman" w:eastAsia="Calibri" w:hAnsi="Times New Roman" w:cs="Times New Roman"/>
          <w:kern w:val="0"/>
          <w:sz w:val="24"/>
          <w:szCs w:val="24"/>
          <w:lang w:val="uk-UA"/>
          <w14:ligatures w14:val="none"/>
        </w:rPr>
        <w:t xml:space="preserve"> </w:t>
      </w:r>
    </w:p>
    <w:p w14:paraId="259789CB" w14:textId="77777777" w:rsidR="00B44B71" w:rsidRPr="00B44B71" w:rsidRDefault="00B44B71" w:rsidP="00B6038D">
      <w:pPr>
        <w:numPr>
          <w:ilvl w:val="0"/>
          <w:numId w:val="20"/>
        </w:numPr>
        <w:tabs>
          <w:tab w:val="left" w:pos="1276"/>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The NATO Lessons Learned Handbook (2022, June, Fourth edition). URL: https://www.jallc.nato.int/application/files/4416/5781/2017/JALLC_LL_Handbook_Update_-_4th_Edition_FINAL_14072022.pdf</w:t>
      </w:r>
    </w:p>
    <w:p w14:paraId="418DF575" w14:textId="77777777" w:rsidR="00B44B71" w:rsidRPr="00B44B71" w:rsidRDefault="00B44B71" w:rsidP="00B6038D">
      <w:pPr>
        <w:numPr>
          <w:ilvl w:val="0"/>
          <w:numId w:val="20"/>
        </w:numPr>
        <w:tabs>
          <w:tab w:val="left" w:pos="1276"/>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bCs/>
          <w:kern w:val="0"/>
          <w:sz w:val="24"/>
          <w:szCs w:val="24"/>
          <w14:ligatures w14:val="none"/>
        </w:rPr>
        <w:t xml:space="preserve">JALLC publishes report on Two Years of Lessons Relating to Russia’s War Against Ukraine (2024, Sep 16). </w:t>
      </w:r>
      <w:r w:rsidRPr="00B44B71">
        <w:rPr>
          <w:rFonts w:ascii="Calibri" w:eastAsia="Calibri" w:hAnsi="Calibri" w:cs="Times New Roman"/>
          <w:bCs/>
          <w:kern w:val="0"/>
          <w:sz w:val="24"/>
          <w:szCs w:val="24"/>
          <w14:ligatures w14:val="none"/>
        </w:rPr>
        <w:t xml:space="preserve">URL: </w:t>
      </w:r>
      <w:r w:rsidRPr="00B44B71">
        <w:rPr>
          <w:rFonts w:ascii="Times New Roman" w:eastAsia="Calibri" w:hAnsi="Times New Roman" w:cs="Times New Roman"/>
          <w:bCs/>
          <w:kern w:val="0"/>
          <w:sz w:val="24"/>
          <w:szCs w:val="24"/>
          <w14:ligatures w14:val="none"/>
        </w:rPr>
        <w:t>https://www.jallc.nato.int/articles/jallc-publishes-report-two-years-lessons-relating-russias-war-against-ukraine/</w:t>
      </w:r>
    </w:p>
    <w:p w14:paraId="7E0E52A1" w14:textId="77777777" w:rsidR="00B44B71" w:rsidRPr="00B44B71" w:rsidRDefault="00B44B71" w:rsidP="00B6038D">
      <w:pPr>
        <w:numPr>
          <w:ilvl w:val="0"/>
          <w:numId w:val="20"/>
        </w:numPr>
        <w:tabs>
          <w:tab w:val="left" w:pos="1276"/>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bCs/>
          <w:kern w:val="0"/>
          <w:sz w:val="24"/>
          <w:szCs w:val="24"/>
          <w14:ligatures w14:val="none"/>
        </w:rPr>
        <w:t>The JALLC-UKR Initiative</w:t>
      </w:r>
      <w:r w:rsidRPr="00B44B71">
        <w:rPr>
          <w:rFonts w:ascii="Calibri" w:eastAsia="Calibri" w:hAnsi="Calibri" w:cs="Times New Roman"/>
          <w:bCs/>
          <w:kern w:val="0"/>
          <w:sz w:val="24"/>
          <w:szCs w:val="24"/>
          <w14:ligatures w14:val="none"/>
        </w:rPr>
        <w:t xml:space="preserve"> (2024)</w:t>
      </w:r>
      <w:r w:rsidRPr="00B44B71">
        <w:rPr>
          <w:rFonts w:ascii="Times New Roman" w:eastAsia="Calibri" w:hAnsi="Times New Roman" w:cs="Times New Roman"/>
          <w:bCs/>
          <w:kern w:val="0"/>
          <w:sz w:val="24"/>
          <w:szCs w:val="24"/>
          <w14:ligatures w14:val="none"/>
        </w:rPr>
        <w:t xml:space="preserve">. </w:t>
      </w:r>
      <w:r w:rsidRPr="00B44B71">
        <w:rPr>
          <w:rFonts w:ascii="Calibri" w:eastAsia="Calibri" w:hAnsi="Calibri" w:cs="Times New Roman"/>
          <w:bCs/>
          <w:kern w:val="0"/>
          <w:sz w:val="24"/>
          <w:szCs w:val="24"/>
          <w14:ligatures w14:val="none"/>
        </w:rPr>
        <w:t xml:space="preserve">URL: </w:t>
      </w:r>
      <w:r w:rsidRPr="00B44B71">
        <w:rPr>
          <w:rFonts w:ascii="Times New Roman" w:eastAsia="Calibri" w:hAnsi="Times New Roman" w:cs="Times New Roman"/>
          <w:bCs/>
          <w:kern w:val="0"/>
          <w:sz w:val="24"/>
          <w:szCs w:val="24"/>
          <w14:ligatures w14:val="none"/>
        </w:rPr>
        <w:t>https://www.jallc.nato.int/JALLC-UKR-Initiative/</w:t>
      </w:r>
    </w:p>
    <w:p w14:paraId="0684F57C" w14:textId="77777777" w:rsidR="00B44B71" w:rsidRPr="00B44B71" w:rsidRDefault="00B44B71" w:rsidP="00B6038D">
      <w:pPr>
        <w:numPr>
          <w:ilvl w:val="0"/>
          <w:numId w:val="20"/>
        </w:numPr>
        <w:tabs>
          <w:tab w:val="left" w:pos="1276"/>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lastRenderedPageBreak/>
        <w:t>Interview with Elli Libanova (2026)</w:t>
      </w:r>
      <w:r w:rsidRPr="00B44B71">
        <w:rPr>
          <w:rFonts w:ascii="Times New Roman" w:eastAsia="Calibri" w:hAnsi="Times New Roman" w:cs="Times New Roman"/>
          <w:kern w:val="0"/>
          <w:sz w:val="24"/>
          <w:szCs w:val="24"/>
          <w:lang w:val="uk-UA"/>
          <w14:ligatures w14:val="none"/>
        </w:rPr>
        <w:t>. URL: https://www.youtube.com/watch?v=3x-JRdREaGo</w:t>
      </w:r>
      <w:r w:rsidRPr="00B44B71">
        <w:rPr>
          <w:rFonts w:ascii="Times New Roman" w:eastAsia="Calibri" w:hAnsi="Times New Roman" w:cs="Times New Roman"/>
          <w:kern w:val="0"/>
          <w:sz w:val="24"/>
          <w:szCs w:val="24"/>
          <w14:ligatures w14:val="none"/>
        </w:rPr>
        <w:t>/</w:t>
      </w:r>
      <w:r w:rsidRPr="00B44B71">
        <w:rPr>
          <w:rFonts w:ascii="Times New Roman" w:eastAsia="Calibri" w:hAnsi="Times New Roman" w:cs="Times New Roman"/>
          <w:kern w:val="0"/>
          <w:sz w:val="24"/>
          <w:szCs w:val="24"/>
          <w:lang w:val="uk-UA"/>
          <w14:ligatures w14:val="none"/>
        </w:rPr>
        <w:t>.</w:t>
      </w:r>
    </w:p>
    <w:p w14:paraId="35CA476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eastAsia="ru-RU"/>
          <w14:ligatures w14:val="none"/>
        </w:rPr>
      </w:pPr>
    </w:p>
    <w:p w14:paraId="2C22EEF9" w14:textId="77777777" w:rsidR="00B44B71" w:rsidRPr="00A50C0B" w:rsidRDefault="00B44B71" w:rsidP="006025B7">
      <w:pPr>
        <w:tabs>
          <w:tab w:val="left" w:pos="9638"/>
        </w:tabs>
        <w:spacing w:after="0" w:line="240" w:lineRule="auto"/>
        <w:jc w:val="center"/>
        <w:rPr>
          <w:rFonts w:ascii="Times New Roman" w:eastAsia="Calibri" w:hAnsi="Times New Roman" w:cs="Times New Roman"/>
          <w:b/>
          <w:kern w:val="0"/>
          <w:sz w:val="24"/>
          <w:szCs w:val="24"/>
          <w14:ligatures w14:val="none"/>
        </w:rPr>
      </w:pPr>
      <w:r w:rsidRPr="00A50C0B">
        <w:rPr>
          <w:rFonts w:ascii="Times New Roman" w:eastAsia="Calibri" w:hAnsi="Times New Roman" w:cs="Times New Roman"/>
          <w:b/>
          <w:kern w:val="0"/>
          <w:sz w:val="24"/>
          <w:szCs w:val="24"/>
          <w14:ligatures w14:val="none"/>
        </w:rPr>
        <w:t>SUMMARY</w:t>
      </w:r>
    </w:p>
    <w:p w14:paraId="5336A025" w14:textId="39A8B60A" w:rsidR="00B44B71" w:rsidRPr="008604C3" w:rsidRDefault="00B44B71" w:rsidP="00023291">
      <w:pPr>
        <w:tabs>
          <w:tab w:val="left" w:pos="9638"/>
        </w:tabs>
        <w:spacing w:after="0" w:line="240" w:lineRule="auto"/>
        <w:ind w:firstLine="709"/>
        <w:jc w:val="right"/>
        <w:rPr>
          <w:rFonts w:ascii="Times New Roman" w:eastAsia="Calibri" w:hAnsi="Times New Roman" w:cs="Times New Roman"/>
          <w:b/>
          <w:kern w:val="0"/>
          <w:sz w:val="24"/>
          <w:szCs w:val="24"/>
          <w:lang w:val="uk-UA"/>
          <w14:ligatures w14:val="none"/>
        </w:rPr>
      </w:pPr>
      <w:r w:rsidRPr="00A50C0B">
        <w:rPr>
          <w:rFonts w:ascii="Times New Roman" w:eastAsia="Calibri" w:hAnsi="Times New Roman" w:cs="Times New Roman"/>
          <w:b/>
          <w:kern w:val="0"/>
          <w:sz w:val="24"/>
          <w:szCs w:val="24"/>
          <w14:ligatures w14:val="none"/>
        </w:rPr>
        <w:t>Ibragim Gabidulin</w:t>
      </w:r>
      <w:r w:rsidR="008604C3">
        <w:rPr>
          <w:rFonts w:ascii="Times New Roman" w:eastAsia="Calibri" w:hAnsi="Times New Roman" w:cs="Times New Roman"/>
          <w:b/>
          <w:kern w:val="0"/>
          <w:sz w:val="24"/>
          <w:szCs w:val="24"/>
          <w:lang w:val="uk-UA"/>
          <w14:ligatures w14:val="none"/>
        </w:rPr>
        <w:t>,</w:t>
      </w:r>
    </w:p>
    <w:p w14:paraId="71AA958A" w14:textId="77777777" w:rsidR="00B44B71" w:rsidRPr="00A50C0B" w:rsidRDefault="00B44B71" w:rsidP="00023291">
      <w:pPr>
        <w:tabs>
          <w:tab w:val="left" w:pos="9638"/>
        </w:tabs>
        <w:spacing w:after="0" w:line="240" w:lineRule="auto"/>
        <w:ind w:firstLine="709"/>
        <w:jc w:val="right"/>
        <w:rPr>
          <w:rFonts w:ascii="Times New Roman" w:eastAsia="Calibri" w:hAnsi="Times New Roman" w:cs="Times New Roman"/>
          <w:kern w:val="0"/>
          <w:sz w:val="24"/>
          <w:szCs w:val="24"/>
          <w14:ligatures w14:val="none"/>
        </w:rPr>
      </w:pPr>
      <w:r w:rsidRPr="00A50C0B">
        <w:rPr>
          <w:rFonts w:ascii="Times New Roman" w:eastAsia="Calibri" w:hAnsi="Times New Roman" w:cs="Times New Roman"/>
          <w:kern w:val="0"/>
          <w:sz w:val="24"/>
          <w:szCs w:val="24"/>
          <w14:ligatures w14:val="none"/>
        </w:rPr>
        <w:t>Candidate of Technical Sciences, Associate Professor</w:t>
      </w:r>
    </w:p>
    <w:p w14:paraId="3837B0C4" w14:textId="77777777" w:rsidR="00B44B71" w:rsidRPr="00A50C0B" w:rsidRDefault="00B44B71" w:rsidP="00023291">
      <w:pPr>
        <w:tabs>
          <w:tab w:val="left" w:pos="9638"/>
        </w:tabs>
        <w:spacing w:after="0" w:line="240" w:lineRule="auto"/>
        <w:ind w:firstLine="709"/>
        <w:jc w:val="right"/>
        <w:rPr>
          <w:rFonts w:ascii="Times New Roman" w:eastAsia="Calibri" w:hAnsi="Times New Roman" w:cs="Times New Roman"/>
          <w:color w:val="000000"/>
          <w:kern w:val="0"/>
          <w:sz w:val="24"/>
          <w:szCs w:val="24"/>
          <w14:ligatures w14:val="none"/>
        </w:rPr>
      </w:pPr>
      <w:r w:rsidRPr="00A50C0B">
        <w:rPr>
          <w:rFonts w:ascii="Times New Roman" w:eastAsia="Calibri" w:hAnsi="Times New Roman" w:cs="Times New Roman"/>
          <w:color w:val="000000"/>
          <w:kern w:val="0"/>
          <w:sz w:val="24"/>
          <w:szCs w:val="24"/>
          <w:lang w:val="uk-UA"/>
          <w14:ligatures w14:val="none"/>
        </w:rPr>
        <w:t>Center for Army, Conversion and Disarmament Studies (CACDS)</w:t>
      </w:r>
      <w:r w:rsidRPr="00A50C0B">
        <w:rPr>
          <w:rFonts w:ascii="Times New Roman" w:eastAsia="Calibri" w:hAnsi="Times New Roman" w:cs="Times New Roman"/>
          <w:color w:val="000000"/>
          <w:kern w:val="0"/>
          <w:sz w:val="24"/>
          <w:szCs w:val="24"/>
          <w14:ligatures w14:val="none"/>
        </w:rPr>
        <w:t>, Kyiv, Ukraine</w:t>
      </w:r>
    </w:p>
    <w:p w14:paraId="4B851CC1" w14:textId="77777777" w:rsidR="00B44B71" w:rsidRPr="00A50C0B" w:rsidRDefault="00B44B71" w:rsidP="00023291">
      <w:pPr>
        <w:tabs>
          <w:tab w:val="left" w:pos="9638"/>
        </w:tabs>
        <w:spacing w:after="0" w:line="240" w:lineRule="auto"/>
        <w:ind w:firstLine="709"/>
        <w:jc w:val="right"/>
        <w:rPr>
          <w:rFonts w:ascii="Times New Roman" w:eastAsia="Calibri" w:hAnsi="Times New Roman" w:cs="Times New Roman"/>
          <w:kern w:val="0"/>
          <w:sz w:val="24"/>
          <w:szCs w:val="24"/>
          <w:lang w:val="uk-UA"/>
          <w14:ligatures w14:val="none"/>
        </w:rPr>
      </w:pPr>
    </w:p>
    <w:p w14:paraId="4CACF1E0" w14:textId="77777777" w:rsidR="00B44B71" w:rsidRPr="00A50C0B" w:rsidRDefault="00B44B71" w:rsidP="00023291">
      <w:pPr>
        <w:tabs>
          <w:tab w:val="left" w:pos="9638"/>
        </w:tabs>
        <w:spacing w:after="0" w:line="240" w:lineRule="auto"/>
        <w:ind w:firstLine="709"/>
        <w:jc w:val="center"/>
        <w:rPr>
          <w:rFonts w:ascii="Times New Roman" w:eastAsia="Times New Roman" w:hAnsi="Times New Roman" w:cs="Times New Roman"/>
          <w:b/>
          <w:kern w:val="0"/>
          <w:sz w:val="24"/>
          <w:szCs w:val="24"/>
          <w:lang w:eastAsia="ru-RU"/>
          <w14:ligatures w14:val="none"/>
        </w:rPr>
      </w:pPr>
      <w:r w:rsidRPr="00A50C0B">
        <w:rPr>
          <w:rFonts w:ascii="Times New Roman" w:eastAsia="Times New Roman" w:hAnsi="Times New Roman" w:cs="Times New Roman"/>
          <w:b/>
          <w:kern w:val="0"/>
          <w:sz w:val="24"/>
          <w:szCs w:val="24"/>
          <w:lang w:eastAsia="ru-RU"/>
          <w14:ligatures w14:val="none"/>
        </w:rPr>
        <w:t>Comparative Analysis of Military Education Systems in the United States, NATO and Ukraine</w:t>
      </w:r>
    </w:p>
    <w:p w14:paraId="21C80F72" w14:textId="77777777" w:rsidR="00B44B71" w:rsidRPr="00A50C0B" w:rsidRDefault="00B44B71" w:rsidP="00023291">
      <w:pPr>
        <w:tabs>
          <w:tab w:val="left" w:pos="9638"/>
        </w:tabs>
        <w:spacing w:after="0" w:line="240" w:lineRule="auto"/>
        <w:ind w:firstLine="709"/>
        <w:jc w:val="both"/>
        <w:outlineLvl w:val="0"/>
        <w:rPr>
          <w:rFonts w:ascii="Times New Roman" w:eastAsia="Times New Roman" w:hAnsi="Times New Roman" w:cs="Times New Roman"/>
          <w:b/>
          <w:bCs/>
          <w:i/>
          <w:kern w:val="36"/>
          <w:sz w:val="24"/>
          <w:szCs w:val="24"/>
          <w:lang w:eastAsia="ru-RU"/>
          <w14:ligatures w14:val="none"/>
        </w:rPr>
      </w:pPr>
    </w:p>
    <w:p w14:paraId="13053F90" w14:textId="77777777" w:rsidR="00B44B71" w:rsidRPr="00A50C0B" w:rsidRDefault="00B44B71" w:rsidP="00023291">
      <w:pPr>
        <w:tabs>
          <w:tab w:val="left" w:pos="9638"/>
        </w:tabs>
        <w:spacing w:after="0" w:line="240" w:lineRule="auto"/>
        <w:ind w:firstLine="709"/>
        <w:jc w:val="both"/>
        <w:outlineLvl w:val="0"/>
        <w:rPr>
          <w:rFonts w:ascii="Times New Roman" w:eastAsia="Times New Roman" w:hAnsi="Times New Roman" w:cs="Times New Roman"/>
          <w:b/>
          <w:bCs/>
          <w:i/>
          <w:kern w:val="36"/>
          <w:sz w:val="24"/>
          <w:szCs w:val="24"/>
          <w:lang w:eastAsia="ru-RU"/>
          <w14:ligatures w14:val="none"/>
        </w:rPr>
      </w:pPr>
      <w:r w:rsidRPr="00A50C0B">
        <w:rPr>
          <w:rFonts w:ascii="Times New Roman" w:eastAsia="Times New Roman" w:hAnsi="Times New Roman" w:cs="Times New Roman"/>
          <w:b/>
          <w:bCs/>
          <w:i/>
          <w:kern w:val="36"/>
          <w:sz w:val="24"/>
          <w:szCs w:val="24"/>
          <w:lang w:eastAsia="ru-RU"/>
          <w14:ligatures w14:val="none"/>
        </w:rPr>
        <w:t xml:space="preserve">Abstract. </w:t>
      </w:r>
      <w:r w:rsidRPr="00A50C0B">
        <w:rPr>
          <w:rFonts w:ascii="Times New Roman" w:eastAsia="Times New Roman" w:hAnsi="Times New Roman" w:cs="Times New Roman"/>
          <w:i/>
          <w:kern w:val="0"/>
          <w:sz w:val="24"/>
          <w:szCs w:val="24"/>
          <w:lang w:eastAsia="ru-RU"/>
          <w14:ligatures w14:val="none"/>
        </w:rPr>
        <w:t>The article presents a comparative analysis of the systems of professional military education in the United States, NATO and Ukraine in the context of developing strategic thinking in the field of national security and defense. The relevance of the research is determined by the transformation of modern warfare and the growing need to prepare military and civilian leaders capable of making decisions in a complex multidomain security environment.</w:t>
      </w:r>
    </w:p>
    <w:p w14:paraId="4B64452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lang w:eastAsia="ru-RU"/>
          <w14:ligatures w14:val="none"/>
        </w:rPr>
      </w:pPr>
      <w:r w:rsidRPr="00B44B71">
        <w:rPr>
          <w:rFonts w:ascii="Times New Roman" w:eastAsia="Times New Roman" w:hAnsi="Times New Roman" w:cs="Times New Roman"/>
          <w:i/>
          <w:kern w:val="0"/>
          <w:sz w:val="24"/>
          <w:szCs w:val="24"/>
          <w:lang w:eastAsia="ru-RU"/>
          <w14:ligatures w14:val="none"/>
        </w:rPr>
        <w:t>The aim of the article is to conduct a comparative analysis of the systems of strategic military education in the United States, NATO and Ukraine in order to identify institutional and methodological differences in the training of military and civilian strategic elites and to determine the main directions for the transformation of military education in Ukraine.</w:t>
      </w:r>
    </w:p>
    <w:p w14:paraId="60BE2B8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lang w:eastAsia="ru-RU"/>
          <w14:ligatures w14:val="none"/>
        </w:rPr>
      </w:pPr>
      <w:r w:rsidRPr="00B44B71">
        <w:rPr>
          <w:rFonts w:ascii="Times New Roman" w:eastAsia="Times New Roman" w:hAnsi="Times New Roman" w:cs="Times New Roman"/>
          <w:i/>
          <w:kern w:val="0"/>
          <w:sz w:val="24"/>
          <w:szCs w:val="24"/>
          <w:lang w:eastAsia="ru-RU"/>
          <w14:ligatures w14:val="none"/>
        </w:rPr>
        <w:t>The study applies methods of comparative institutional analysis, analysis of normative and doctrinal documents, and the method of scientific generalization.</w:t>
      </w:r>
    </w:p>
    <w:p w14:paraId="7A98E0F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lang w:eastAsia="ru-RU"/>
          <w14:ligatures w14:val="none"/>
        </w:rPr>
      </w:pPr>
      <w:r w:rsidRPr="00B44B71">
        <w:rPr>
          <w:rFonts w:ascii="Times New Roman" w:eastAsia="Times New Roman" w:hAnsi="Times New Roman" w:cs="Times New Roman"/>
          <w:i/>
          <w:kern w:val="0"/>
          <w:sz w:val="24"/>
          <w:szCs w:val="24"/>
          <w:lang w:eastAsia="ru-RU"/>
          <w14:ligatures w14:val="none"/>
        </w:rPr>
        <w:t>The results show that in the United States and NATO countries the strategic level of professional military education functions as an important component of the national strategic governance system. A key feature of these systems is the integration of educational programs with scientific research, analytical activities and mechanisms for analyzing combat experience (Lessons Learned). In such models, strategic education contributes to the formation of a shared strategic culture among military and civilian professionals involved in national security decision-making.</w:t>
      </w:r>
    </w:p>
    <w:p w14:paraId="55FC28EB"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lang w:eastAsia="ru-RU"/>
          <w14:ligatures w14:val="none"/>
        </w:rPr>
      </w:pPr>
      <w:r w:rsidRPr="00B44B71">
        <w:rPr>
          <w:rFonts w:ascii="Times New Roman" w:eastAsia="Times New Roman" w:hAnsi="Times New Roman" w:cs="Times New Roman"/>
          <w:i/>
          <w:kern w:val="0"/>
          <w:sz w:val="24"/>
          <w:szCs w:val="24"/>
          <w:lang w:eastAsia="ru-RU"/>
          <w14:ligatures w14:val="none"/>
        </w:rPr>
        <w:t>The study demonstrates that in Ukraine the military education system is undergoing reform, yet the strategic level of professional military education has not been fully developed as a functionally integrated institutional system. The main challenge remains the insufficient integration of education, research and combat experience analysis.</w:t>
      </w:r>
    </w:p>
    <w:p w14:paraId="45BAA58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lang w:eastAsia="ru-RU"/>
          <w14:ligatures w14:val="none"/>
        </w:rPr>
      </w:pPr>
      <w:r w:rsidRPr="00B44B71">
        <w:rPr>
          <w:rFonts w:ascii="Times New Roman" w:eastAsia="Times New Roman" w:hAnsi="Times New Roman" w:cs="Times New Roman"/>
          <w:i/>
          <w:kern w:val="0"/>
          <w:sz w:val="24"/>
          <w:szCs w:val="24"/>
          <w:lang w:eastAsia="ru-RU"/>
          <w14:ligatures w14:val="none"/>
        </w:rPr>
        <w:t>The article substantiates key directions for the transformation of Ukraine’s military education system, including the development of strategic-level education, integration of scientific research, establishment of effective Lessons Learned mechanisms, expansion of civil-military education and development of leadership competencies.</w:t>
      </w:r>
    </w:p>
    <w:p w14:paraId="246BE915" w14:textId="77777777" w:rsidR="00B44B71" w:rsidRPr="00B44B71" w:rsidRDefault="00B44B71" w:rsidP="00023291">
      <w:pPr>
        <w:tabs>
          <w:tab w:val="left" w:pos="9638"/>
        </w:tabs>
        <w:spacing w:after="0" w:line="240" w:lineRule="auto"/>
        <w:ind w:firstLine="709"/>
        <w:jc w:val="both"/>
        <w:outlineLvl w:val="0"/>
        <w:rPr>
          <w:rFonts w:ascii="Times New Roman" w:eastAsia="Times New Roman" w:hAnsi="Times New Roman" w:cs="Times New Roman"/>
          <w:i/>
          <w:kern w:val="0"/>
          <w:sz w:val="24"/>
          <w:szCs w:val="24"/>
          <w:lang w:eastAsia="ru-RU"/>
          <w14:ligatures w14:val="none"/>
        </w:rPr>
      </w:pPr>
      <w:r w:rsidRPr="00B44B71">
        <w:rPr>
          <w:rFonts w:ascii="Times New Roman" w:eastAsia="Times New Roman" w:hAnsi="Times New Roman" w:cs="Times New Roman"/>
          <w:b/>
          <w:bCs/>
          <w:i/>
          <w:kern w:val="36"/>
          <w:sz w:val="24"/>
          <w:szCs w:val="24"/>
          <w:lang w:eastAsia="ru-RU"/>
          <w14:ligatures w14:val="none"/>
        </w:rPr>
        <w:t xml:space="preserve">Keywords: </w:t>
      </w:r>
      <w:r w:rsidRPr="00B44B71">
        <w:rPr>
          <w:rFonts w:ascii="Times New Roman" w:eastAsia="Times New Roman" w:hAnsi="Times New Roman" w:cs="Times New Roman"/>
          <w:i/>
          <w:kern w:val="0"/>
          <w:sz w:val="24"/>
          <w:szCs w:val="24"/>
          <w:lang w:eastAsia="ru-RU"/>
          <w14:ligatures w14:val="none"/>
        </w:rPr>
        <w:t>military education; professional military education; strategic education; strategic thinking; Lessons Learned; national security; leadership; defense planning.</w:t>
      </w:r>
    </w:p>
    <w:p w14:paraId="5AD98C57"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eastAsia="ru-RU"/>
          <w14:ligatures w14:val="none"/>
        </w:rPr>
      </w:pPr>
    </w:p>
    <w:p w14:paraId="66E9CAE8"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надійшов до редакції 02.02.2026</w:t>
      </w:r>
    </w:p>
    <w:p w14:paraId="321A164D"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прийнято до друку після рецензування 14.04.2026</w:t>
      </w:r>
    </w:p>
    <w:p w14:paraId="2DD650A8"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Дата публікації 25.05.2026</w:t>
      </w:r>
    </w:p>
    <w:p w14:paraId="11E0F7DA" w14:textId="77777777" w:rsidR="00B44B71" w:rsidRPr="002A503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p>
    <w:p w14:paraId="4ED4E712" w14:textId="079A320F" w:rsidR="00044E03" w:rsidRPr="002A5031" w:rsidRDefault="006025B7" w:rsidP="006025B7">
      <w:pPr>
        <w:tabs>
          <w:tab w:val="left" w:pos="9638"/>
        </w:tabs>
        <w:spacing w:after="0" w:line="240" w:lineRule="auto"/>
        <w:contextualSpacing/>
        <w:rPr>
          <w:rFonts w:ascii="Times New Roman" w:eastAsia="Calibri" w:hAnsi="Times New Roman" w:cs="Times New Roman"/>
          <w:b/>
          <w:kern w:val="0"/>
          <w:sz w:val="24"/>
          <w:szCs w:val="24"/>
          <w:lang w:val="uk-UA"/>
          <w14:ligatures w14:val="none"/>
        </w:rPr>
      </w:pPr>
      <w:r>
        <w:rPr>
          <w:rFonts w:ascii="Times New Roman" w:eastAsia="Calibri" w:hAnsi="Times New Roman" w:cs="Times New Roman"/>
          <w:kern w:val="0"/>
          <w:sz w:val="28"/>
          <w:szCs w:val="28"/>
          <w:lang w:val="uk-UA"/>
          <w14:ligatures w14:val="none"/>
        </w:rPr>
        <w:br w:type="column"/>
      </w:r>
      <w:r w:rsidR="00044E03" w:rsidRPr="00B44B71">
        <w:rPr>
          <w:rFonts w:ascii="Times New Roman" w:eastAsia="Times New Roman" w:hAnsi="Times New Roman" w:cs="Times New Roman"/>
          <w:kern w:val="0"/>
          <w:sz w:val="23"/>
          <w:szCs w:val="23"/>
          <w:lang w:val="uk-UA" w:eastAsia="ru-RU"/>
          <w14:ligatures w14:val="none"/>
        </w:rPr>
        <w:lastRenderedPageBreak/>
        <w:t>ISSN: 2617-1775</w:t>
      </w:r>
      <w:r w:rsidR="00044E03" w:rsidRPr="00E4040F">
        <w:rPr>
          <w:rFonts w:ascii="Times New Roman" w:eastAsia="Calibri" w:hAnsi="Times New Roman" w:cs="Times New Roman"/>
          <w:b/>
          <w:kern w:val="0"/>
          <w:sz w:val="24"/>
          <w:szCs w:val="24"/>
          <w:lang w:val="uk-UA"/>
          <w14:ligatures w14:val="none"/>
        </w:rPr>
        <w:t xml:space="preserve"> </w:t>
      </w:r>
      <w:r w:rsidR="00044E03" w:rsidRPr="006F5634">
        <w:rPr>
          <w:rFonts w:ascii="Times New Roman" w:eastAsia="Calibri" w:hAnsi="Times New Roman" w:cs="Times New Roman"/>
          <w:b/>
          <w:kern w:val="0"/>
          <w:sz w:val="24"/>
          <w:szCs w:val="24"/>
          <w:lang w:val="uk-UA"/>
          <w14:ligatures w14:val="none"/>
        </w:rPr>
        <w:t xml:space="preserve">                                                                      </w:t>
      </w:r>
      <w:r w:rsidR="00044E03" w:rsidRPr="00B71868">
        <w:rPr>
          <w:rFonts w:ascii="Times New Roman" w:eastAsia="Calibri" w:hAnsi="Times New Roman" w:cs="Times New Roman"/>
          <w:b/>
          <w:kern w:val="0"/>
          <w:sz w:val="24"/>
          <w:szCs w:val="24"/>
          <w:lang w:val="uk-UA"/>
          <w14:ligatures w14:val="none"/>
        </w:rPr>
        <w:t xml:space="preserve">  </w:t>
      </w:r>
      <w:r w:rsidR="00044E03" w:rsidRPr="002A5031">
        <w:rPr>
          <w:rFonts w:ascii="Times New Roman" w:eastAsia="Calibri" w:hAnsi="Times New Roman" w:cs="Times New Roman"/>
          <w:b/>
          <w:kern w:val="0"/>
          <w:sz w:val="24"/>
          <w:szCs w:val="24"/>
          <w:lang w:val="uk-UA"/>
          <w14:ligatures w14:val="none"/>
        </w:rPr>
        <w:t xml:space="preserve">                        </w:t>
      </w:r>
      <w:r w:rsidR="005A647F">
        <w:rPr>
          <w:rFonts w:ascii="Times New Roman" w:eastAsia="Calibri" w:hAnsi="Times New Roman" w:cs="Times New Roman"/>
          <w:b/>
          <w:kern w:val="0"/>
          <w:sz w:val="24"/>
          <w:szCs w:val="24"/>
          <w:lang w:val="uk-UA"/>
          <w14:ligatures w14:val="none"/>
        </w:rPr>
        <w:t xml:space="preserve">              </w:t>
      </w:r>
      <w:r w:rsidR="00044E03" w:rsidRPr="00B44B71">
        <w:rPr>
          <w:rFonts w:ascii="Times New Roman" w:eastAsia="Calibri" w:hAnsi="Times New Roman" w:cs="Times New Roman"/>
          <w:b/>
          <w:kern w:val="0"/>
          <w:sz w:val="24"/>
          <w:szCs w:val="24"/>
          <w:lang w:val="uk-UA"/>
          <w14:ligatures w14:val="none"/>
        </w:rPr>
        <w:t xml:space="preserve">УДК: </w:t>
      </w:r>
      <w:r w:rsidR="00044E03" w:rsidRPr="00B71868">
        <w:rPr>
          <w:rFonts w:ascii="Times New Roman" w:eastAsia="Calibri" w:hAnsi="Times New Roman" w:cs="Times New Roman"/>
          <w:b/>
          <w:kern w:val="0"/>
          <w:sz w:val="24"/>
          <w:szCs w:val="24"/>
          <w:lang w:val="uk-UA"/>
          <w14:ligatures w14:val="none"/>
        </w:rPr>
        <w:t>355.232</w:t>
      </w:r>
    </w:p>
    <w:p w14:paraId="58B16C83" w14:textId="1460BD57" w:rsidR="00044E03" w:rsidRDefault="00044E03" w:rsidP="00044E03">
      <w:pPr>
        <w:tabs>
          <w:tab w:val="left" w:pos="9638"/>
        </w:tabs>
        <w:spacing w:after="0" w:line="264" w:lineRule="auto"/>
        <w:jc w:val="both"/>
        <w:rPr>
          <w:rFonts w:ascii="Times New Roman" w:eastAsia="Times New Roman" w:hAnsi="Times New Roman" w:cs="Times New Roman"/>
          <w:bCs/>
          <w:smallCaps/>
          <w:color w:val="000000"/>
          <w:kern w:val="0"/>
          <w:sz w:val="24"/>
          <w:szCs w:val="24"/>
          <w:lang w:val="uk-UA" w:eastAsia="ru-RU"/>
          <w14:ligatures w14:val="none"/>
        </w:rPr>
      </w:pPr>
      <w:r>
        <w:rPr>
          <w:rFonts w:ascii="Times New Roman" w:eastAsia="Times New Roman" w:hAnsi="Times New Roman" w:cs="Times New Roman"/>
          <w:kern w:val="0"/>
          <w:sz w:val="23"/>
          <w:szCs w:val="23"/>
          <w:lang w:eastAsia="ru-RU"/>
          <w14:ligatures w14:val="none"/>
        </w:rPr>
        <w:t>IS</w:t>
      </w:r>
      <w:r w:rsidRPr="00B44B71">
        <w:rPr>
          <w:rFonts w:ascii="Times New Roman" w:eastAsia="Times New Roman" w:hAnsi="Times New Roman" w:cs="Times New Roman"/>
          <w:kern w:val="0"/>
          <w:sz w:val="23"/>
          <w:szCs w:val="23"/>
          <w:lang w:val="uk-UA" w:eastAsia="ru-RU"/>
          <w14:ligatures w14:val="none"/>
        </w:rPr>
        <w:t>SN: 2617-1783 (online)</w:t>
      </w:r>
      <w:r w:rsidRPr="006F5634">
        <w:rPr>
          <w:rFonts w:ascii="Times New Roman" w:eastAsia="Times New Roman" w:hAnsi="Times New Roman" w:cs="Times New Roman"/>
          <w:kern w:val="0"/>
          <w:sz w:val="23"/>
          <w:szCs w:val="23"/>
          <w:lang w:val="uk-UA" w:eastAsia="ru-RU"/>
          <w14:ligatures w14:val="none"/>
        </w:rPr>
        <w:t xml:space="preserve">                                                      </w:t>
      </w:r>
      <w:r w:rsidRPr="004E1190">
        <w:rPr>
          <w:rFonts w:ascii="Times New Roman" w:eastAsia="Times New Roman" w:hAnsi="Times New Roman" w:cs="Times New Roman"/>
          <w:bCs/>
          <w:smallCaps/>
          <w:color w:val="000000"/>
          <w:kern w:val="0"/>
          <w:sz w:val="24"/>
          <w:szCs w:val="24"/>
          <w:lang w:eastAsia="ru-RU"/>
          <w14:ligatures w14:val="none"/>
        </w:rPr>
        <w:t>DOI</w:t>
      </w:r>
      <w:r w:rsidRPr="004E1190">
        <w:rPr>
          <w:rFonts w:ascii="Times New Roman" w:eastAsia="Times New Roman" w:hAnsi="Times New Roman" w:cs="Times New Roman"/>
          <w:bCs/>
          <w:smallCaps/>
          <w:color w:val="000000"/>
          <w:kern w:val="0"/>
          <w:sz w:val="24"/>
          <w:szCs w:val="24"/>
          <w:lang w:val="uk-UA" w:eastAsia="ru-RU"/>
          <w14:ligatures w14:val="none"/>
        </w:rPr>
        <w:t>:10.33099/2617-1775/2026-01/</w:t>
      </w:r>
      <w:r w:rsidR="005A647F">
        <w:rPr>
          <w:rFonts w:ascii="Times New Roman" w:eastAsia="Times New Roman" w:hAnsi="Times New Roman" w:cs="Times New Roman"/>
          <w:bCs/>
          <w:smallCaps/>
          <w:color w:val="000000"/>
          <w:kern w:val="0"/>
          <w:sz w:val="24"/>
          <w:szCs w:val="24"/>
          <w:lang w:val="uk-UA" w:eastAsia="ru-RU"/>
          <w14:ligatures w14:val="none"/>
        </w:rPr>
        <w:t>108-118</w:t>
      </w:r>
    </w:p>
    <w:p w14:paraId="2631DB2F" w14:textId="77777777" w:rsidR="005A647F" w:rsidRPr="002A5031" w:rsidRDefault="005A647F" w:rsidP="00044E03">
      <w:pPr>
        <w:tabs>
          <w:tab w:val="left" w:pos="9638"/>
        </w:tabs>
        <w:spacing w:after="0" w:line="264" w:lineRule="auto"/>
        <w:jc w:val="both"/>
        <w:rPr>
          <w:rFonts w:ascii="Times New Roman" w:eastAsia="Times New Roman" w:hAnsi="Times New Roman" w:cs="Times New Roman"/>
          <w:bCs/>
          <w:smallCaps/>
          <w:color w:val="000000"/>
          <w:kern w:val="0"/>
          <w:sz w:val="24"/>
          <w:szCs w:val="24"/>
          <w:lang w:val="uk-UA" w:eastAsia="ru-RU"/>
          <w14:ligatures w14:val="none"/>
        </w:rPr>
      </w:pPr>
    </w:p>
    <w:p w14:paraId="43A39753" w14:textId="77777777" w:rsidR="00B44B71" w:rsidRPr="00B44B71" w:rsidRDefault="00B44B71" w:rsidP="00023291">
      <w:pPr>
        <w:tabs>
          <w:tab w:val="left" w:pos="9638"/>
        </w:tabs>
        <w:spacing w:after="0" w:line="240" w:lineRule="auto"/>
        <w:ind w:left="720" w:firstLine="709"/>
        <w:contextualSpacing/>
        <w:jc w:val="right"/>
        <w:rPr>
          <w:rFonts w:ascii="Times New Roman" w:eastAsia="Calibri" w:hAnsi="Times New Roman" w:cs="Times New Roman"/>
          <w:b/>
          <w:kern w:val="0"/>
          <w:sz w:val="24"/>
          <w:szCs w:val="24"/>
          <w:lang w:val="uk-UA"/>
          <w14:ligatures w14:val="none"/>
        </w:rPr>
      </w:pPr>
      <w:r w:rsidRPr="00B44B71">
        <w:rPr>
          <w:rFonts w:ascii="Times New Roman" w:eastAsia="Calibri" w:hAnsi="Times New Roman" w:cs="Times New Roman"/>
          <w:b/>
          <w:kern w:val="0"/>
          <w:sz w:val="24"/>
          <w:szCs w:val="24"/>
          <w:lang w:val="uk-UA"/>
          <w14:ligatures w14:val="none"/>
        </w:rPr>
        <w:t xml:space="preserve">Олександр Галак, </w:t>
      </w:r>
    </w:p>
    <w:p w14:paraId="75F12E5B" w14:textId="2AF09634" w:rsidR="00B44B71" w:rsidRPr="00B44B71" w:rsidRDefault="008604C3" w:rsidP="00023291">
      <w:pPr>
        <w:tabs>
          <w:tab w:val="left" w:pos="9638"/>
        </w:tabs>
        <w:spacing w:after="0" w:line="240" w:lineRule="auto"/>
        <w:ind w:left="720" w:firstLine="709"/>
        <w:contextualSpacing/>
        <w:jc w:val="right"/>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lang w:val="uk-UA"/>
          <w14:ligatures w14:val="none"/>
        </w:rPr>
        <w:t>кандидат технічних наук, доцент</w:t>
      </w:r>
      <w:r w:rsidR="00B44B71" w:rsidRPr="00B44B71">
        <w:rPr>
          <w:rFonts w:ascii="Times New Roman" w:eastAsia="Calibri" w:hAnsi="Times New Roman" w:cs="Times New Roman"/>
          <w:kern w:val="0"/>
          <w:sz w:val="24"/>
          <w:szCs w:val="24"/>
          <w:lang w:val="uk-UA"/>
          <w14:ligatures w14:val="none"/>
        </w:rPr>
        <w:t xml:space="preserve"> </w:t>
      </w:r>
    </w:p>
    <w:p w14:paraId="408C45C8" w14:textId="77777777" w:rsidR="00B44B71" w:rsidRPr="00B44B71" w:rsidRDefault="00B44B71" w:rsidP="00023291">
      <w:pPr>
        <w:tabs>
          <w:tab w:val="left" w:pos="9638"/>
        </w:tabs>
        <w:spacing w:after="0" w:line="240" w:lineRule="auto"/>
        <w:ind w:firstLine="709"/>
        <w:contextualSpacing/>
        <w:jc w:val="right"/>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Військовий інститут танкових військ НТУ “ХПІ”, м. Харків </w:t>
      </w:r>
    </w:p>
    <w:p w14:paraId="605DD2B6" w14:textId="77777777" w:rsidR="00B44B71" w:rsidRPr="00B44B71" w:rsidRDefault="00B44B71" w:rsidP="00023291">
      <w:pPr>
        <w:tabs>
          <w:tab w:val="left" w:pos="9638"/>
        </w:tabs>
        <w:spacing w:after="0" w:line="240" w:lineRule="auto"/>
        <w:ind w:firstLine="709"/>
        <w:contextualSpacing/>
        <w:jc w:val="right"/>
        <w:rPr>
          <w:rFonts w:ascii="Times New Roman" w:eastAsia="Calibri" w:hAnsi="Times New Roman" w:cs="Times New Roman"/>
          <w:kern w:val="0"/>
          <w:sz w:val="24"/>
          <w:szCs w:val="24"/>
          <w:lang w:val="uk-UA"/>
          <w14:ligatures w14:val="none"/>
        </w:rPr>
      </w:pPr>
      <w:hyperlink r:id="rId149" w:history="1">
        <w:r w:rsidRPr="00B44B71">
          <w:rPr>
            <w:rFonts w:ascii="Times New Roman" w:eastAsia="Calibri" w:hAnsi="Times New Roman" w:cs="Times New Roman"/>
            <w:color w:val="0563C1"/>
            <w:kern w:val="0"/>
            <w:sz w:val="24"/>
            <w:szCs w:val="24"/>
            <w:u w:val="single"/>
            <w:lang w:val="uk-UA"/>
            <w14:ligatures w14:val="none"/>
          </w:rPr>
          <w:t>https://orcid.org/0000-0002-2590-9291</w:t>
        </w:r>
      </w:hyperlink>
    </w:p>
    <w:p w14:paraId="0A696DC8" w14:textId="6ABF1D55" w:rsidR="00B44B71" w:rsidRPr="00B44B71" w:rsidRDefault="00B44B71" w:rsidP="00023291">
      <w:pPr>
        <w:tabs>
          <w:tab w:val="left" w:pos="9638"/>
        </w:tabs>
        <w:spacing w:after="0" w:line="240" w:lineRule="auto"/>
        <w:ind w:firstLine="709"/>
        <w:contextualSpacing/>
        <w:jc w:val="right"/>
        <w:rPr>
          <w:rFonts w:ascii="Times New Roman" w:eastAsia="Calibri" w:hAnsi="Times New Roman" w:cs="Times New Roman"/>
          <w:b/>
          <w:kern w:val="0"/>
          <w:sz w:val="24"/>
          <w:szCs w:val="24"/>
          <w:lang w:val="uk-UA"/>
          <w14:ligatures w14:val="none"/>
        </w:rPr>
      </w:pPr>
      <w:r w:rsidRPr="00B44B71">
        <w:rPr>
          <w:rFonts w:ascii="Times New Roman" w:eastAsia="Calibri" w:hAnsi="Times New Roman" w:cs="Times New Roman"/>
          <w:b/>
          <w:kern w:val="0"/>
          <w:sz w:val="24"/>
          <w:szCs w:val="24"/>
          <w:lang w:val="uk-UA"/>
          <w14:ligatures w14:val="none"/>
        </w:rPr>
        <w:t>Андрій Чулінда</w:t>
      </w:r>
      <w:r w:rsidR="008604C3">
        <w:rPr>
          <w:rFonts w:ascii="Times New Roman" w:eastAsia="Calibri" w:hAnsi="Times New Roman" w:cs="Times New Roman"/>
          <w:b/>
          <w:kern w:val="0"/>
          <w:sz w:val="24"/>
          <w:szCs w:val="24"/>
          <w:lang w:val="uk-UA"/>
          <w14:ligatures w14:val="none"/>
        </w:rPr>
        <w:t>,</w:t>
      </w:r>
    </w:p>
    <w:p w14:paraId="09A54715" w14:textId="77777777" w:rsidR="00B44B71" w:rsidRPr="00B44B71" w:rsidRDefault="00B44B71" w:rsidP="00023291">
      <w:pPr>
        <w:tabs>
          <w:tab w:val="left" w:pos="9638"/>
        </w:tabs>
        <w:spacing w:after="0" w:line="240" w:lineRule="auto"/>
        <w:ind w:firstLine="709"/>
        <w:contextualSpacing/>
        <w:jc w:val="right"/>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Військовий інститут танкових військ НТУ “ХПІ”, м. Харків </w:t>
      </w:r>
    </w:p>
    <w:p w14:paraId="24A4B7AA" w14:textId="77777777" w:rsidR="00B44B71" w:rsidRPr="00B44B71" w:rsidRDefault="00B44B71" w:rsidP="00023291">
      <w:pPr>
        <w:tabs>
          <w:tab w:val="left" w:pos="9638"/>
        </w:tabs>
        <w:spacing w:after="0" w:line="240" w:lineRule="auto"/>
        <w:ind w:firstLine="709"/>
        <w:contextualSpacing/>
        <w:jc w:val="right"/>
        <w:rPr>
          <w:rFonts w:ascii="Times New Roman" w:eastAsia="Calibri" w:hAnsi="Times New Roman" w:cs="Times New Roman"/>
          <w:kern w:val="0"/>
          <w:sz w:val="24"/>
          <w:szCs w:val="24"/>
          <w:lang w:val="uk-UA"/>
          <w14:ligatures w14:val="none"/>
        </w:rPr>
      </w:pPr>
      <w:hyperlink r:id="rId150" w:history="1">
        <w:r w:rsidRPr="00B44B71">
          <w:rPr>
            <w:rFonts w:ascii="Times New Roman" w:eastAsia="Calibri" w:hAnsi="Times New Roman" w:cs="Times New Roman"/>
            <w:color w:val="0563C1"/>
            <w:kern w:val="0"/>
            <w:sz w:val="24"/>
            <w:szCs w:val="24"/>
            <w:u w:val="single"/>
            <w:lang w:val="uk-UA"/>
            <w14:ligatures w14:val="none"/>
          </w:rPr>
          <w:t>https://orcid.org/</w:t>
        </w:r>
      </w:hyperlink>
      <w:r w:rsidRPr="00B44B71">
        <w:rPr>
          <w:rFonts w:ascii="Times New Roman" w:eastAsia="Calibri" w:hAnsi="Times New Roman" w:cs="Times New Roman"/>
          <w:color w:val="0563C1"/>
          <w:kern w:val="0"/>
          <w:sz w:val="24"/>
          <w:szCs w:val="24"/>
          <w:u w:val="single"/>
          <w:lang w:val="uk-UA"/>
          <w14:ligatures w14:val="none"/>
        </w:rPr>
        <w:t>0009-0003-1900-5979</w:t>
      </w:r>
    </w:p>
    <w:p w14:paraId="5E26AFBA" w14:textId="40D53AEB" w:rsidR="00B44B71" w:rsidRPr="00B44B71" w:rsidRDefault="00B44B71" w:rsidP="00023291">
      <w:pPr>
        <w:tabs>
          <w:tab w:val="left" w:pos="9638"/>
        </w:tabs>
        <w:spacing w:after="0" w:line="240" w:lineRule="auto"/>
        <w:ind w:firstLine="709"/>
        <w:contextualSpacing/>
        <w:jc w:val="right"/>
        <w:rPr>
          <w:rFonts w:ascii="Times New Roman" w:eastAsia="Calibri" w:hAnsi="Times New Roman" w:cs="Times New Roman"/>
          <w:b/>
          <w:kern w:val="0"/>
          <w:sz w:val="24"/>
          <w:szCs w:val="24"/>
          <w:lang w:val="uk-UA"/>
          <w14:ligatures w14:val="none"/>
        </w:rPr>
      </w:pPr>
      <w:r w:rsidRPr="00B44B71">
        <w:rPr>
          <w:rFonts w:ascii="Times New Roman" w:eastAsia="Calibri" w:hAnsi="Times New Roman" w:cs="Times New Roman"/>
          <w:b/>
          <w:kern w:val="0"/>
          <w:sz w:val="24"/>
          <w:szCs w:val="24"/>
          <w:lang w:val="uk-UA"/>
          <w14:ligatures w14:val="none"/>
        </w:rPr>
        <w:t>Сергій Касьян</w:t>
      </w:r>
      <w:r w:rsidR="008604C3">
        <w:rPr>
          <w:rFonts w:ascii="Times New Roman" w:eastAsia="Calibri" w:hAnsi="Times New Roman" w:cs="Times New Roman"/>
          <w:b/>
          <w:kern w:val="0"/>
          <w:sz w:val="24"/>
          <w:szCs w:val="24"/>
          <w:lang w:val="uk-UA"/>
          <w14:ligatures w14:val="none"/>
        </w:rPr>
        <w:t>,</w:t>
      </w:r>
    </w:p>
    <w:p w14:paraId="0D304A8A" w14:textId="77777777" w:rsidR="00B44B71" w:rsidRPr="00B44B71" w:rsidRDefault="00B44B71" w:rsidP="00023291">
      <w:pPr>
        <w:tabs>
          <w:tab w:val="left" w:pos="9638"/>
        </w:tabs>
        <w:spacing w:after="0" w:line="240" w:lineRule="auto"/>
        <w:ind w:firstLine="709"/>
        <w:contextualSpacing/>
        <w:jc w:val="right"/>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Військовий інститут танкових військ НТУ “ХПІ”, м. Харків </w:t>
      </w:r>
    </w:p>
    <w:p w14:paraId="10A84D0D" w14:textId="77777777" w:rsidR="00B44B71" w:rsidRPr="00B44B71" w:rsidRDefault="00B44B71" w:rsidP="00023291">
      <w:pPr>
        <w:tabs>
          <w:tab w:val="left" w:pos="9638"/>
        </w:tabs>
        <w:spacing w:after="0" w:line="240" w:lineRule="auto"/>
        <w:ind w:firstLine="709"/>
        <w:contextualSpacing/>
        <w:jc w:val="right"/>
        <w:rPr>
          <w:rFonts w:ascii="Times New Roman" w:eastAsia="Calibri" w:hAnsi="Times New Roman" w:cs="Times New Roman"/>
          <w:kern w:val="0"/>
          <w:sz w:val="24"/>
          <w:szCs w:val="24"/>
          <w:lang w:val="uk-UA"/>
          <w14:ligatures w14:val="none"/>
        </w:rPr>
      </w:pPr>
      <w:hyperlink r:id="rId151" w:history="1">
        <w:r w:rsidRPr="00B44B71">
          <w:rPr>
            <w:rFonts w:ascii="Times New Roman" w:eastAsia="Calibri" w:hAnsi="Times New Roman" w:cs="Times New Roman"/>
            <w:color w:val="0563C1"/>
            <w:kern w:val="0"/>
            <w:sz w:val="24"/>
            <w:szCs w:val="24"/>
            <w:u w:val="single"/>
            <w:lang w:val="uk-UA"/>
            <w14:ligatures w14:val="none"/>
          </w:rPr>
          <w:t>https://orcid.org/</w:t>
        </w:r>
      </w:hyperlink>
      <w:r w:rsidRPr="00B44B71">
        <w:rPr>
          <w:rFonts w:ascii="Times New Roman" w:eastAsia="Calibri" w:hAnsi="Times New Roman" w:cs="Times New Roman"/>
          <w:color w:val="0563C1"/>
          <w:kern w:val="0"/>
          <w:sz w:val="24"/>
          <w:szCs w:val="24"/>
          <w:u w:val="single"/>
          <w:lang w:val="uk-UA"/>
          <w14:ligatures w14:val="none"/>
        </w:rPr>
        <w:t>0000-00013-4948-4029</w:t>
      </w:r>
    </w:p>
    <w:p w14:paraId="23A0B90D" w14:textId="77777777" w:rsidR="00B44B71" w:rsidRPr="00B44B71" w:rsidRDefault="00B44B71" w:rsidP="00023291">
      <w:pPr>
        <w:tabs>
          <w:tab w:val="left" w:pos="9638"/>
        </w:tabs>
        <w:spacing w:after="0" w:line="240" w:lineRule="auto"/>
        <w:ind w:left="720" w:firstLine="709"/>
        <w:contextualSpacing/>
        <w:jc w:val="right"/>
        <w:rPr>
          <w:rFonts w:ascii="Times New Roman" w:eastAsia="Calibri" w:hAnsi="Times New Roman" w:cs="Times New Roman"/>
          <w:b/>
          <w:kern w:val="0"/>
          <w:sz w:val="24"/>
          <w:szCs w:val="24"/>
          <w:lang w:val="uk-UA"/>
          <w14:ligatures w14:val="none"/>
        </w:rPr>
      </w:pPr>
      <w:r w:rsidRPr="00B44B71">
        <w:rPr>
          <w:rFonts w:ascii="Times New Roman" w:eastAsia="Calibri" w:hAnsi="Times New Roman" w:cs="Times New Roman"/>
          <w:b/>
          <w:kern w:val="0"/>
          <w:sz w:val="24"/>
          <w:szCs w:val="24"/>
          <w:lang w:val="uk-UA"/>
          <w14:ligatures w14:val="none"/>
        </w:rPr>
        <w:t xml:space="preserve">Анатолій Нікітін, </w:t>
      </w:r>
    </w:p>
    <w:p w14:paraId="67E7EC94" w14:textId="77777777" w:rsidR="00B44B71" w:rsidRPr="00B44B71" w:rsidRDefault="00B44B71" w:rsidP="00023291">
      <w:pPr>
        <w:tabs>
          <w:tab w:val="left" w:pos="9638"/>
        </w:tabs>
        <w:spacing w:after="0" w:line="240" w:lineRule="auto"/>
        <w:ind w:left="720" w:firstLine="709"/>
        <w:contextualSpacing/>
        <w:jc w:val="right"/>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доктор філософії, доцент, </w:t>
      </w:r>
    </w:p>
    <w:p w14:paraId="476BE732" w14:textId="77777777" w:rsidR="00B44B71" w:rsidRPr="00B44B71" w:rsidRDefault="00B44B71" w:rsidP="00023291">
      <w:pPr>
        <w:tabs>
          <w:tab w:val="left" w:pos="9638"/>
        </w:tabs>
        <w:spacing w:after="0" w:line="240" w:lineRule="auto"/>
        <w:ind w:firstLine="709"/>
        <w:contextualSpacing/>
        <w:jc w:val="right"/>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Національний університет оборони України, м. Київ </w:t>
      </w:r>
    </w:p>
    <w:p w14:paraId="1191458E" w14:textId="7404EC8F" w:rsidR="00B44B71" w:rsidRDefault="00446297" w:rsidP="00023291">
      <w:pPr>
        <w:tabs>
          <w:tab w:val="left" w:pos="9638"/>
        </w:tabs>
        <w:spacing w:after="0" w:line="240" w:lineRule="auto"/>
        <w:ind w:firstLine="709"/>
        <w:contextualSpacing/>
        <w:jc w:val="right"/>
        <w:rPr>
          <w:rFonts w:ascii="Times New Roman" w:eastAsia="Calibri" w:hAnsi="Times New Roman" w:cs="Times New Roman"/>
          <w:color w:val="0563C1"/>
          <w:kern w:val="0"/>
          <w:sz w:val="24"/>
          <w:szCs w:val="24"/>
          <w:u w:val="single"/>
          <w:lang w:val="uk-UA"/>
          <w14:ligatures w14:val="none"/>
        </w:rPr>
      </w:pPr>
      <w:hyperlink r:id="rId152" w:history="1">
        <w:r w:rsidRPr="00B17C63">
          <w:rPr>
            <w:rStyle w:val="Hyperlink"/>
            <w:rFonts w:ascii="Times New Roman" w:eastAsia="Calibri" w:hAnsi="Times New Roman"/>
            <w:kern w:val="0"/>
            <w:sz w:val="24"/>
            <w:szCs w:val="24"/>
            <w:lang w:val="uk-UA"/>
            <w14:ligatures w14:val="none"/>
          </w:rPr>
          <w:t>https://orcid.org/0000-0003-1487-0616</w:t>
        </w:r>
      </w:hyperlink>
    </w:p>
    <w:p w14:paraId="429480F6" w14:textId="77777777" w:rsidR="00446297" w:rsidRPr="00F96118" w:rsidRDefault="00446297" w:rsidP="00023291">
      <w:pPr>
        <w:tabs>
          <w:tab w:val="left" w:pos="993"/>
          <w:tab w:val="left" w:pos="9638"/>
        </w:tabs>
        <w:spacing w:after="0" w:line="240" w:lineRule="auto"/>
        <w:ind w:firstLine="709"/>
        <w:jc w:val="right"/>
        <w:rPr>
          <w:rFonts w:ascii="Times New Roman" w:eastAsia="Calibri" w:hAnsi="Times New Roman" w:cs="Times New Roman"/>
          <w:kern w:val="0"/>
          <w:sz w:val="28"/>
          <w:szCs w:val="28"/>
          <w:lang w:val="uk-UA"/>
          <w14:ligatures w14:val="none"/>
        </w:rPr>
      </w:pPr>
    </w:p>
    <w:p w14:paraId="0772F5F2" w14:textId="77777777" w:rsidR="00B44B71" w:rsidRPr="00B44B71" w:rsidRDefault="00B44B71" w:rsidP="006025B7">
      <w:pPr>
        <w:tabs>
          <w:tab w:val="left" w:pos="9638"/>
        </w:tabs>
        <w:spacing w:after="0" w:line="240" w:lineRule="auto"/>
        <w:contextualSpacing/>
        <w:jc w:val="center"/>
        <w:rPr>
          <w:rFonts w:ascii="Times New Roman" w:eastAsia="Calibri" w:hAnsi="Times New Roman" w:cs="Times New Roman"/>
          <w:b/>
          <w:kern w:val="0"/>
          <w:sz w:val="24"/>
          <w:szCs w:val="24"/>
          <w:lang w:val="uk-UA"/>
          <w14:ligatures w14:val="none"/>
        </w:rPr>
      </w:pPr>
      <w:r w:rsidRPr="00B44B71">
        <w:rPr>
          <w:rFonts w:ascii="Times New Roman" w:eastAsia="Calibri" w:hAnsi="Times New Roman" w:cs="Times New Roman"/>
          <w:b/>
          <w:kern w:val="0"/>
          <w:sz w:val="24"/>
          <w:szCs w:val="24"/>
          <w:lang w:val="uk-UA"/>
          <w14:ligatures w14:val="none"/>
        </w:rPr>
        <w:t xml:space="preserve">ІНТЕРАКТИВНІ ТЕХНОЛОГІЇ ЯК КАТАЛІЗАТОР ЗМІН </w:t>
      </w:r>
      <w:r w:rsidRPr="00B44B71">
        <w:rPr>
          <w:rFonts w:ascii="Times New Roman" w:eastAsia="Calibri" w:hAnsi="Times New Roman" w:cs="Times New Roman"/>
          <w:b/>
          <w:kern w:val="0"/>
          <w:sz w:val="24"/>
          <w:szCs w:val="24"/>
          <w:lang w:val="uk-UA"/>
          <w14:ligatures w14:val="none"/>
        </w:rPr>
        <w:br/>
        <w:t>В ОСВІТНІХ ПАРАДИГМАХ</w:t>
      </w:r>
    </w:p>
    <w:p w14:paraId="6051F983" w14:textId="77777777" w:rsidR="00B44B71" w:rsidRPr="00B44B71" w:rsidRDefault="00B44B71" w:rsidP="00023291">
      <w:pPr>
        <w:tabs>
          <w:tab w:val="left" w:pos="9638"/>
        </w:tabs>
        <w:spacing w:after="0" w:line="240" w:lineRule="auto"/>
        <w:ind w:firstLine="709"/>
        <w:jc w:val="center"/>
        <w:rPr>
          <w:rFonts w:ascii="Times New Roman" w:eastAsia="Calibri" w:hAnsi="Times New Roman" w:cs="Times New Roman"/>
          <w:sz w:val="28"/>
          <w:szCs w:val="28"/>
          <w:lang w:val="uk-UA"/>
        </w:rPr>
      </w:pPr>
    </w:p>
    <w:p w14:paraId="43DE040F"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i/>
          <w:sz w:val="24"/>
          <w:szCs w:val="24"/>
          <w:lang w:val="uk-UA"/>
        </w:rPr>
      </w:pPr>
      <w:r w:rsidRPr="00B44B71">
        <w:rPr>
          <w:rFonts w:ascii="Times New Roman" w:eastAsia="Calibri" w:hAnsi="Times New Roman" w:cs="Times New Roman"/>
          <w:i/>
          <w:sz w:val="24"/>
          <w:szCs w:val="24"/>
          <w:lang w:val="uk-UA"/>
        </w:rPr>
        <w:t>У статті досліджено роль інтерактивних технологій у трансформації сучасних освітніх парадигм. Розглянуто потенціал інтерактивних інструментів, таких як мультимедійні ресурси, 3</w:t>
      </w:r>
      <w:r w:rsidRPr="00B44B71">
        <w:rPr>
          <w:rFonts w:ascii="Times New Roman" w:eastAsia="Calibri" w:hAnsi="Times New Roman" w:cs="Times New Roman"/>
          <w:i/>
          <w:sz w:val="24"/>
          <w:szCs w:val="24"/>
        </w:rPr>
        <w:t>D</w:t>
      </w:r>
      <w:r w:rsidRPr="00B44B71">
        <w:rPr>
          <w:rFonts w:ascii="Times New Roman" w:eastAsia="Calibri" w:hAnsi="Times New Roman" w:cs="Times New Roman"/>
          <w:i/>
          <w:sz w:val="24"/>
          <w:szCs w:val="24"/>
          <w:lang w:val="uk-UA"/>
        </w:rPr>
        <w:t xml:space="preserve"> тури, QR-коди у стимулюванні активної участі здобувачів освіти, розвитку їх критичного мислення та підвищенні мотивації до навчання. Проаналізовано вплив інтерактивних технологій на зміну ролі викладача від транслятора знань до фасилітатора освітнього процесу. Окрему увагу приділено можливостям персоналізації навчання та адаптації освітнього контенту до індивідуальних потреб здобувачів освіти завдяки інтерактивним підходам. Наведено приклади успішного впровадження інтерактивних технологій у різних освітніх контекстах та обговорено виклики, пов’язані з їх ефективним використанням. Стаття підкреслює, що інтерактивні технології є не лише інструментом для покращення освітнього процесу, але й потужним каталізатором якісних змін в освітніх парадигмах, спрямованих на формування компетентної та самостійної особистості.</w:t>
      </w:r>
    </w:p>
    <w:p w14:paraId="374E9BC0"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4"/>
          <w:szCs w:val="24"/>
          <w:lang w:val="uk-UA"/>
        </w:rPr>
      </w:pPr>
      <w:r w:rsidRPr="00B44B71">
        <w:rPr>
          <w:rFonts w:ascii="Times New Roman" w:eastAsia="Calibri" w:hAnsi="Times New Roman" w:cs="Times New Roman"/>
          <w:b/>
          <w:i/>
          <w:sz w:val="24"/>
          <w:szCs w:val="24"/>
          <w:lang w:val="uk-UA"/>
        </w:rPr>
        <w:t xml:space="preserve">Ключові слова: </w:t>
      </w:r>
      <w:r w:rsidRPr="00B44B71">
        <w:rPr>
          <w:rFonts w:ascii="Times New Roman" w:eastAsia="Calibri" w:hAnsi="Times New Roman" w:cs="Times New Roman"/>
          <w:i/>
          <w:sz w:val="24"/>
          <w:szCs w:val="24"/>
          <w:lang w:val="uk-UA"/>
        </w:rPr>
        <w:t>інтерактивні технології, освітні парадигми, критичне мислення, інформаційно-комунікаційні технології навчання, QR-код, 3D-тур</w:t>
      </w:r>
    </w:p>
    <w:p w14:paraId="44E73D5F" w14:textId="77777777" w:rsidR="006025B7" w:rsidRDefault="006025B7" w:rsidP="00023291">
      <w:pPr>
        <w:tabs>
          <w:tab w:val="left" w:pos="9638"/>
        </w:tabs>
        <w:spacing w:after="0" w:line="240" w:lineRule="auto"/>
        <w:ind w:firstLine="709"/>
        <w:jc w:val="both"/>
        <w:rPr>
          <w:rFonts w:ascii="Times New Roman" w:eastAsia="Calibri" w:hAnsi="Times New Roman" w:cs="Times New Roman"/>
          <w:b/>
          <w:sz w:val="28"/>
          <w:szCs w:val="28"/>
          <w:lang w:val="uk-UA"/>
        </w:rPr>
      </w:pPr>
    </w:p>
    <w:p w14:paraId="5DB9E898" w14:textId="417F1F79"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b/>
          <w:sz w:val="28"/>
          <w:szCs w:val="28"/>
          <w:lang w:val="uk-UA"/>
        </w:rPr>
        <w:t xml:space="preserve">Постановка проблеми. </w:t>
      </w:r>
      <w:r w:rsidRPr="00B44B71">
        <w:rPr>
          <w:rFonts w:ascii="Times New Roman" w:eastAsia="Calibri" w:hAnsi="Times New Roman" w:cs="Times New Roman"/>
          <w:sz w:val="28"/>
          <w:szCs w:val="28"/>
          <w:lang w:val="uk-UA"/>
        </w:rPr>
        <w:t>Сучасний етап розвитку суспільства характеризується активним проникненням інформаційно-комунікаційних технологій у всі сфери життя, зокрема в освіту. Інтерактивні технології, на відміну від традиційних засобів навчання, відкривають нові можливості для активної взаємодії здобувачів освіти з навчальним матеріалом, сприяючи їхній залученості та мотивації. Водночас, спостерігається зростання вимог до якості освіти та необхідність переходу до нових освітніх парадигм, орієнтованих на розвиток ключових компетентностей, самостійності та критичного мислення здобувачів освіти.</w:t>
      </w:r>
    </w:p>
    <w:p w14:paraId="401CF2E0"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lastRenderedPageBreak/>
        <w:t>Однак, незважаючи на значний потенціал інтерактивних технологій, їхнє ефективне та системне впровадження в освітній процес стикається з низкою протиріч. Зокрема, існує розрив між можливостями інтерактивних інструментів та їхнім фактичним використанням, між вимогами сучасних освітніх підходів та можливостями традиційних методів навчання, а також недостатньо глибоке розуміння впливу різних видів інтерактивних технологій на різні аспекти освітнього процесу.</w:t>
      </w:r>
    </w:p>
    <w:p w14:paraId="319E452E"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b/>
          <w:sz w:val="28"/>
          <w:szCs w:val="28"/>
          <w:lang w:val="uk-UA"/>
        </w:rPr>
      </w:pPr>
      <w:r w:rsidRPr="00B44B71">
        <w:rPr>
          <w:rFonts w:ascii="Times New Roman" w:eastAsia="Calibri" w:hAnsi="Times New Roman" w:cs="Times New Roman"/>
          <w:sz w:val="28"/>
          <w:szCs w:val="28"/>
          <w:lang w:val="uk-UA"/>
        </w:rPr>
        <w:t>Актуальність дослідження зумовлена необхідністю вирішення зазначених протиріч, підвищення якості освіти в умовах цифрової трансформації та розробки практичних рекомендацій щодо ефективного використання інтерактивних технологій для оптимізації освітніх парадигм.</w:t>
      </w:r>
    </w:p>
    <w:p w14:paraId="1FD0CC55"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b/>
          <w:sz w:val="28"/>
          <w:szCs w:val="28"/>
          <w:lang w:val="uk-UA"/>
        </w:rPr>
        <w:t xml:space="preserve">Аналіз останніх досліджень і публікацій. </w:t>
      </w:r>
      <w:r w:rsidRPr="00B44B71">
        <w:rPr>
          <w:rFonts w:ascii="Times New Roman" w:eastAsia="Calibri" w:hAnsi="Times New Roman" w:cs="Times New Roman"/>
          <w:sz w:val="28"/>
          <w:szCs w:val="28"/>
          <w:lang w:val="uk-UA"/>
        </w:rPr>
        <w:t>Останні дослідження підтверджують значний вплив інтерактивних технологій на підвищення залученості здобувачів освіти у освітньому процесі. Однак, дослідження вказують на необхідність подальшого вивчення довгострокового впливу інтерактивних технологій на результати навчання та розробки ефективних методик інтеграції цих технологій у навчальні програми.</w:t>
      </w:r>
    </w:p>
    <w:p w14:paraId="283B8B75"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b/>
          <w:sz w:val="28"/>
          <w:szCs w:val="28"/>
          <w:lang w:val="uk-UA"/>
        </w:rPr>
        <w:t xml:space="preserve">Мета: </w:t>
      </w:r>
      <w:r w:rsidRPr="00B44B71">
        <w:rPr>
          <w:rFonts w:ascii="Times New Roman" w:eastAsia="Calibri" w:hAnsi="Times New Roman" w:cs="Times New Roman"/>
          <w:sz w:val="28"/>
          <w:szCs w:val="28"/>
          <w:lang w:val="uk-UA"/>
        </w:rPr>
        <w:t>Виявити та проаналізувати вплив інтерактивних технологій на трансформацію сучасних освітніх парадигм.</w:t>
      </w:r>
    </w:p>
    <w:p w14:paraId="0F61D249"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b/>
          <w:sz w:val="28"/>
          <w:szCs w:val="28"/>
          <w:lang w:val="uk-UA"/>
        </w:rPr>
        <w:t>Виклад основного матеріалу</w:t>
      </w:r>
      <w:r w:rsidRPr="00B44B71">
        <w:rPr>
          <w:rFonts w:ascii="Times New Roman" w:eastAsia="Calibri" w:hAnsi="Times New Roman" w:cs="Times New Roman"/>
          <w:sz w:val="28"/>
          <w:szCs w:val="28"/>
          <w:lang w:val="uk-UA"/>
        </w:rPr>
        <w:t>. Стрімкий розвиток інноваційних технологій радикально трансформує освітні парадигми. Освітні установи змушені адаптуватися до цих змін, щоб залишатися актуальними та ефективними.</w:t>
      </w:r>
    </w:p>
    <w:p w14:paraId="36CCF8A3"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Сфера військової освіти переживає період швидких змін, зумовлених стрімким розвитком новітніх технологій. Це вимагає від ВВНЗ, ВНП ЗВО постійної адаптації та модернізації. Після затвердження Концепції трансформації системи військової освіти та Директиви Bi-SC_75-7_NEW “Освіта і підготовка” передбачають наступні зміни в освітньому процесі [1, с.76-80]:</w:t>
      </w:r>
    </w:p>
    <w:p w14:paraId="706B4EF1"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прискорення впровадження сучасних інформаційних та комунікаційних технологій, а також технологій дистанційного навчання;</w:t>
      </w:r>
    </w:p>
    <w:p w14:paraId="5FC06990"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оптимізація та уніфікація організаційно-штатної структури військових навчальних закладів;</w:t>
      </w:r>
    </w:p>
    <w:p w14:paraId="739E9672"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забезпечення безперервного професійного розвитку військових фахівців.</w:t>
      </w:r>
    </w:p>
    <w:p w14:paraId="25FE8B27"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адаптація військової освіти до стандартів НАТО;</w:t>
      </w:r>
    </w:p>
    <w:p w14:paraId="312D14D6"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врахування досвіду застосування частин (підрозділів) під час бойових дій у російсько – Українській війні та локальних конфліктах сучасності.</w:t>
      </w:r>
    </w:p>
    <w:p w14:paraId="29851C07"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Створення умов для взаємосумісності Збройних Сил України зі структурами країн НАТО [2, 1].</w:t>
      </w:r>
    </w:p>
    <w:p w14:paraId="7290FA8D"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Модернізація Збройних Сил є ключовим фактором для забезпечення національної безпеки. Цей процес неможливий без реформування системи підготовки військових кадрів.</w:t>
      </w:r>
    </w:p>
    <w:p w14:paraId="3EE8F466"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Для ефективного функціонування сучасної армії необхідна комплексна модернізація, яка охоплює не лише технічне переоснащення, але й якісну підготовку особового складу.</w:t>
      </w:r>
    </w:p>
    <w:p w14:paraId="09F4CC98"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lastRenderedPageBreak/>
        <w:t xml:space="preserve">Стрімке поширення інтерактивних мультимедійних технологій [3, с.158-161] (рис. 1), 3D-турів (рис. 2), програмного забезпечення в освітньому процесі [5, с.1654] є закономірним явищем, що відображає сучасні потреби та можливості. </w:t>
      </w:r>
    </w:p>
    <w:p w14:paraId="0F59870A"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p>
    <w:tbl>
      <w:tblPr>
        <w:tblStyle w:val="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7"/>
        <w:gridCol w:w="2407"/>
        <w:gridCol w:w="2407"/>
        <w:gridCol w:w="2408"/>
      </w:tblGrid>
      <w:tr w:rsidR="00B44B71" w:rsidRPr="00B44B71" w14:paraId="6176907F" w14:textId="77777777" w:rsidTr="00F918EC">
        <w:tc>
          <w:tcPr>
            <w:tcW w:w="2407" w:type="dxa"/>
            <w:vAlign w:val="center"/>
          </w:tcPr>
          <w:p w14:paraId="789E375D" w14:textId="77777777" w:rsidR="00B44B71" w:rsidRPr="00B44B71" w:rsidRDefault="00B44B71" w:rsidP="00023291">
            <w:pPr>
              <w:tabs>
                <w:tab w:val="left" w:pos="9638"/>
              </w:tabs>
              <w:ind w:firstLine="709"/>
              <w:jc w:val="center"/>
              <w:rPr>
                <w:rFonts w:ascii="Calibri" w:eastAsia="Calibri" w:hAnsi="Calibri" w:cs="Times New Roman"/>
              </w:rPr>
            </w:pPr>
            <w:r w:rsidRPr="00B44B71">
              <w:rPr>
                <w:rFonts w:ascii="Calibri" w:eastAsia="Calibri" w:hAnsi="Calibri" w:cs="Times New Roman"/>
                <w:noProof/>
                <w:lang w:eastAsia="uk-UA"/>
              </w:rPr>
              <w:drawing>
                <wp:inline distT="0" distB="0" distL="0" distR="0" wp14:anchorId="0FC84B8A" wp14:editId="1206A6AE">
                  <wp:extent cx="1231900" cy="761776"/>
                  <wp:effectExtent l="0" t="0" r="6350" b="635"/>
                  <wp:docPr id="7" name="Рисунок 7" descr="Новый 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овый рисунок (4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247658" cy="771520"/>
                          </a:xfrm>
                          <a:prstGeom prst="rect">
                            <a:avLst/>
                          </a:prstGeom>
                          <a:noFill/>
                          <a:ln>
                            <a:noFill/>
                          </a:ln>
                        </pic:spPr>
                      </pic:pic>
                    </a:graphicData>
                  </a:graphic>
                </wp:inline>
              </w:drawing>
            </w:r>
          </w:p>
        </w:tc>
        <w:tc>
          <w:tcPr>
            <w:tcW w:w="2407" w:type="dxa"/>
            <w:vAlign w:val="center"/>
          </w:tcPr>
          <w:p w14:paraId="68BED57B" w14:textId="77777777" w:rsidR="00B44B71" w:rsidRPr="00B44B71" w:rsidRDefault="00B44B71" w:rsidP="00023291">
            <w:pPr>
              <w:tabs>
                <w:tab w:val="left" w:pos="9638"/>
              </w:tabs>
              <w:ind w:firstLine="709"/>
              <w:jc w:val="center"/>
              <w:rPr>
                <w:rFonts w:ascii="Calibri" w:eastAsia="Calibri" w:hAnsi="Calibri" w:cs="Times New Roman"/>
              </w:rPr>
            </w:pPr>
            <w:r w:rsidRPr="00B44B71">
              <w:rPr>
                <w:rFonts w:ascii="Calibri" w:eastAsia="Calibri" w:hAnsi="Calibri" w:cs="Times New Roman"/>
                <w:noProof/>
                <w:lang w:eastAsia="uk-UA"/>
              </w:rPr>
              <w:drawing>
                <wp:inline distT="0" distB="0" distL="0" distR="0" wp14:anchorId="243527DF" wp14:editId="26475481">
                  <wp:extent cx="1273544" cy="755343"/>
                  <wp:effectExtent l="0" t="0" r="3175" b="6985"/>
                  <wp:docPr id="8" name="Рисунок 8" descr="Новый 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овый рисунок (4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294015" cy="767484"/>
                          </a:xfrm>
                          <a:prstGeom prst="rect">
                            <a:avLst/>
                          </a:prstGeom>
                          <a:noFill/>
                          <a:ln>
                            <a:noFill/>
                          </a:ln>
                        </pic:spPr>
                      </pic:pic>
                    </a:graphicData>
                  </a:graphic>
                </wp:inline>
              </w:drawing>
            </w:r>
          </w:p>
        </w:tc>
        <w:tc>
          <w:tcPr>
            <w:tcW w:w="2407" w:type="dxa"/>
            <w:vAlign w:val="center"/>
          </w:tcPr>
          <w:p w14:paraId="7C10C2B2" w14:textId="77777777" w:rsidR="00B44B71" w:rsidRPr="00B44B71" w:rsidRDefault="00B44B71" w:rsidP="00023291">
            <w:pPr>
              <w:tabs>
                <w:tab w:val="left" w:pos="9638"/>
              </w:tabs>
              <w:ind w:firstLine="709"/>
              <w:jc w:val="center"/>
              <w:rPr>
                <w:rFonts w:ascii="Calibri" w:eastAsia="Calibri" w:hAnsi="Calibri" w:cs="Times New Roman"/>
              </w:rPr>
            </w:pPr>
            <w:r w:rsidRPr="00B44B71">
              <w:rPr>
                <w:rFonts w:ascii="Calibri" w:eastAsia="Calibri" w:hAnsi="Calibri" w:cs="Times New Roman"/>
                <w:noProof/>
                <w:lang w:eastAsia="uk-UA"/>
              </w:rPr>
              <w:drawing>
                <wp:inline distT="0" distB="0" distL="0" distR="0" wp14:anchorId="19819F13" wp14:editId="1CC056F3">
                  <wp:extent cx="1248410" cy="749046"/>
                  <wp:effectExtent l="0" t="0" r="8890" b="0"/>
                  <wp:docPr id="9" name="Рисунок 9" descr="Новый 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овый рисунок (4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262002" cy="757201"/>
                          </a:xfrm>
                          <a:prstGeom prst="rect">
                            <a:avLst/>
                          </a:prstGeom>
                          <a:noFill/>
                          <a:ln>
                            <a:noFill/>
                          </a:ln>
                        </pic:spPr>
                      </pic:pic>
                    </a:graphicData>
                  </a:graphic>
                </wp:inline>
              </w:drawing>
            </w:r>
          </w:p>
        </w:tc>
        <w:tc>
          <w:tcPr>
            <w:tcW w:w="2408" w:type="dxa"/>
            <w:vAlign w:val="center"/>
          </w:tcPr>
          <w:p w14:paraId="2A0A1FE6" w14:textId="77777777" w:rsidR="00B44B71" w:rsidRPr="00B44B71" w:rsidRDefault="00B44B71" w:rsidP="00023291">
            <w:pPr>
              <w:tabs>
                <w:tab w:val="left" w:pos="9638"/>
              </w:tabs>
              <w:ind w:firstLine="709"/>
              <w:jc w:val="center"/>
              <w:rPr>
                <w:rFonts w:ascii="Calibri" w:eastAsia="Calibri" w:hAnsi="Calibri" w:cs="Times New Roman"/>
              </w:rPr>
            </w:pPr>
            <w:r w:rsidRPr="00B44B71">
              <w:rPr>
                <w:rFonts w:ascii="Calibri" w:eastAsia="Calibri" w:hAnsi="Calibri" w:cs="Times New Roman"/>
                <w:noProof/>
                <w:lang w:eastAsia="uk-UA"/>
              </w:rPr>
              <w:drawing>
                <wp:inline distT="0" distB="0" distL="0" distR="0" wp14:anchorId="19D460DA" wp14:editId="039443FF">
                  <wp:extent cx="1259205" cy="755523"/>
                  <wp:effectExtent l="0" t="0" r="0" b="6985"/>
                  <wp:docPr id="10" name="Рисунок 10" descr="Новый 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Новый рисунок (4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266643" cy="759986"/>
                          </a:xfrm>
                          <a:prstGeom prst="rect">
                            <a:avLst/>
                          </a:prstGeom>
                          <a:noFill/>
                          <a:ln>
                            <a:noFill/>
                          </a:ln>
                        </pic:spPr>
                      </pic:pic>
                    </a:graphicData>
                  </a:graphic>
                </wp:inline>
              </w:drawing>
            </w:r>
          </w:p>
        </w:tc>
      </w:tr>
      <w:tr w:rsidR="00B44B71" w:rsidRPr="00B44B71" w14:paraId="1D3B8E14" w14:textId="77777777" w:rsidTr="00F918EC">
        <w:tc>
          <w:tcPr>
            <w:tcW w:w="2407" w:type="dxa"/>
            <w:vAlign w:val="center"/>
          </w:tcPr>
          <w:p w14:paraId="1C923F17" w14:textId="77777777" w:rsidR="00B44B71" w:rsidRPr="00B44B71" w:rsidRDefault="00B44B71" w:rsidP="00023291">
            <w:pPr>
              <w:tabs>
                <w:tab w:val="left" w:pos="9638"/>
              </w:tabs>
              <w:ind w:firstLine="709"/>
              <w:jc w:val="center"/>
              <w:rPr>
                <w:rFonts w:ascii="Calibri" w:eastAsia="Calibri" w:hAnsi="Calibri" w:cs="Times New Roman"/>
              </w:rPr>
            </w:pPr>
            <w:r w:rsidRPr="00B44B71">
              <w:rPr>
                <w:rFonts w:ascii="Calibri" w:eastAsia="Calibri" w:hAnsi="Calibri" w:cs="Times New Roman"/>
                <w:noProof/>
                <w:lang w:eastAsia="uk-UA"/>
              </w:rPr>
              <w:drawing>
                <wp:inline distT="0" distB="0" distL="0" distR="0" wp14:anchorId="6A0134F9" wp14:editId="4B5A1C28">
                  <wp:extent cx="1238250" cy="774989"/>
                  <wp:effectExtent l="0" t="0" r="0" b="6350"/>
                  <wp:docPr id="11" name="Рисунок 11" descr="Новый 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Новый рисунок (4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267385" cy="793224"/>
                          </a:xfrm>
                          <a:prstGeom prst="rect">
                            <a:avLst/>
                          </a:prstGeom>
                          <a:noFill/>
                          <a:ln>
                            <a:noFill/>
                          </a:ln>
                        </pic:spPr>
                      </pic:pic>
                    </a:graphicData>
                  </a:graphic>
                </wp:inline>
              </w:drawing>
            </w:r>
          </w:p>
        </w:tc>
        <w:tc>
          <w:tcPr>
            <w:tcW w:w="2407" w:type="dxa"/>
            <w:vAlign w:val="center"/>
          </w:tcPr>
          <w:p w14:paraId="318B1EDD" w14:textId="77777777" w:rsidR="00B44B71" w:rsidRPr="00B44B71" w:rsidRDefault="00B44B71" w:rsidP="00023291">
            <w:pPr>
              <w:tabs>
                <w:tab w:val="left" w:pos="9638"/>
              </w:tabs>
              <w:ind w:firstLine="709"/>
              <w:jc w:val="center"/>
              <w:rPr>
                <w:rFonts w:ascii="Calibri" w:eastAsia="Calibri" w:hAnsi="Calibri" w:cs="Times New Roman"/>
              </w:rPr>
            </w:pPr>
            <w:r w:rsidRPr="00B44B71">
              <w:rPr>
                <w:rFonts w:ascii="Calibri" w:eastAsia="Calibri" w:hAnsi="Calibri" w:cs="Times New Roman"/>
                <w:noProof/>
                <w:lang w:eastAsia="uk-UA"/>
              </w:rPr>
              <w:drawing>
                <wp:inline distT="0" distB="0" distL="0" distR="0" wp14:anchorId="5AF7135B" wp14:editId="53AE6851">
                  <wp:extent cx="1270000" cy="788737"/>
                  <wp:effectExtent l="0" t="0" r="6350" b="0"/>
                  <wp:docPr id="12" name="Рисунок 12" descr="Новый 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овый рисунок (4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02235" cy="808757"/>
                          </a:xfrm>
                          <a:prstGeom prst="rect">
                            <a:avLst/>
                          </a:prstGeom>
                          <a:noFill/>
                          <a:ln>
                            <a:noFill/>
                          </a:ln>
                        </pic:spPr>
                      </pic:pic>
                    </a:graphicData>
                  </a:graphic>
                </wp:inline>
              </w:drawing>
            </w:r>
          </w:p>
        </w:tc>
        <w:tc>
          <w:tcPr>
            <w:tcW w:w="2407" w:type="dxa"/>
            <w:vAlign w:val="center"/>
          </w:tcPr>
          <w:p w14:paraId="412BBF07" w14:textId="77777777" w:rsidR="00B44B71" w:rsidRPr="00B44B71" w:rsidRDefault="00B44B71" w:rsidP="00023291">
            <w:pPr>
              <w:tabs>
                <w:tab w:val="left" w:pos="9638"/>
              </w:tabs>
              <w:ind w:firstLine="709"/>
              <w:jc w:val="center"/>
              <w:rPr>
                <w:rFonts w:ascii="Calibri" w:eastAsia="Calibri" w:hAnsi="Calibri" w:cs="Times New Roman"/>
              </w:rPr>
            </w:pPr>
            <w:r w:rsidRPr="00B44B71">
              <w:rPr>
                <w:rFonts w:ascii="Calibri" w:eastAsia="Calibri" w:hAnsi="Calibri" w:cs="Times New Roman"/>
                <w:noProof/>
                <w:lang w:eastAsia="uk-UA"/>
              </w:rPr>
              <w:drawing>
                <wp:inline distT="0" distB="0" distL="0" distR="0" wp14:anchorId="64E4D898" wp14:editId="3A563202">
                  <wp:extent cx="1244600" cy="766919"/>
                  <wp:effectExtent l="0" t="0" r="0" b="0"/>
                  <wp:docPr id="13" name="Рисунок 13" descr="Новый 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Новый рисунок (4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270647" cy="782969"/>
                          </a:xfrm>
                          <a:prstGeom prst="rect">
                            <a:avLst/>
                          </a:prstGeom>
                          <a:noFill/>
                          <a:ln>
                            <a:noFill/>
                          </a:ln>
                        </pic:spPr>
                      </pic:pic>
                    </a:graphicData>
                  </a:graphic>
                </wp:inline>
              </w:drawing>
            </w:r>
          </w:p>
        </w:tc>
        <w:tc>
          <w:tcPr>
            <w:tcW w:w="2408" w:type="dxa"/>
            <w:vAlign w:val="center"/>
          </w:tcPr>
          <w:p w14:paraId="464C58F8" w14:textId="77777777" w:rsidR="00B44B71" w:rsidRPr="00B44B71" w:rsidRDefault="00B44B71" w:rsidP="00023291">
            <w:pPr>
              <w:tabs>
                <w:tab w:val="left" w:pos="9638"/>
              </w:tabs>
              <w:ind w:firstLine="709"/>
              <w:jc w:val="center"/>
              <w:rPr>
                <w:rFonts w:ascii="Calibri" w:eastAsia="Calibri" w:hAnsi="Calibri" w:cs="Times New Roman"/>
              </w:rPr>
            </w:pPr>
            <w:r w:rsidRPr="00B44B71">
              <w:rPr>
                <w:rFonts w:ascii="Calibri" w:eastAsia="Calibri" w:hAnsi="Calibri" w:cs="Times New Roman"/>
                <w:noProof/>
                <w:lang w:eastAsia="uk-UA"/>
              </w:rPr>
              <w:drawing>
                <wp:inline distT="0" distB="0" distL="0" distR="0" wp14:anchorId="17C95B0F" wp14:editId="22B70A3E">
                  <wp:extent cx="1228492" cy="768350"/>
                  <wp:effectExtent l="0" t="0" r="0" b="0"/>
                  <wp:docPr id="14" name="Рисунок 14" descr="Новый 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Новый рисунок (4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250073" cy="781848"/>
                          </a:xfrm>
                          <a:prstGeom prst="rect">
                            <a:avLst/>
                          </a:prstGeom>
                          <a:noFill/>
                          <a:ln>
                            <a:noFill/>
                          </a:ln>
                        </pic:spPr>
                      </pic:pic>
                    </a:graphicData>
                  </a:graphic>
                </wp:inline>
              </w:drawing>
            </w:r>
          </w:p>
          <w:p w14:paraId="79FDEB5F" w14:textId="77777777" w:rsidR="00B44B71" w:rsidRPr="00B44B71" w:rsidRDefault="00B44B71" w:rsidP="00023291">
            <w:pPr>
              <w:tabs>
                <w:tab w:val="left" w:pos="9638"/>
              </w:tabs>
              <w:ind w:firstLine="709"/>
              <w:jc w:val="center"/>
              <w:rPr>
                <w:rFonts w:ascii="Calibri" w:eastAsia="Calibri" w:hAnsi="Calibri" w:cs="Times New Roman"/>
              </w:rPr>
            </w:pPr>
          </w:p>
        </w:tc>
      </w:tr>
    </w:tbl>
    <w:p w14:paraId="10C664C5" w14:textId="77777777" w:rsidR="00B44B71" w:rsidRPr="00B44B71" w:rsidRDefault="00B44B71" w:rsidP="00023291">
      <w:pPr>
        <w:tabs>
          <w:tab w:val="left" w:pos="9638"/>
        </w:tabs>
        <w:spacing w:after="0" w:line="240" w:lineRule="auto"/>
        <w:ind w:firstLine="709"/>
        <w:jc w:val="center"/>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 xml:space="preserve">Рис.1. Порядок дій особового складу по веденню РХБ розвідки </w:t>
      </w:r>
    </w:p>
    <w:p w14:paraId="26148254"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p>
    <w:p w14:paraId="7BD8A329"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Сучасний світ характеризується стрімким зростанням інформаційного потоку. Інтерактивні технології дозволяють ефективно структурувати та подавати інформацію, роблячи її більш доступною для сприйняття [4, с.1657].</w:t>
      </w:r>
    </w:p>
    <w:p w14:paraId="40F84325"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Наочність є одним з ключових принципів навчання. Мультимедіа та 3D-тури забезпечують візуалізацію навчального матеріалу, що сприяє кращому розумінню та запам'ятовуванню.</w:t>
      </w:r>
    </w:p>
    <w:p w14:paraId="0F34C7F9"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p>
    <w:p w14:paraId="76E853A6" w14:textId="77777777" w:rsidR="00B44B71" w:rsidRPr="00B44B71" w:rsidRDefault="00B44B71" w:rsidP="00023291">
      <w:pPr>
        <w:tabs>
          <w:tab w:val="left" w:pos="9638"/>
        </w:tabs>
        <w:spacing w:after="0" w:line="240" w:lineRule="auto"/>
        <w:ind w:firstLine="709"/>
        <w:jc w:val="center"/>
        <w:rPr>
          <w:rFonts w:ascii="Calibri" w:eastAsia="Calibri" w:hAnsi="Calibri" w:cs="Times New Roman"/>
          <w:lang w:val="uk-UA"/>
        </w:rPr>
      </w:pPr>
      <w:r w:rsidRPr="00B44B71">
        <w:rPr>
          <w:rFonts w:ascii="Calibri" w:eastAsia="Calibri" w:hAnsi="Calibri" w:cs="Times New Roman"/>
          <w:noProof/>
          <w:lang w:val="uk-UA" w:eastAsia="uk-UA"/>
        </w:rPr>
        <w:drawing>
          <wp:inline distT="0" distB="0" distL="0" distR="0" wp14:anchorId="6310C46A" wp14:editId="154BF2D3">
            <wp:extent cx="5485737" cy="3111500"/>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07924" cy="3124085"/>
                    </a:xfrm>
                    <a:prstGeom prst="rect">
                      <a:avLst/>
                    </a:prstGeom>
                    <a:noFill/>
                    <a:ln>
                      <a:noFill/>
                    </a:ln>
                  </pic:spPr>
                </pic:pic>
              </a:graphicData>
            </a:graphic>
          </wp:inline>
        </w:drawing>
      </w:r>
    </w:p>
    <w:p w14:paraId="49DE1059" w14:textId="77777777" w:rsidR="00B44B71" w:rsidRPr="00B44B71" w:rsidRDefault="00B44B71" w:rsidP="00023291">
      <w:pPr>
        <w:tabs>
          <w:tab w:val="left" w:pos="9638"/>
        </w:tabs>
        <w:spacing w:after="0" w:line="240" w:lineRule="auto"/>
        <w:ind w:firstLine="709"/>
        <w:jc w:val="center"/>
        <w:rPr>
          <w:rFonts w:ascii="Calibri" w:eastAsia="Calibri" w:hAnsi="Calibri" w:cs="Times New Roman"/>
          <w:lang w:val="uk-UA"/>
        </w:rPr>
      </w:pPr>
    </w:p>
    <w:p w14:paraId="672608B6" w14:textId="77777777" w:rsidR="00B44B71" w:rsidRPr="00B44B71" w:rsidRDefault="00B44B71" w:rsidP="00023291">
      <w:pPr>
        <w:tabs>
          <w:tab w:val="left" w:pos="9638"/>
        </w:tabs>
        <w:spacing w:after="0" w:line="240" w:lineRule="auto"/>
        <w:ind w:firstLine="709"/>
        <w:jc w:val="center"/>
        <w:rPr>
          <w:rFonts w:ascii="Times New Roman" w:eastAsia="Calibri" w:hAnsi="Times New Roman" w:cs="Times New Roman"/>
          <w:bCs/>
          <w:sz w:val="28"/>
          <w:szCs w:val="28"/>
          <w:lang w:val="uk-UA"/>
        </w:rPr>
      </w:pPr>
      <w:r w:rsidRPr="00B44B71">
        <w:rPr>
          <w:rFonts w:ascii="Times New Roman" w:eastAsia="Calibri" w:hAnsi="Times New Roman" w:cs="Times New Roman"/>
          <w:bCs/>
          <w:sz w:val="28"/>
          <w:szCs w:val="28"/>
          <w:lang w:val="uk-UA"/>
        </w:rPr>
        <w:t xml:space="preserve">Рис. 2. Елемент програмного продукту 3D тур по машині РХБ розвідки </w:t>
      </w:r>
    </w:p>
    <w:p w14:paraId="39291AEA" w14:textId="77777777" w:rsidR="00B44B71" w:rsidRPr="00B44B71" w:rsidRDefault="00B44B71" w:rsidP="00023291">
      <w:pPr>
        <w:tabs>
          <w:tab w:val="left" w:pos="9638"/>
        </w:tabs>
        <w:spacing w:after="0" w:line="240" w:lineRule="auto"/>
        <w:ind w:firstLine="709"/>
        <w:jc w:val="center"/>
        <w:rPr>
          <w:rFonts w:ascii="Times New Roman" w:eastAsia="Calibri" w:hAnsi="Times New Roman" w:cs="Times New Roman"/>
          <w:bCs/>
          <w:sz w:val="28"/>
          <w:szCs w:val="28"/>
          <w:lang w:val="uk-UA"/>
        </w:rPr>
      </w:pPr>
      <w:r w:rsidRPr="00B44B71">
        <w:rPr>
          <w:rFonts w:ascii="Times New Roman" w:eastAsia="Calibri" w:hAnsi="Times New Roman" w:cs="Times New Roman"/>
          <w:bCs/>
          <w:sz w:val="28"/>
          <w:szCs w:val="28"/>
          <w:lang w:val="uk-UA"/>
        </w:rPr>
        <w:t>БРДМ-2РХБ</w:t>
      </w:r>
    </w:p>
    <w:p w14:paraId="78FA52F4" w14:textId="77777777" w:rsidR="00B44B71" w:rsidRPr="00B44B71" w:rsidRDefault="00B44B71" w:rsidP="00023291">
      <w:pPr>
        <w:tabs>
          <w:tab w:val="left" w:pos="9638"/>
        </w:tabs>
        <w:spacing w:after="0" w:line="240" w:lineRule="auto"/>
        <w:ind w:firstLine="709"/>
        <w:jc w:val="center"/>
        <w:rPr>
          <w:rFonts w:ascii="Times New Roman" w:eastAsia="Calibri" w:hAnsi="Times New Roman" w:cs="Times New Roman"/>
          <w:sz w:val="28"/>
          <w:szCs w:val="28"/>
          <w:lang w:val="uk-UA"/>
        </w:rPr>
      </w:pPr>
    </w:p>
    <w:p w14:paraId="364D5393"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lastRenderedPageBreak/>
        <w:t>Використання QR-кодів (рис. 3) в освітньому процесі QR-коди (Quick Response codes) - це двомірні штрих-коди, які можна сканувати за допомогою смартфона або планшета. Вони можуть містити в собі різну інформацію, таку як текст, посилання, зображення, відео та аудіо.</w:t>
      </w:r>
      <w:r w:rsidRPr="00B44B71">
        <w:rPr>
          <w:rFonts w:ascii="Times New Roman" w:eastAsia="Calibri" w:hAnsi="Times New Roman" w:cs="Times New Roman"/>
          <w:sz w:val="28"/>
          <w:szCs w:val="28"/>
          <w:lang w:val="ru-RU"/>
        </w:rPr>
        <w:t xml:space="preserve"> </w:t>
      </w:r>
      <w:r w:rsidRPr="00B44B71">
        <w:rPr>
          <w:rFonts w:ascii="Times New Roman" w:eastAsia="Calibri" w:hAnsi="Times New Roman" w:cs="Times New Roman"/>
          <w:sz w:val="28"/>
          <w:szCs w:val="28"/>
          <w:lang w:val="uk-UA"/>
        </w:rPr>
        <w:t>QR-коди можуть бути цінним інструментом для викладачів та здобувачів, оскільки вони дозволяють використовуючи QR-коди, зробити свої заняття більш цікавими та захоплюючими для здобувачів.</w:t>
      </w:r>
    </w:p>
    <w:p w14:paraId="4F8C0ED6"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 xml:space="preserve">Наприклад, ви можете давати їм QR-коди, які ведуть до додаткових ресурсів, онлайн-ігор, інтерактивних вправ, 3 </w:t>
      </w:r>
      <w:r w:rsidRPr="00B44B71">
        <w:rPr>
          <w:rFonts w:ascii="Times New Roman" w:eastAsia="Calibri" w:hAnsi="Times New Roman" w:cs="Times New Roman"/>
          <w:sz w:val="28"/>
          <w:szCs w:val="28"/>
        </w:rPr>
        <w:t>D</w:t>
      </w:r>
      <w:r w:rsidRPr="00B44B71">
        <w:rPr>
          <w:rFonts w:ascii="Times New Roman" w:eastAsia="Calibri" w:hAnsi="Times New Roman" w:cs="Times New Roman"/>
          <w:sz w:val="28"/>
          <w:szCs w:val="28"/>
          <w:lang w:val="uk-UA"/>
        </w:rPr>
        <w:t xml:space="preserve"> турів, програмних продуктів тощо.</w:t>
      </w:r>
    </w:p>
    <w:p w14:paraId="4B21F8D0"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QR-коди можуть зробити навчання більш мотивуючим для здобувачів, оскільки вони дозволяють їм самостійно досліджувати теми, які їх цікавлять та заощадити час викладачам, оскільки їм не потрібно роздавати здобувачам паперові матеріали.</w:t>
      </w:r>
    </w:p>
    <w:p w14:paraId="715331EE"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Уся інформація може бути доступна здобувачам за допомогою QR-коду.</w:t>
      </w:r>
    </w:p>
    <w:p w14:paraId="1FAF66A8"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QR-коди можуть використовуватися для створення персоналізованих навчальних завдань та ресурсів для кожного здобувача та використовуватися для збору зворотного зв'язку від здобувачів щодо їхнього навчання.</w:t>
      </w:r>
    </w:p>
    <w:p w14:paraId="270203CA"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p>
    <w:p w14:paraId="13581E2C" w14:textId="77777777" w:rsidR="00B44B71" w:rsidRPr="00B44B71" w:rsidRDefault="00281F60" w:rsidP="00023291">
      <w:pPr>
        <w:tabs>
          <w:tab w:val="left" w:pos="9638"/>
        </w:tabs>
        <w:spacing w:after="0" w:line="240" w:lineRule="auto"/>
        <w:ind w:firstLine="709"/>
        <w:jc w:val="center"/>
        <w:rPr>
          <w:rFonts w:ascii="Calibri" w:eastAsia="Calibri" w:hAnsi="Calibri" w:cs="Times New Roman"/>
          <w:sz w:val="28"/>
          <w:szCs w:val="28"/>
          <w:lang w:val="uk-UA"/>
        </w:rPr>
      </w:pPr>
      <w:r w:rsidRPr="00B44B71">
        <w:rPr>
          <w:rFonts w:ascii="Calibri" w:eastAsia="Calibri" w:hAnsi="Calibri" w:cs="Times New Roman"/>
          <w:noProof/>
          <w:sz w:val="28"/>
          <w:szCs w:val="28"/>
          <w:lang w:val="uk-UA"/>
        </w:rPr>
        <w:object w:dxaOrig="5607" w:dyaOrig="6322" w14:anchorId="31BBE7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170.05pt;height:191.8pt;mso-width-percent:0;mso-height-percent:0;mso-width-percent:0;mso-height-percent:0" o:ole="">
            <v:imagedata r:id="rId162" o:title=""/>
          </v:shape>
          <o:OLEObject Type="Embed" ProgID="Visio.Drawing.11" ShapeID="_x0000_i1026" DrawAspect="Content" ObjectID="_1841483197" r:id="rId163"/>
        </w:object>
      </w:r>
      <w:r w:rsidRPr="00B44B71">
        <w:rPr>
          <w:rFonts w:ascii="Calibri" w:eastAsia="Calibri" w:hAnsi="Calibri" w:cs="Times New Roman"/>
          <w:noProof/>
          <w:sz w:val="28"/>
          <w:szCs w:val="28"/>
          <w:lang w:val="uk-UA"/>
        </w:rPr>
        <w:object w:dxaOrig="5043" w:dyaOrig="3833" w14:anchorId="3D8BD00F">
          <v:shape id="_x0000_i1025" type="#_x0000_t75" alt="" style="width:195.5pt;height:150.85pt;mso-width-percent:0;mso-height-percent:0;mso-width-percent:0;mso-height-percent:0" o:ole="">
            <v:imagedata r:id="rId164" o:title=""/>
          </v:shape>
          <o:OLEObject Type="Embed" ProgID="Visio.Drawing.11" ShapeID="_x0000_i1025" DrawAspect="Content" ObjectID="_1841483198" r:id="rId165"/>
        </w:object>
      </w:r>
    </w:p>
    <w:p w14:paraId="368A43E5" w14:textId="77777777" w:rsidR="00B44B71" w:rsidRPr="00B44B71" w:rsidRDefault="00B44B71" w:rsidP="00023291">
      <w:pPr>
        <w:tabs>
          <w:tab w:val="left" w:pos="9638"/>
        </w:tabs>
        <w:spacing w:after="0" w:line="240" w:lineRule="auto"/>
        <w:ind w:firstLine="709"/>
        <w:jc w:val="center"/>
        <w:rPr>
          <w:rFonts w:ascii="Calibri" w:eastAsia="Calibri" w:hAnsi="Calibri" w:cs="Times New Roman"/>
          <w:bCs/>
          <w:lang w:val="uk-UA"/>
        </w:rPr>
      </w:pPr>
    </w:p>
    <w:p w14:paraId="715B6DB9" w14:textId="77777777" w:rsidR="00B44B71" w:rsidRPr="00B44B71" w:rsidRDefault="00B44B71" w:rsidP="00023291">
      <w:pPr>
        <w:tabs>
          <w:tab w:val="left" w:pos="9638"/>
        </w:tabs>
        <w:spacing w:after="0" w:line="240" w:lineRule="auto"/>
        <w:ind w:firstLine="709"/>
        <w:jc w:val="center"/>
        <w:rPr>
          <w:rFonts w:ascii="Times New Roman" w:eastAsia="Calibri" w:hAnsi="Times New Roman" w:cs="Times New Roman"/>
          <w:bCs/>
          <w:sz w:val="28"/>
          <w:szCs w:val="28"/>
          <w:lang w:val="uk-UA"/>
        </w:rPr>
      </w:pPr>
      <w:r w:rsidRPr="00B44B71">
        <w:rPr>
          <w:rFonts w:ascii="Times New Roman" w:eastAsia="Calibri" w:hAnsi="Times New Roman" w:cs="Times New Roman"/>
          <w:bCs/>
          <w:sz w:val="28"/>
          <w:szCs w:val="28"/>
          <w:lang w:val="uk-UA"/>
        </w:rPr>
        <w:t>Рис. 3. Процес використання мобільних гаджетів на заняттях із здобувачами освіти для перегляду 3D турів</w:t>
      </w:r>
    </w:p>
    <w:p w14:paraId="5B8D41A0" w14:textId="77777777" w:rsidR="00B44B71" w:rsidRPr="00B44B71" w:rsidRDefault="00B44B71" w:rsidP="00023291">
      <w:pPr>
        <w:tabs>
          <w:tab w:val="left" w:pos="9638"/>
        </w:tabs>
        <w:spacing w:after="0" w:line="240" w:lineRule="auto"/>
        <w:ind w:firstLine="709"/>
        <w:jc w:val="center"/>
        <w:rPr>
          <w:rFonts w:ascii="Times New Roman" w:eastAsia="Calibri" w:hAnsi="Times New Roman" w:cs="Times New Roman"/>
          <w:sz w:val="28"/>
          <w:szCs w:val="28"/>
          <w:lang w:val="uk-UA"/>
        </w:rPr>
      </w:pPr>
    </w:p>
    <w:p w14:paraId="551B74DC"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Інтеграція персональних електронно-обчислювальних машин (ПЕОМ) у освітній процес є неможливою без належного мультимедійних технологій, 3D-турів та програмного забезпечення, що виступає ключовим елементом дидактичної системи. Ринок освітніх технологій пропонує широкий спектр педагогічних програмних засобів (ППЗ), які здатні ефективно підтримувати процес вивчення різноманітних дисциплін.</w:t>
      </w:r>
    </w:p>
    <w:p w14:paraId="195EFEAE"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 xml:space="preserve">Відомо, що чим більше органів чуття залучено до процесу навчання, тим ефективніше засвоюється інформація. Візуальне сприйняття є домінуючим, тому </w:t>
      </w:r>
      <w:r w:rsidRPr="00B44B71">
        <w:rPr>
          <w:rFonts w:ascii="Times New Roman" w:eastAsia="Calibri" w:hAnsi="Times New Roman" w:cs="Times New Roman"/>
          <w:sz w:val="28"/>
          <w:szCs w:val="28"/>
          <w:lang w:val="uk-UA"/>
        </w:rPr>
        <w:lastRenderedPageBreak/>
        <w:t>використання мультимедійних матеріалів значно підвищує ефективність навчання.</w:t>
      </w:r>
    </w:p>
    <w:p w14:paraId="6C5D1C1F"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Дослідження показало, що інтерактивні мультимедійні матеріали роблять процес навчання більш захоплюючим та цікавим, що підвищує мотивацію здобувачів освіти до навчання. Використання даних технологій, також вирішує питання інтерактивності, що залучає курсантів (слухачів) до більш активної участі в освітньому процесі [3, с.158-161].</w:t>
      </w:r>
    </w:p>
    <w:p w14:paraId="4B0CB2F8"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В інтерактивному навчанні викладач перестає бути єдиним джерелом знань і перетворюється на організатора освітньому процесу. Він виступає в ролі консультанта, який допомагає здобувачам освіти орієнтуватися в інформаційному просторі та знаходити необхідні знання. Викладач також виконує роль фасилітатора, який створює умови для активної взаємодії та співпраці між курсантами (слухачами) [6, с.12].</w:t>
      </w:r>
    </w:p>
    <w:p w14:paraId="413AA88A"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p>
    <w:p w14:paraId="026084D0" w14:textId="77777777" w:rsidR="00B44B71" w:rsidRPr="00B44B71" w:rsidRDefault="00B44B71" w:rsidP="00023291">
      <w:pPr>
        <w:tabs>
          <w:tab w:val="left" w:pos="9638"/>
        </w:tabs>
        <w:spacing w:after="0" w:line="240" w:lineRule="auto"/>
        <w:ind w:firstLine="709"/>
        <w:jc w:val="center"/>
        <w:rPr>
          <w:rFonts w:ascii="Times New Roman" w:eastAsia="Calibri" w:hAnsi="Times New Roman" w:cs="Times New Roman"/>
          <w:bCs/>
          <w:sz w:val="28"/>
          <w:szCs w:val="28"/>
          <w:lang w:val="uk-UA"/>
        </w:rPr>
      </w:pPr>
      <w:r w:rsidRPr="00B44B71">
        <w:rPr>
          <w:rFonts w:ascii="Times New Roman" w:eastAsia="Calibri" w:hAnsi="Times New Roman" w:cs="Times New Roman"/>
          <w:bCs/>
          <w:noProof/>
          <w:sz w:val="28"/>
          <w:szCs w:val="28"/>
          <w:lang w:val="uk-UA" w:eastAsia="uk-UA"/>
        </w:rPr>
        <w:drawing>
          <wp:inline distT="0" distB="0" distL="0" distR="0" wp14:anchorId="1DAF33BD" wp14:editId="65609E25">
            <wp:extent cx="1902592" cy="1426845"/>
            <wp:effectExtent l="0" t="0" r="2540" b="1905"/>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812789" name=""/>
                    <pic:cNvPicPr/>
                  </pic:nvPicPr>
                  <pic:blipFill>
                    <a:blip r:embed="rId166"/>
                    <a:stretch>
                      <a:fillRect/>
                    </a:stretch>
                  </pic:blipFill>
                  <pic:spPr>
                    <a:xfrm>
                      <a:off x="0" y="0"/>
                      <a:ext cx="1915319" cy="1436390"/>
                    </a:xfrm>
                    <a:prstGeom prst="rect">
                      <a:avLst/>
                    </a:prstGeom>
                  </pic:spPr>
                </pic:pic>
              </a:graphicData>
            </a:graphic>
          </wp:inline>
        </w:drawing>
      </w:r>
      <w:r w:rsidRPr="00B44B71">
        <w:rPr>
          <w:rFonts w:ascii="Times New Roman" w:eastAsia="Calibri" w:hAnsi="Times New Roman" w:cs="Times New Roman"/>
          <w:bCs/>
          <w:sz w:val="28"/>
          <w:szCs w:val="28"/>
          <w:lang w:val="uk-UA"/>
        </w:rPr>
        <w:t xml:space="preserve"> </w:t>
      </w:r>
      <w:r w:rsidRPr="00B44B71">
        <w:rPr>
          <w:rFonts w:ascii="Calibri" w:eastAsia="Calibri" w:hAnsi="Calibri" w:cs="Times New Roman"/>
          <w:bCs/>
          <w:noProof/>
          <w:sz w:val="28"/>
          <w:szCs w:val="28"/>
          <w:lang w:val="uk-UA" w:eastAsia="uk-UA"/>
        </w:rPr>
        <w:drawing>
          <wp:inline distT="0" distB="0" distL="0" distR="0" wp14:anchorId="469FCC08" wp14:editId="7B631988">
            <wp:extent cx="1892300" cy="1419323"/>
            <wp:effectExtent l="0" t="0" r="0" b="9525"/>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904801" cy="1428700"/>
                    </a:xfrm>
                    <a:prstGeom prst="rect">
                      <a:avLst/>
                    </a:prstGeom>
                    <a:noFill/>
                    <a:ln>
                      <a:noFill/>
                    </a:ln>
                  </pic:spPr>
                </pic:pic>
              </a:graphicData>
            </a:graphic>
          </wp:inline>
        </w:drawing>
      </w:r>
      <w:r w:rsidRPr="00B44B71">
        <w:rPr>
          <w:rFonts w:ascii="Times New Roman" w:eastAsia="Calibri" w:hAnsi="Times New Roman" w:cs="Times New Roman"/>
          <w:bCs/>
          <w:sz w:val="28"/>
          <w:szCs w:val="28"/>
          <w:lang w:val="uk-UA"/>
        </w:rPr>
        <w:t xml:space="preserve"> </w:t>
      </w:r>
      <w:r w:rsidRPr="00B44B71">
        <w:rPr>
          <w:rFonts w:ascii="Calibri" w:eastAsia="Calibri" w:hAnsi="Calibri" w:cs="Times New Roman"/>
          <w:bCs/>
          <w:noProof/>
          <w:sz w:val="28"/>
          <w:szCs w:val="28"/>
          <w:lang w:val="uk-UA" w:eastAsia="uk-UA"/>
        </w:rPr>
        <w:drawing>
          <wp:inline distT="0" distB="0" distL="0" distR="0" wp14:anchorId="23D77350" wp14:editId="1B6F961D">
            <wp:extent cx="1905000" cy="1428849"/>
            <wp:effectExtent l="0" t="0" r="0" b="0"/>
            <wp:docPr id="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919027" cy="1439370"/>
                    </a:xfrm>
                    <a:prstGeom prst="rect">
                      <a:avLst/>
                    </a:prstGeom>
                    <a:noFill/>
                    <a:ln>
                      <a:noFill/>
                    </a:ln>
                  </pic:spPr>
                </pic:pic>
              </a:graphicData>
            </a:graphic>
          </wp:inline>
        </w:drawing>
      </w:r>
    </w:p>
    <w:p w14:paraId="4BD3C866" w14:textId="77777777" w:rsidR="00B44B71" w:rsidRPr="00B44B71" w:rsidRDefault="00B44B71" w:rsidP="00023291">
      <w:pPr>
        <w:tabs>
          <w:tab w:val="left" w:pos="9638"/>
        </w:tabs>
        <w:spacing w:after="0" w:line="240" w:lineRule="auto"/>
        <w:ind w:firstLine="709"/>
        <w:jc w:val="center"/>
        <w:rPr>
          <w:rFonts w:ascii="Calibri" w:eastAsia="Calibri" w:hAnsi="Calibri" w:cs="Times New Roman"/>
          <w:bCs/>
          <w:sz w:val="28"/>
          <w:szCs w:val="28"/>
          <w:lang w:val="uk-UA"/>
        </w:rPr>
      </w:pPr>
    </w:p>
    <w:p w14:paraId="16BBCAAD" w14:textId="77777777" w:rsidR="00B44B71" w:rsidRPr="00B44B71" w:rsidRDefault="00B44B71" w:rsidP="00023291">
      <w:pPr>
        <w:tabs>
          <w:tab w:val="left" w:pos="9638"/>
        </w:tabs>
        <w:spacing w:after="0" w:line="240" w:lineRule="auto"/>
        <w:ind w:firstLine="709"/>
        <w:jc w:val="center"/>
        <w:rPr>
          <w:rFonts w:ascii="Times New Roman" w:eastAsia="Calibri" w:hAnsi="Times New Roman" w:cs="Times New Roman"/>
          <w:bCs/>
          <w:sz w:val="28"/>
          <w:szCs w:val="28"/>
          <w:lang w:val="uk-UA"/>
        </w:rPr>
      </w:pPr>
      <w:r w:rsidRPr="00B44B71">
        <w:rPr>
          <w:rFonts w:ascii="Times New Roman" w:eastAsia="Calibri" w:hAnsi="Times New Roman" w:cs="Times New Roman"/>
          <w:bCs/>
          <w:sz w:val="28"/>
          <w:szCs w:val="28"/>
          <w:lang w:val="uk-UA"/>
        </w:rPr>
        <w:t>Рис. 4. Використання різних інтерактивних методів під час проведення занять</w:t>
      </w:r>
    </w:p>
    <w:p w14:paraId="3D5AFC41" w14:textId="77777777" w:rsidR="00B44B71" w:rsidRPr="00B44B71" w:rsidRDefault="00B44B71" w:rsidP="00023291">
      <w:pPr>
        <w:tabs>
          <w:tab w:val="left" w:pos="9638"/>
        </w:tabs>
        <w:spacing w:after="0" w:line="240" w:lineRule="auto"/>
        <w:ind w:firstLine="709"/>
        <w:jc w:val="center"/>
        <w:rPr>
          <w:rFonts w:ascii="Times New Roman" w:eastAsia="Calibri" w:hAnsi="Times New Roman" w:cs="Times New Roman"/>
          <w:sz w:val="28"/>
          <w:szCs w:val="28"/>
          <w:lang w:val="uk-UA"/>
        </w:rPr>
      </w:pPr>
    </w:p>
    <w:p w14:paraId="668C264C"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 xml:space="preserve">Уявіть собі заняття, де здобувач освіти не просто сидить і слухає лекцію, а активно берете участь у навчанні. Інтерактивне навчання – це саме такий формат, де він отримуєте інформацію не лише зі слів викладача, але й через відео, зображення, презентації. Це допомагає краще запам'ятати матеріал, адже ви використовується різні органи чуття. Курсант (слухач) не боїться запитати, якщо щось не зрозуміло. Викладач та навчаємі готові допомогти розібратися в складних темах, вони беруть участь у ділових іграх, де розігрується реальні ситуації. Це допомагає застосувати теоретичні знання на практиці [7, с.13-20]. </w:t>
      </w:r>
    </w:p>
    <w:p w14:paraId="29A625E6"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 xml:space="preserve">Отже, актуальним є питання не просто використання мультимедійних технологій, 3D-турів та програмного забезпечення під час організації освітнього процесу, а дуже гостро стоїть питання, як за короткий проміжок часу скоротити </w:t>
      </w:r>
      <w:r w:rsidRPr="00B44B71">
        <w:rPr>
          <w:rFonts w:ascii="Times New Roman" w:eastAsia="Calibri" w:hAnsi="Times New Roman" w:cs="Times New Roman"/>
          <w:sz w:val="28"/>
          <w:szCs w:val="28"/>
          <w:lang w:val="uk-UA"/>
        </w:rPr>
        <w:lastRenderedPageBreak/>
        <w:t xml:space="preserve">відстань між надбанням викладачів сучасності та інформаційними технологіями, які розвиваються швидше, ніж педагогічна думка. </w:t>
      </w:r>
    </w:p>
    <w:p w14:paraId="6608BECC"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Ми спостерігаємо суспільство, яке перебуває в постійному русі, де стабільність – це лише тимчасова ілюзія. Інновації стали не просто бажаним явищем, а необхідністю, що пронизує всі аспекти нашого життя.</w:t>
      </w:r>
    </w:p>
    <w:p w14:paraId="788C7491"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Освіта, як фундамент суспільства, не може залишатися осторонь цих змін. Реформування освітньої системи – це не просто модне гасло, а життєва потреба. Адже саме освіта формує особистість, яка, в свою чергу, будує суспільство, націю, державу. Вона є ключовим фактором політичного, економічного, культурного та наукового розвитку.</w:t>
      </w:r>
    </w:p>
    <w:p w14:paraId="3F60E46C"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Ми повинні усвідомити, що освіта має працювати на випередження. Ми не можемо дозволити собі відставати від темпів розвитку суспільства. Нам потрібна освіта, яка готує людину до життя в умовах постійних змін, яка дає їй можливість навчатися протягом усього життя, самостверджуватися і реалізовувати свій потенціал.</w:t>
      </w:r>
    </w:p>
    <w:p w14:paraId="0327E5EB"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Це вимагає від нас, НПП, постійного пошуку нових підходів, методів і технологій. Ми повинні бути готові до експериментів, до ризику, до того, що не все буде виходити з першого разу. Але ми не маємо права зупинятися, адже від цього залежить майбутнє нашої країни.</w:t>
      </w:r>
    </w:p>
    <w:p w14:paraId="2CAC2451"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Інноваційна діяльність – це одна з найяскравіших характеристик сучасної освіти і значущий фактор оновлення її змісту, який є виявом дій освіти на запит суспільства.</w:t>
      </w:r>
    </w:p>
    <w:p w14:paraId="62F9F6E4"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Спостерігаючи за розвитком військової освіти вже не одне десятиліття, можна зауважити, що зараз ми переживаємо дійсно унікальний період. Суспільство навколо нас змінюється з неймовірною швидкістю, і освіта просто зобов'язана йти в ногу з цими змінами.</w:t>
      </w:r>
    </w:p>
    <w:p w14:paraId="2A8173E7"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Ми бачимо, як у всіх сферах життя з'являються інновації, нові технології, нові підходи. І якщо ми хочемо, щоб наші випускники були успішними в цьому новому світі, ми повинні дати їм відповідні знання та навички. Але тут виникає парадокс: ми, викладачі, часто стикаємося з тим, що наші традиційні методи навчання вже не відповідають сучасним потребам. Ми бачимо, як здобувачі освіти втрачають інтерес до навчання, як їм важко засвоювати великі обсяги інформації.</w:t>
      </w:r>
    </w:p>
    <w:p w14:paraId="43482E0C"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І ось тут на допомогу приходить науково-педагогічна інноватика. Це не просто модне слово, це необхідність. Це наш шанс знайти нові, ефективні способи навчання, які допоможуть нам підготувати наших вихованців до життя в 21 столітті.</w:t>
      </w:r>
    </w:p>
    <w:p w14:paraId="431B66FD"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Викладачі повинні розуміти, що інновації – це не тільки технології. Це, перш за все, нові ідеї, нові підходи, нові способи мислення. Вони повинні навчитися бачити можливості там, де інші бачать проблеми.</w:t>
      </w:r>
    </w:p>
    <w:p w14:paraId="0D4ACF94"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Тому, що кожен викладач повинен бути інноватором, який постійно шукає нові способи зробити наші заняття цікавішими, ефективнішими, кориснішими для наших курсантів (слухачів).</w:t>
      </w:r>
    </w:p>
    <w:p w14:paraId="0A0A282D"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lastRenderedPageBreak/>
        <w:t>Науково-педагогічні працівники (далі НПП) повинні навчитися використовувати сучасні технології, але не забувати про головне – про живе спілкування, про взаємодію, про емоційний зв'язок з нашими вихованцями. Вони повинні розуміти, що їхня роль – це не просто передати знання, а й допомогти курсантам (слухачам) розвинути критичне мислення, творчі здібності, вміння самостійно навчатися.</w:t>
      </w:r>
    </w:p>
    <w:p w14:paraId="42B3FDCB"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І якщо викладачі будуть відкриті до нового, якщо вони будуть готові до змін, тоді зможемо зробити нашу військову освіту дійсно сучасною, ефективною, такою, яка буде відповідати потребам нашого суспільства.</w:t>
      </w:r>
    </w:p>
    <w:p w14:paraId="0E1C3E79"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Але, нетреба забувати, що ми живемо в час, коли наша країна бореться за своє існування. І ця війна внесла свої корективи в нашу роботу. Ми побачили, наскільки важливою є готовність до змін, здатність швидко адаптуватися до нових умов.</w:t>
      </w:r>
    </w:p>
    <w:p w14:paraId="6C9566BF"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Ми зрозуміли, що освіта – це не тільки теорія, але й практика. Ми повинні надати нашим курсантам (слухачам) не тільки знанням, але й сформувати навички, необхідні для виживання в екстремальних умовах.</w:t>
      </w:r>
    </w:p>
    <w:p w14:paraId="3A938F78"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Ми побачили, наскільки важливою є патріотичне виховання, формування національної свідомості. Ми повинні виховати покоління, яке буде готове захищати свою країну, яке буде любити свою землю.</w:t>
      </w:r>
    </w:p>
    <w:p w14:paraId="49F3BF97"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Зрозуміло, що освіта – це не тільки навчання, але й підтримка. Ми повинні допомогти нашим курсантам (слухачам) подолати психологічні травми, пов'язані з війною, допомогти їм повернутися до нормального життя.</w:t>
      </w:r>
    </w:p>
    <w:p w14:paraId="2709EB42"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І будемо вірити, що ми зможемо подолати всі виклики, які стоять перед нами. Ми зможемо зробити нашу військову освіту ще кращою, ще ефективнішою, ще більш відповідною потребам нашого суспільства з урахуванням новизни, інноваціям та інтерактивності в освітньому середовищі.</w:t>
      </w:r>
    </w:p>
    <w:p w14:paraId="42930FEE"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Новизна в педагогічних дослідженнях – це складна і багатогранна категорія. Вона не є абсолютною, а радше відносною, залежною від контексту, досвіду та часу.</w:t>
      </w:r>
    </w:p>
    <w:p w14:paraId="1ED6E5D8"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Перш за все, необхідно чітко розрізняти інноваційну діяльність від окремих проявів новизни. Локальне винахідництво, експеримент або випадкове впровадження нового елементу не є повноцінним інноваційним процесом.</w:t>
      </w:r>
    </w:p>
    <w:p w14:paraId="353C54C7"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Інноваційний процес має складну будову, він полі структурний (багатогранний щодо своєї структури). З метою пошуку шляхів щодо поліпшення якості освіти необхідно визначити критерії формування інноваційних освітніх установ, способів їх перетворення на основі проектування і організації інноваційних процесів. Це складні науково-практичні завдання, які необхідно розв'язувати викладачу ВВНЗ, ВНП ЗВО.</w:t>
      </w:r>
    </w:p>
    <w:p w14:paraId="668D30CE"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В сучасних умовах основним механізмом інноваційної практики виступає процес її проектування, який є особливим видом творчої діяльності, тісно пов'язаним з науковим дослідженням, прогнозуванням, плануванням, моделюванням, програмуванням, соціальним управлінням.</w:t>
      </w:r>
    </w:p>
    <w:p w14:paraId="519638DC"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lastRenderedPageBreak/>
        <w:t>Таким чином інноваційний процес нерозривно пов'язаний з педагогічним проектуванням, оскільки проектування є технологією застосування наукових знань для зміни практики.</w:t>
      </w:r>
    </w:p>
    <w:p w14:paraId="0B102A97"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Якість проектування інноваційної освіти ВВНЗ, ВНП ЗВО завбачає володіння процедурою моделювання технологій такого виду науково-педагогічної діяльності, яка вимагає теоретичних, гіпотетично-дедуктивних методів і засобів, оскільки розв'язання проблем практичними засобами і емпіричними методами не має конструктивних результатів. Все це визначає важливі критерії якості науково-методологічного обґрунтування проектування інноваційного процесу. Моделювання будь якої конкретної практики, що вимагає свого розвитку, це складне теоретичне завдання, для розв'язання якого необхідно розглядати інноваційний процес як цілісне проектування.</w:t>
      </w:r>
    </w:p>
    <w:p w14:paraId="063E8E18"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Таким чином, якість інноваційного процесу визначається його конкретними, заданими властивостями, тобто в нього закладаються завбачувано переваги перед попередніми моделями педагогічної діяльності. Проект інноваційного процесу передбачає соціальне, концептуальне, організаційно-управлінське, технологічне, кадрове, просторове і часове нововведення. Однак для успішної реалізації проекту необхідна інноваційна діяльність НПП. Щоб бути конструктивним, такий вид діяльності дослідників, НПП – практиків має спиратись на теоретико-методологічні процедури, регулятори, орієнтації, які б сприяли розв'язанню не лише повсякденних педагогічних завдань, але і завдань, спрямованих на інноваційні перетворення, перехід військової освіти із режиму функціонування в режим самоорганізації і саморозвитку.</w:t>
      </w:r>
    </w:p>
    <w:p w14:paraId="28DDDAC7"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ru-RU"/>
        </w:rPr>
      </w:pPr>
      <w:r w:rsidRPr="00B44B71">
        <w:rPr>
          <w:rFonts w:ascii="Times New Roman" w:eastAsia="Calibri" w:hAnsi="Times New Roman" w:cs="Times New Roman"/>
          <w:sz w:val="28"/>
          <w:szCs w:val="28"/>
          <w:lang w:val="uk-UA"/>
        </w:rPr>
        <w:t>Протягом останніх чотирьох років у Військовому інституті танкових військ НТУ “ХПІ” (далі − інститут) реалізовано трансформацію освітнього середовища. Основний вектор змін спрямований на інтеграцію сучасних інформаційних систем, інтерактивних методів, методик навчання та впровадження бойового досвіду в підготовку майбутніх офіцерів.</w:t>
      </w:r>
    </w:p>
    <w:p w14:paraId="621ED6A3"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Фундаментом змін стала система безперервного професійного розвитку викладачів. На кафедрах запроваджено тренінги та майстер-класи, досвідчені педагоги навчають молодих НПП ефективному використанню цифрових інструментів та проєктних воркшопів з групової розробки планів занять, що базуються на інтерактивній взаємодії зі слухачами.</w:t>
      </w:r>
    </w:p>
    <w:p w14:paraId="541D1CF5"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ru-RU"/>
        </w:rPr>
      </w:pPr>
      <w:r w:rsidRPr="00B44B71">
        <w:rPr>
          <w:rFonts w:ascii="Times New Roman" w:eastAsia="Calibri" w:hAnsi="Times New Roman" w:cs="Times New Roman"/>
          <w:sz w:val="28"/>
          <w:szCs w:val="28"/>
          <w:lang w:val="uk-UA"/>
        </w:rPr>
        <w:t>Освітній процес в інституті максимально наблизився до реальних умов сучасного бою завдяки впровадженню:</w:t>
      </w:r>
    </w:p>
    <w:p w14:paraId="7BECB280"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моделювання оперативної обстановки з використанням актуальної системи ситуаційної обізнаності</w:t>
      </w:r>
      <w:r w:rsidRPr="00B44B71">
        <w:rPr>
          <w:rFonts w:ascii="Times New Roman" w:eastAsia="Calibri" w:hAnsi="Times New Roman" w:cs="Times New Roman"/>
          <w:sz w:val="28"/>
          <w:szCs w:val="28"/>
          <w:lang w:val="ru-RU"/>
        </w:rPr>
        <w:t xml:space="preserve"> </w:t>
      </w:r>
      <w:r w:rsidRPr="00B44B71">
        <w:rPr>
          <w:rFonts w:ascii="Times New Roman" w:eastAsia="Calibri" w:hAnsi="Times New Roman" w:cs="Times New Roman"/>
          <w:sz w:val="28"/>
          <w:szCs w:val="28"/>
          <w:lang w:val="uk-UA"/>
        </w:rPr>
        <w:t>ДЕЛЬТА, що дозволяє курсантам (слухачам) працювати в єдиному інформаційному просторі;</w:t>
      </w:r>
    </w:p>
    <w:p w14:paraId="4288CDFD"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активне використання військових ігор для відпрацювання варіантів дій (COA) на рівні секцій (S) та офіцерів за напрямками;</w:t>
      </w:r>
    </w:p>
    <w:p w14:paraId="1553358F"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сценарії занять базуються на ситуаційних завданнях, розроблених викладачами під час стажувань у бойових частинах.</w:t>
      </w:r>
    </w:p>
    <w:p w14:paraId="343A6FD7"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lastRenderedPageBreak/>
        <w:t>Викладачі інституту застосовують широкий спектр методів сase-study (H5P), рольові, військово-спеціальні ігри, симуляції, які стимулюють розвиток критичного мислення та командну роботу.</w:t>
      </w:r>
    </w:p>
    <w:p w14:paraId="40E14A1F"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Для підвищення наочності та залученості на заняттях використовуються 3D-тури зразків озброєння військ РХБ захисту, QR-коди, семінари проводяться з використанням різних інтерактивних методів Експертне обговорення, Дискусія, Дебати, Дискусія Акваріумом, “</w:t>
      </w:r>
      <w:r w:rsidRPr="00B44B71">
        <w:rPr>
          <w:rFonts w:ascii="Times New Roman" w:eastAsia="Calibri" w:hAnsi="Times New Roman" w:cs="Times New Roman"/>
          <w:sz w:val="28"/>
          <w:szCs w:val="28"/>
        </w:rPr>
        <w:t>Jigsaw</w:t>
      </w:r>
      <w:r w:rsidRPr="00B44B71">
        <w:rPr>
          <w:rFonts w:ascii="Times New Roman" w:eastAsia="Calibri" w:hAnsi="Times New Roman" w:cs="Times New Roman"/>
          <w:sz w:val="28"/>
          <w:szCs w:val="28"/>
          <w:lang w:val="uk-UA"/>
        </w:rPr>
        <w:t>”, “Пазл” та захист ЕСЕ методом конференції.</w:t>
      </w:r>
    </w:p>
    <w:p w14:paraId="1DE557E3"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b/>
          <w:sz w:val="28"/>
          <w:szCs w:val="28"/>
          <w:lang w:val="uk-UA"/>
        </w:rPr>
        <w:t xml:space="preserve">Висновки. </w:t>
      </w:r>
      <w:r w:rsidRPr="00B44B71">
        <w:rPr>
          <w:rFonts w:ascii="Times New Roman" w:eastAsia="Calibri" w:hAnsi="Times New Roman" w:cs="Times New Roman"/>
          <w:sz w:val="28"/>
          <w:szCs w:val="28"/>
          <w:lang w:val="uk-UA"/>
        </w:rPr>
        <w:t>Проведене дослідження підтвердило значну роль інтерактивних технологій як каталізатора змін у сучасних освітніх парадигмах. Аналіз наукової літератури та емпіричні дані свідчать про позитивний вплив інтерактивних інструментів на підвищення залученості здобувачів освіти, розвиток їхніх ключових компетентностей та сприяння переходу до більш студентоцентрованих моделей навчання.</w:t>
      </w:r>
    </w:p>
    <w:p w14:paraId="02696407"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Отримані результати дозволяють стверджувати, що ефективне використання інтерактивних технологій є важливим фактором оптимізації освітнього процесу та підготовки військових фахівців. Теоретична значущість дослідження полягає у поглибленні розуміння механізмів впливу інтерактивних технологій на трансформацію освітніх парадигм. Практична цінність полягає у можливості використання отриманих висновків для розробки методичних рекомендацій щодо впровадження інтерактивних технологій у навчальних закладах різних рівнів.</w:t>
      </w:r>
    </w:p>
    <w:p w14:paraId="202F1BBD"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Водночас, дослідження має певні обмеження, пов'язані з розміром вибірки та специфікою досліджуваних інтерактивних технологій. Перспективи подальших досліджень вбачаються у вивченні довгострокового впливу різних інтерактивних інструментів, дослідженні можливостей інтеграції штучного інтелекту та розв'язанні проблеми цифрової нерівності в освіті.</w:t>
      </w:r>
    </w:p>
    <w:p w14:paraId="4A47E82B"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sz w:val="28"/>
          <w:szCs w:val="28"/>
          <w:lang w:val="uk-UA"/>
        </w:rPr>
      </w:pPr>
      <w:r w:rsidRPr="00B44B71">
        <w:rPr>
          <w:rFonts w:ascii="Times New Roman" w:eastAsia="Calibri" w:hAnsi="Times New Roman" w:cs="Times New Roman"/>
          <w:sz w:val="28"/>
          <w:szCs w:val="28"/>
          <w:lang w:val="uk-UA"/>
        </w:rPr>
        <w:t>Отже, інтерактивні технології є потужним інструментом для якісних змін в освіті, проте їхнє ефективне використання вимагає подальших наукових досліджень та осмисленого впровадження в освітню практику.</w:t>
      </w:r>
    </w:p>
    <w:p w14:paraId="43A2A78A" w14:textId="77777777" w:rsidR="00B44B71" w:rsidRPr="00B44B71" w:rsidRDefault="00B44B71" w:rsidP="00023291">
      <w:pPr>
        <w:tabs>
          <w:tab w:val="left" w:pos="9638"/>
        </w:tabs>
        <w:spacing w:after="0" w:line="240" w:lineRule="auto"/>
        <w:ind w:firstLine="709"/>
        <w:jc w:val="center"/>
        <w:rPr>
          <w:rFonts w:ascii="Times New Roman" w:eastAsia="Calibri" w:hAnsi="Times New Roman" w:cs="Times New Roman"/>
          <w:sz w:val="24"/>
          <w:szCs w:val="24"/>
          <w:lang w:val="uk-UA"/>
        </w:rPr>
      </w:pPr>
    </w:p>
    <w:p w14:paraId="520244E1" w14:textId="77777777" w:rsidR="00B44B71" w:rsidRPr="00B44B71" w:rsidRDefault="00B44B71" w:rsidP="00B6038D">
      <w:pPr>
        <w:tabs>
          <w:tab w:val="left" w:pos="9638"/>
        </w:tabs>
        <w:spacing w:after="0" w:line="240" w:lineRule="auto"/>
        <w:jc w:val="center"/>
        <w:rPr>
          <w:rFonts w:ascii="Times New Roman" w:eastAsia="Calibri" w:hAnsi="Times New Roman" w:cs="Times New Roman"/>
          <w:b/>
          <w:sz w:val="24"/>
          <w:szCs w:val="24"/>
          <w:lang w:val="uk-UA"/>
        </w:rPr>
      </w:pPr>
      <w:r w:rsidRPr="00B44B71">
        <w:rPr>
          <w:rFonts w:ascii="Times New Roman" w:eastAsia="Calibri" w:hAnsi="Times New Roman" w:cs="Times New Roman"/>
          <w:b/>
          <w:sz w:val="24"/>
          <w:szCs w:val="24"/>
          <w:lang w:val="uk-UA"/>
        </w:rPr>
        <w:t>ЛІТЕРАТУРА</w:t>
      </w:r>
    </w:p>
    <w:p w14:paraId="3C194D38" w14:textId="77777777" w:rsidR="00B44B71" w:rsidRPr="00B44B71" w:rsidRDefault="00B44B71" w:rsidP="006025B7">
      <w:pPr>
        <w:numPr>
          <w:ilvl w:val="0"/>
          <w:numId w:val="8"/>
        </w:numPr>
        <w:tabs>
          <w:tab w:val="left" w:pos="1134"/>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Bi-Strategic Command Directive 075-007 Education and Individual Training Directive, 10 September 2015. URL: Bi-SC_75-7_NEW.pdf (coemed.org).</w:t>
      </w:r>
    </w:p>
    <w:p w14:paraId="31B4433F" w14:textId="77777777" w:rsidR="00B44B71" w:rsidRPr="00B44B71" w:rsidRDefault="00B44B71" w:rsidP="006025B7">
      <w:pPr>
        <w:numPr>
          <w:ilvl w:val="0"/>
          <w:numId w:val="8"/>
        </w:numPr>
        <w:tabs>
          <w:tab w:val="left" w:pos="1134"/>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lang w:val="ru-RU"/>
          <w14:ligatures w14:val="none"/>
        </w:rPr>
        <w:t>Концепція</w:t>
      </w:r>
      <w:r w:rsidRPr="00B44B71">
        <w:rPr>
          <w:rFonts w:ascii="Times New Roman" w:eastAsia="Calibri" w:hAnsi="Times New Roman" w:cs="Times New Roman"/>
          <w:kern w:val="0"/>
          <w:sz w:val="24"/>
          <w:szCs w:val="24"/>
          <w14:ligatures w14:val="none"/>
        </w:rPr>
        <w:t xml:space="preserve"> </w:t>
      </w:r>
      <w:r w:rsidRPr="00B44B71">
        <w:rPr>
          <w:rFonts w:ascii="Times New Roman" w:eastAsia="Calibri" w:hAnsi="Times New Roman" w:cs="Times New Roman"/>
          <w:kern w:val="0"/>
          <w:sz w:val="24"/>
          <w:szCs w:val="24"/>
          <w:lang w:val="ru-RU"/>
          <w14:ligatures w14:val="none"/>
        </w:rPr>
        <w:t>трансформації</w:t>
      </w:r>
      <w:r w:rsidRPr="00B44B71">
        <w:rPr>
          <w:rFonts w:ascii="Times New Roman" w:eastAsia="Calibri" w:hAnsi="Times New Roman" w:cs="Times New Roman"/>
          <w:kern w:val="0"/>
          <w:sz w:val="24"/>
          <w:szCs w:val="24"/>
          <w14:ligatures w14:val="none"/>
        </w:rPr>
        <w:t xml:space="preserve"> </w:t>
      </w:r>
      <w:r w:rsidRPr="00B44B71">
        <w:rPr>
          <w:rFonts w:ascii="Times New Roman" w:eastAsia="Calibri" w:hAnsi="Times New Roman" w:cs="Times New Roman"/>
          <w:kern w:val="0"/>
          <w:sz w:val="24"/>
          <w:szCs w:val="24"/>
          <w:lang w:val="ru-RU"/>
          <w14:ligatures w14:val="none"/>
        </w:rPr>
        <w:t>системи</w:t>
      </w:r>
      <w:r w:rsidRPr="00B44B71">
        <w:rPr>
          <w:rFonts w:ascii="Times New Roman" w:eastAsia="Calibri" w:hAnsi="Times New Roman" w:cs="Times New Roman"/>
          <w:kern w:val="0"/>
          <w:sz w:val="24"/>
          <w:szCs w:val="24"/>
          <w14:ligatures w14:val="none"/>
        </w:rPr>
        <w:t xml:space="preserve"> </w:t>
      </w:r>
      <w:r w:rsidRPr="00B44B71">
        <w:rPr>
          <w:rFonts w:ascii="Times New Roman" w:eastAsia="Calibri" w:hAnsi="Times New Roman" w:cs="Times New Roman"/>
          <w:kern w:val="0"/>
          <w:sz w:val="24"/>
          <w:szCs w:val="24"/>
          <w:lang w:val="ru-RU"/>
          <w14:ligatures w14:val="none"/>
        </w:rPr>
        <w:t>військової</w:t>
      </w:r>
      <w:r w:rsidRPr="00B44B71">
        <w:rPr>
          <w:rFonts w:ascii="Times New Roman" w:eastAsia="Calibri" w:hAnsi="Times New Roman" w:cs="Times New Roman"/>
          <w:kern w:val="0"/>
          <w:sz w:val="24"/>
          <w:szCs w:val="24"/>
          <w14:ligatures w14:val="none"/>
        </w:rPr>
        <w:t xml:space="preserve"> </w:t>
      </w:r>
      <w:r w:rsidRPr="00B44B71">
        <w:rPr>
          <w:rFonts w:ascii="Times New Roman" w:eastAsia="Calibri" w:hAnsi="Times New Roman" w:cs="Times New Roman"/>
          <w:kern w:val="0"/>
          <w:sz w:val="24"/>
          <w:szCs w:val="24"/>
          <w:lang w:val="ru-RU"/>
          <w14:ligatures w14:val="none"/>
        </w:rPr>
        <w:t>освіти</w:t>
      </w:r>
      <w:r w:rsidRPr="00B44B71">
        <w:rPr>
          <w:rFonts w:ascii="Times New Roman" w:eastAsia="Calibri" w:hAnsi="Times New Roman" w:cs="Times New Roman"/>
          <w:kern w:val="0"/>
          <w:sz w:val="24"/>
          <w:szCs w:val="24"/>
          <w:lang w:val="uk-UA"/>
          <w14:ligatures w14:val="none"/>
        </w:rPr>
        <w:t>:</w:t>
      </w:r>
      <w:r w:rsidRPr="00B44B71">
        <w:rPr>
          <w:rFonts w:ascii="Times New Roman" w:eastAsia="Calibri" w:hAnsi="Times New Roman" w:cs="Times New Roman"/>
          <w:kern w:val="0"/>
          <w:sz w:val="24"/>
          <w:szCs w:val="24"/>
          <w14:ligatures w14:val="none"/>
        </w:rPr>
        <w:t xml:space="preserve"> </w:t>
      </w:r>
      <w:r w:rsidRPr="00B44B71">
        <w:rPr>
          <w:rFonts w:ascii="Times New Roman" w:eastAsia="Calibri" w:hAnsi="Times New Roman" w:cs="Times New Roman"/>
          <w:kern w:val="0"/>
          <w:sz w:val="24"/>
          <w:szCs w:val="24"/>
          <w:lang w:val="ru-RU"/>
          <w14:ligatures w14:val="none"/>
        </w:rPr>
        <w:t>Постанова</w:t>
      </w:r>
      <w:r w:rsidRPr="00B44B71">
        <w:rPr>
          <w:rFonts w:ascii="Times New Roman" w:eastAsia="Calibri" w:hAnsi="Times New Roman" w:cs="Times New Roman"/>
          <w:kern w:val="0"/>
          <w:sz w:val="24"/>
          <w:szCs w:val="24"/>
          <w14:ligatures w14:val="none"/>
        </w:rPr>
        <w:t xml:space="preserve"> </w:t>
      </w:r>
      <w:r w:rsidRPr="00B44B71">
        <w:rPr>
          <w:rFonts w:ascii="Times New Roman" w:eastAsia="Calibri" w:hAnsi="Times New Roman" w:cs="Times New Roman"/>
          <w:kern w:val="0"/>
          <w:sz w:val="24"/>
          <w:szCs w:val="24"/>
          <w:lang w:val="ru-RU"/>
          <w14:ligatures w14:val="none"/>
        </w:rPr>
        <w:t>К</w:t>
      </w:r>
      <w:r w:rsidRPr="00B44B71">
        <w:rPr>
          <w:rFonts w:ascii="Times New Roman" w:eastAsia="Calibri" w:hAnsi="Times New Roman" w:cs="Times New Roman"/>
          <w:kern w:val="0"/>
          <w:sz w:val="24"/>
          <w:szCs w:val="24"/>
          <w:lang w:val="uk-UA"/>
          <w14:ligatures w14:val="none"/>
        </w:rPr>
        <w:t xml:space="preserve">абінету </w:t>
      </w:r>
      <w:r w:rsidRPr="00B44B71">
        <w:rPr>
          <w:rFonts w:ascii="Times New Roman" w:eastAsia="Calibri" w:hAnsi="Times New Roman" w:cs="Times New Roman"/>
          <w:kern w:val="0"/>
          <w:sz w:val="24"/>
          <w:szCs w:val="24"/>
          <w:lang w:val="ru-RU"/>
          <w14:ligatures w14:val="none"/>
        </w:rPr>
        <w:t>М</w:t>
      </w:r>
      <w:r w:rsidRPr="00B44B71">
        <w:rPr>
          <w:rFonts w:ascii="Times New Roman" w:eastAsia="Calibri" w:hAnsi="Times New Roman" w:cs="Times New Roman"/>
          <w:kern w:val="0"/>
          <w:sz w:val="24"/>
          <w:szCs w:val="24"/>
          <w:lang w:val="uk-UA"/>
          <w14:ligatures w14:val="none"/>
        </w:rPr>
        <w:t xml:space="preserve">іністрів </w:t>
      </w:r>
      <w:r w:rsidRPr="00B44B71">
        <w:rPr>
          <w:rFonts w:ascii="Times New Roman" w:eastAsia="Calibri" w:hAnsi="Times New Roman" w:cs="Times New Roman"/>
          <w:kern w:val="0"/>
          <w:sz w:val="24"/>
          <w:szCs w:val="24"/>
          <w:lang w:val="ru-RU"/>
          <w14:ligatures w14:val="none"/>
        </w:rPr>
        <w:t>У</w:t>
      </w:r>
      <w:r w:rsidRPr="00B44B71">
        <w:rPr>
          <w:rFonts w:ascii="Times New Roman" w:eastAsia="Calibri" w:hAnsi="Times New Roman" w:cs="Times New Roman"/>
          <w:kern w:val="0"/>
          <w:sz w:val="24"/>
          <w:szCs w:val="24"/>
          <w:lang w:val="uk-UA"/>
          <w14:ligatures w14:val="none"/>
        </w:rPr>
        <w:t>країни</w:t>
      </w:r>
      <w:r w:rsidRPr="00B44B71">
        <w:rPr>
          <w:rFonts w:ascii="Times New Roman" w:eastAsia="Calibri" w:hAnsi="Times New Roman" w:cs="Times New Roman"/>
          <w:kern w:val="0"/>
          <w:sz w:val="24"/>
          <w:szCs w:val="24"/>
          <w14:ligatures w14:val="none"/>
        </w:rPr>
        <w:t xml:space="preserve"> </w:t>
      </w:r>
      <w:r w:rsidRPr="00B44B71">
        <w:rPr>
          <w:rFonts w:ascii="Times New Roman" w:eastAsia="Calibri" w:hAnsi="Times New Roman" w:cs="Times New Roman"/>
          <w:kern w:val="0"/>
          <w:sz w:val="24"/>
          <w:szCs w:val="24"/>
          <w:lang w:val="ru-RU"/>
          <w14:ligatures w14:val="none"/>
        </w:rPr>
        <w:t>від</w:t>
      </w:r>
      <w:r w:rsidRPr="00B44B71">
        <w:rPr>
          <w:rFonts w:ascii="Times New Roman" w:eastAsia="Calibri" w:hAnsi="Times New Roman" w:cs="Times New Roman"/>
          <w:kern w:val="0"/>
          <w:sz w:val="24"/>
          <w:szCs w:val="24"/>
          <w14:ligatures w14:val="none"/>
        </w:rPr>
        <w:t xml:space="preserve"> 30.12.2022 </w:t>
      </w:r>
      <w:r w:rsidRPr="00B44B71">
        <w:rPr>
          <w:rFonts w:ascii="Times New Roman" w:eastAsia="Calibri" w:hAnsi="Times New Roman" w:cs="Times New Roman"/>
          <w:kern w:val="0"/>
          <w:sz w:val="24"/>
          <w:szCs w:val="24"/>
          <w:lang w:val="ru-RU"/>
          <w14:ligatures w14:val="none"/>
        </w:rPr>
        <w:t>р</w:t>
      </w:r>
      <w:r w:rsidRPr="00B44B71">
        <w:rPr>
          <w:rFonts w:ascii="Times New Roman" w:eastAsia="Calibri" w:hAnsi="Times New Roman" w:cs="Times New Roman"/>
          <w:kern w:val="0"/>
          <w:sz w:val="24"/>
          <w:szCs w:val="24"/>
          <w14:ligatures w14:val="none"/>
        </w:rPr>
        <w:t xml:space="preserve">. № 1490. </w:t>
      </w:r>
    </w:p>
    <w:p w14:paraId="6B84A2EC" w14:textId="77777777" w:rsidR="00B44B71" w:rsidRPr="00B44B71" w:rsidRDefault="00B44B71" w:rsidP="006025B7">
      <w:pPr>
        <w:numPr>
          <w:ilvl w:val="0"/>
          <w:numId w:val="8"/>
        </w:numPr>
        <w:tabs>
          <w:tab w:val="left" w:pos="1134"/>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lang w:val="uk-UA"/>
          <w14:ligatures w14:val="none"/>
        </w:rPr>
        <w:t xml:space="preserve">Галак О.В., Стаховський О.В. Застосування мультимедійних технологій для блоку тактико-спеціальних дисциплін у підготовці фахівців військ радіаційного хімічного біологічного захисту </w:t>
      </w:r>
      <w:r w:rsidRPr="00B44B71">
        <w:rPr>
          <w:rFonts w:ascii="Times New Roman" w:eastAsia="Calibri" w:hAnsi="Times New Roman" w:cs="Times New Roman"/>
          <w:kern w:val="0"/>
          <w:sz w:val="24"/>
          <w:szCs w:val="24"/>
          <w14:ligatures w14:val="none"/>
        </w:rPr>
        <w:t>//</w:t>
      </w:r>
      <w:r w:rsidRPr="00B44B71">
        <w:rPr>
          <w:rFonts w:ascii="Times New Roman" w:eastAsia="Calibri" w:hAnsi="Times New Roman" w:cs="Times New Roman"/>
          <w:kern w:val="0"/>
          <w:sz w:val="24"/>
          <w:szCs w:val="24"/>
          <w:lang w:val="uk-UA"/>
          <w14:ligatures w14:val="none"/>
        </w:rPr>
        <w:t xml:space="preserve"> ХНУПС: Системи обробки інформації. 2015. 3 (128). С. 158-161.</w:t>
      </w:r>
    </w:p>
    <w:p w14:paraId="5A6B2C2C" w14:textId="77777777" w:rsidR="00B44B71" w:rsidRPr="00B44B71" w:rsidRDefault="00B44B71" w:rsidP="006025B7">
      <w:pPr>
        <w:numPr>
          <w:ilvl w:val="0"/>
          <w:numId w:val="8"/>
        </w:numPr>
        <w:tabs>
          <w:tab w:val="left" w:pos="1134"/>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Halak О.V., Horokhivskyi A.S., Pisarev S.A. The use of interactive teaching methods in the educational process //</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ХXХІІ Міжнародної науково-практичної конференціЇ MicroCAD</w:t>
      </w:r>
      <w:r w:rsidRPr="00B44B71">
        <w:rPr>
          <w:rFonts w:ascii="Times New Roman" w:eastAsia="Calibri" w:hAnsi="Times New Roman" w:cs="Times New Roman"/>
          <w:kern w:val="0"/>
          <w:sz w:val="24"/>
          <w:szCs w:val="24"/>
          <w:lang w:val="uk-UA"/>
          <w14:ligatures w14:val="none"/>
        </w:rPr>
        <w:t xml:space="preserve"> НТУ </w:t>
      </w:r>
      <w:r w:rsidRPr="00B44B71">
        <w:rPr>
          <w:rFonts w:ascii="Times New Roman" w:eastAsia="Calibri" w:hAnsi="Times New Roman" w:cs="Times New Roman"/>
          <w:kern w:val="0"/>
          <w:sz w:val="24"/>
          <w:szCs w:val="24"/>
          <w14:ligatures w14:val="none"/>
        </w:rPr>
        <w:t>“</w:t>
      </w:r>
      <w:r w:rsidRPr="00B44B71">
        <w:rPr>
          <w:rFonts w:ascii="Times New Roman" w:eastAsia="Calibri" w:hAnsi="Times New Roman" w:cs="Times New Roman"/>
          <w:kern w:val="0"/>
          <w:sz w:val="24"/>
          <w:szCs w:val="24"/>
          <w:lang w:val="uk-UA"/>
          <w14:ligatures w14:val="none"/>
        </w:rPr>
        <w:t>ХПІ</w:t>
      </w:r>
      <w:r w:rsidRPr="00B44B71">
        <w:rPr>
          <w:rFonts w:ascii="Times New Roman" w:eastAsia="Calibri" w:hAnsi="Times New Roman" w:cs="Times New Roman"/>
          <w:kern w:val="0"/>
          <w:sz w:val="24"/>
          <w:szCs w:val="24"/>
          <w14:ligatures w14:val="none"/>
        </w:rPr>
        <w:t>”. 2024. С. 1657.</w:t>
      </w:r>
    </w:p>
    <w:p w14:paraId="5C8A7850" w14:textId="77777777" w:rsidR="00B44B71" w:rsidRPr="00B44B71" w:rsidRDefault="00B44B71" w:rsidP="006025B7">
      <w:pPr>
        <w:numPr>
          <w:ilvl w:val="0"/>
          <w:numId w:val="8"/>
        </w:numPr>
        <w:tabs>
          <w:tab w:val="left" w:pos="1134"/>
          <w:tab w:val="left" w:pos="9638"/>
        </w:tabs>
        <w:spacing w:after="0" w:line="240" w:lineRule="auto"/>
        <w:ind w:left="0"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Halak О.V., Horokhivskyi A.S.</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 xml:space="preserve">Tolkachov O.V. Enhancing teaching methods through the development and implementation of a software product for task resolution and identification of </w:t>
      </w:r>
      <w:r w:rsidRPr="00B44B71">
        <w:rPr>
          <w:rFonts w:ascii="Times New Roman" w:eastAsia="Calibri" w:hAnsi="Times New Roman" w:cs="Times New Roman"/>
          <w:kern w:val="0"/>
          <w:sz w:val="24"/>
          <w:szCs w:val="24"/>
          <w14:ligatures w14:val="none"/>
        </w:rPr>
        <w:lastRenderedPageBreak/>
        <w:t>forces and means of special processing on the android operating system</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ХXХІІ Міжнародної науково-практичної конференціЇ MicroCAD</w:t>
      </w:r>
      <w:r w:rsidRPr="00B44B71">
        <w:rPr>
          <w:rFonts w:ascii="Times New Roman" w:eastAsia="Calibri" w:hAnsi="Times New Roman" w:cs="Times New Roman"/>
          <w:kern w:val="0"/>
          <w:sz w:val="24"/>
          <w:szCs w:val="24"/>
          <w:lang w:val="uk-UA"/>
          <w14:ligatures w14:val="none"/>
        </w:rPr>
        <w:t xml:space="preserve"> НТУ </w:t>
      </w:r>
      <w:r w:rsidRPr="00B44B71">
        <w:rPr>
          <w:rFonts w:ascii="Times New Roman" w:eastAsia="Calibri" w:hAnsi="Times New Roman" w:cs="Times New Roman"/>
          <w:kern w:val="0"/>
          <w:sz w:val="24"/>
          <w:szCs w:val="24"/>
          <w14:ligatures w14:val="none"/>
        </w:rPr>
        <w:t>“</w:t>
      </w:r>
      <w:r w:rsidRPr="00B44B71">
        <w:rPr>
          <w:rFonts w:ascii="Times New Roman" w:eastAsia="Calibri" w:hAnsi="Times New Roman" w:cs="Times New Roman"/>
          <w:kern w:val="0"/>
          <w:sz w:val="24"/>
          <w:szCs w:val="24"/>
          <w:lang w:val="uk-UA"/>
          <w14:ligatures w14:val="none"/>
        </w:rPr>
        <w:t>ХПІ</w:t>
      </w:r>
      <w:r w:rsidRPr="00B44B71">
        <w:rPr>
          <w:rFonts w:ascii="Times New Roman" w:eastAsia="Calibri" w:hAnsi="Times New Roman" w:cs="Times New Roman"/>
          <w:kern w:val="0"/>
          <w:sz w:val="24"/>
          <w:szCs w:val="24"/>
          <w14:ligatures w14:val="none"/>
        </w:rPr>
        <w:t>”. 2024. С.</w:t>
      </w:r>
      <w:r w:rsidRPr="00B44B71">
        <w:rPr>
          <w:rFonts w:ascii="Times New Roman" w:eastAsia="Calibri" w:hAnsi="Times New Roman" w:cs="Times New Roman"/>
          <w:kern w:val="0"/>
          <w:sz w:val="24"/>
          <w:szCs w:val="24"/>
          <w:lang w:val="uk-UA"/>
          <w14:ligatures w14:val="none"/>
        </w:rPr>
        <w:t xml:space="preserve"> 1654.</w:t>
      </w:r>
    </w:p>
    <w:p w14:paraId="47367738" w14:textId="77777777" w:rsidR="00B44B71" w:rsidRPr="00B44B71" w:rsidRDefault="00B44B71" w:rsidP="006025B7">
      <w:pPr>
        <w:numPr>
          <w:ilvl w:val="0"/>
          <w:numId w:val="8"/>
        </w:numPr>
        <w:tabs>
          <w:tab w:val="left" w:pos="1134"/>
          <w:tab w:val="left" w:pos="9638"/>
        </w:tabs>
        <w:spacing w:after="0" w:line="240" w:lineRule="auto"/>
        <w:ind w:left="0" w:firstLine="709"/>
        <w:contextualSpacing/>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Олена Пометун Енциклопедія інтерактивного навчання // Навчально-методичний посібник. К. 2007. – 42 с.</w:t>
      </w:r>
    </w:p>
    <w:p w14:paraId="0F88773D" w14:textId="77777777" w:rsidR="00B44B71" w:rsidRPr="00B44B71" w:rsidRDefault="00B44B71" w:rsidP="006025B7">
      <w:pPr>
        <w:numPr>
          <w:ilvl w:val="0"/>
          <w:numId w:val="8"/>
        </w:numPr>
        <w:tabs>
          <w:tab w:val="left" w:pos="1134"/>
          <w:tab w:val="left" w:pos="9638"/>
        </w:tabs>
        <w:spacing w:after="0" w:line="240" w:lineRule="auto"/>
        <w:ind w:left="0" w:firstLine="709"/>
        <w:contextualSpacing/>
        <w:jc w:val="both"/>
        <w:rPr>
          <w:rFonts w:ascii="Times New Roman" w:eastAsia="Calibri" w:hAnsi="Times New Roman" w:cs="Times New Roman"/>
          <w:kern w:val="0"/>
          <w:sz w:val="24"/>
          <w:szCs w:val="24"/>
          <w:lang w:val="ru-RU"/>
          <w14:ligatures w14:val="none"/>
        </w:rPr>
      </w:pPr>
      <w:r w:rsidRPr="00B44B71">
        <w:rPr>
          <w:rFonts w:ascii="Times New Roman" w:eastAsia="Calibri" w:hAnsi="Times New Roman" w:cs="Times New Roman"/>
          <w:kern w:val="0"/>
          <w:sz w:val="24"/>
          <w:szCs w:val="24"/>
          <w:lang w:val="ru-RU"/>
          <w14:ligatures w14:val="none"/>
        </w:rPr>
        <w:t>Кротюк В.А., Щокіна Н.Б., Яндола К.О. Педагогічні технології та методи навчання у схемах і таблицях // Навчально-методичний посібник. Х.: ХНУПС. 2019. – 98 с.</w:t>
      </w:r>
    </w:p>
    <w:p w14:paraId="0153151D" w14:textId="77777777" w:rsidR="00B44B71" w:rsidRPr="00B44B71" w:rsidRDefault="00B44B71" w:rsidP="00023291">
      <w:pPr>
        <w:tabs>
          <w:tab w:val="left" w:pos="9638"/>
        </w:tabs>
        <w:spacing w:after="0" w:line="240" w:lineRule="auto"/>
        <w:ind w:firstLine="709"/>
        <w:contextualSpacing/>
        <w:jc w:val="both"/>
        <w:rPr>
          <w:rFonts w:ascii="Times New Roman" w:eastAsia="Calibri" w:hAnsi="Times New Roman" w:cs="Times New Roman"/>
          <w:kern w:val="0"/>
          <w:sz w:val="24"/>
          <w:szCs w:val="24"/>
          <w:lang w:val="ru-RU"/>
          <w14:ligatures w14:val="none"/>
        </w:rPr>
      </w:pPr>
    </w:p>
    <w:p w14:paraId="6B5DA49E" w14:textId="77777777" w:rsidR="00B44B71" w:rsidRPr="00B44B71" w:rsidRDefault="00B44B71" w:rsidP="00B6038D">
      <w:pPr>
        <w:tabs>
          <w:tab w:val="left" w:pos="9638"/>
        </w:tabs>
        <w:spacing w:after="0" w:line="240" w:lineRule="auto"/>
        <w:contextualSpacing/>
        <w:jc w:val="center"/>
        <w:rPr>
          <w:rFonts w:ascii="Times New Roman" w:eastAsia="Calibri" w:hAnsi="Times New Roman" w:cs="Times New Roman"/>
          <w:b/>
          <w:kern w:val="0"/>
          <w:sz w:val="24"/>
          <w:szCs w:val="24"/>
          <w14:ligatures w14:val="none"/>
        </w:rPr>
      </w:pPr>
      <w:r w:rsidRPr="00B44B71">
        <w:rPr>
          <w:rFonts w:ascii="Times New Roman" w:eastAsia="Calibri" w:hAnsi="Times New Roman" w:cs="Times New Roman"/>
          <w:b/>
          <w:kern w:val="0"/>
          <w:sz w:val="24"/>
          <w:szCs w:val="24"/>
          <w14:ligatures w14:val="none"/>
        </w:rPr>
        <w:t>REFERENCES</w:t>
      </w:r>
    </w:p>
    <w:p w14:paraId="02812C40" w14:textId="77777777" w:rsidR="00B44B71" w:rsidRPr="00B44B71" w:rsidRDefault="00B44B71" w:rsidP="00023291">
      <w:pPr>
        <w:tabs>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1. Bi-Strategic Command Directive 075-007 Education and Individual Training Directive, 10 September 2015. URL: Bi-SC_75-7_NEW.pdf (coemed.org)</w:t>
      </w:r>
    </w:p>
    <w:p w14:paraId="308B5304" w14:textId="77777777" w:rsidR="00B44B71" w:rsidRPr="00B44B71" w:rsidRDefault="00B44B71" w:rsidP="00023291">
      <w:pPr>
        <w:tabs>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lang w:val="uk-UA"/>
          <w14:ligatures w14:val="none"/>
        </w:rPr>
        <w:t xml:space="preserve">2. </w:t>
      </w:r>
      <w:r w:rsidRPr="00B44B71">
        <w:rPr>
          <w:rFonts w:ascii="Times New Roman" w:eastAsia="Calibri" w:hAnsi="Times New Roman" w:cs="Times New Roman"/>
          <w:kern w:val="0"/>
          <w:sz w:val="24"/>
          <w:szCs w:val="24"/>
          <w14:ligatures w14:val="none"/>
        </w:rPr>
        <w:t>Kontseptsiia transformatsii systemy viiskovoi osvity. Postanova KMU vid 30.12.2022 r. №</w:t>
      </w:r>
      <w:r w:rsidRPr="00B44B71">
        <w:rPr>
          <w:rFonts w:ascii="Times New Roman" w:eastAsia="Calibri" w:hAnsi="Times New Roman" w:cs="Times New Roman"/>
          <w:kern w:val="0"/>
          <w:sz w:val="24"/>
          <w:szCs w:val="24"/>
          <w:lang w:val="uk-UA"/>
          <w14:ligatures w14:val="none"/>
        </w:rPr>
        <w:t> </w:t>
      </w:r>
      <w:r w:rsidRPr="00B44B71">
        <w:rPr>
          <w:rFonts w:ascii="Times New Roman" w:eastAsia="Calibri" w:hAnsi="Times New Roman" w:cs="Times New Roman"/>
          <w:kern w:val="0"/>
          <w:sz w:val="24"/>
          <w:szCs w:val="24"/>
          <w14:ligatures w14:val="none"/>
        </w:rPr>
        <w:t>1490. [Concept of the transformation of the military education system. Resolution of the Cabinet of Ministers of Ukraine dated December 30, 2022, No. 1490.]</w:t>
      </w:r>
    </w:p>
    <w:p w14:paraId="6BFC8A08" w14:textId="77777777" w:rsidR="00B44B71" w:rsidRPr="00B44B71" w:rsidRDefault="00B44B71" w:rsidP="00023291">
      <w:pPr>
        <w:tabs>
          <w:tab w:val="left" w:pos="9638"/>
        </w:tabs>
        <w:spacing w:after="0" w:line="240"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3. </w:t>
      </w:r>
      <w:r w:rsidRPr="00B44B71">
        <w:rPr>
          <w:rFonts w:ascii="Times New Roman" w:eastAsia="Calibri" w:hAnsi="Times New Roman" w:cs="Times New Roman"/>
          <w:kern w:val="0"/>
          <w:sz w:val="24"/>
          <w:szCs w:val="24"/>
          <w14:ligatures w14:val="none"/>
        </w:rPr>
        <w:t>Halak, O. V., &amp; Stakhovskyi, O. V. (2015). Zastosuvannia multimediinykh tekhnolohii dlia bloku taktyko-spetsialnykh dystsyplin u pidhotovtsi fakhivtsiv viisk radiatsiinoho khimichnoho biolohichnoho zakhystu [Application of multimedia technologies for the block of tactical and special disciplines in the training of specialists of radiation, chemical, biological protection troops]. KhNUPS: Systemy obrobky informatsii [KhNUPS: Information Processing Systems]</w:t>
      </w:r>
      <w:r w:rsidRPr="00B44B71">
        <w:rPr>
          <w:rFonts w:ascii="Times New Roman" w:eastAsia="Calibri" w:hAnsi="Times New Roman" w:cs="Times New Roman"/>
          <w:kern w:val="0"/>
          <w:sz w:val="24"/>
          <w:szCs w:val="24"/>
          <w:lang w:val="uk-UA"/>
          <w14:ligatures w14:val="none"/>
        </w:rPr>
        <w:t>. 2015.</w:t>
      </w:r>
      <w:r w:rsidRPr="00B44B71">
        <w:rPr>
          <w:rFonts w:ascii="Times New Roman" w:eastAsia="Calibri" w:hAnsi="Times New Roman" w:cs="Times New Roman"/>
          <w:kern w:val="0"/>
          <w:sz w:val="24"/>
          <w:szCs w:val="24"/>
          <w14:ligatures w14:val="none"/>
        </w:rPr>
        <w:t xml:space="preserve"> 3(128), 158-161.</w:t>
      </w:r>
    </w:p>
    <w:p w14:paraId="524853FC" w14:textId="77777777" w:rsidR="00B44B71" w:rsidRPr="00B44B71" w:rsidRDefault="00B44B71" w:rsidP="00023291">
      <w:pPr>
        <w:tabs>
          <w:tab w:val="left" w:pos="9638"/>
        </w:tabs>
        <w:spacing w:after="0" w:line="240"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4. </w:t>
      </w:r>
      <w:r w:rsidRPr="00B44B71">
        <w:rPr>
          <w:rFonts w:ascii="Times New Roman" w:eastAsia="Calibri" w:hAnsi="Times New Roman" w:cs="Times New Roman"/>
          <w:kern w:val="0"/>
          <w:sz w:val="24"/>
          <w:szCs w:val="24"/>
          <w14:ligatures w14:val="none"/>
        </w:rPr>
        <w:t>Halak O.V., Horokhivskyi A.S., Pisarev S.A. The use of interactive teaching methods in the educational process // HXHII Mizhnarodnoyi naukovo-praktichnoyi konferenciYi MicroCAD NTU “HPI”. 2024. S. 1657.</w:t>
      </w:r>
    </w:p>
    <w:p w14:paraId="3BCAC6C9" w14:textId="77777777" w:rsidR="00B44B71" w:rsidRPr="00B44B71" w:rsidRDefault="00B44B71" w:rsidP="00023291">
      <w:pPr>
        <w:tabs>
          <w:tab w:val="left" w:pos="9638"/>
        </w:tabs>
        <w:spacing w:after="0" w:line="240"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5. Halak O.V., Horokhivskyi A.S., Tolkachov O.V. Enhancing teaching methods through the development and implementation of a software product for task resolution and identification of forces and means of special processing on the android operating system // HXHII Mizhnarodnoyi naukovo-praktichnoyi konferenciYi MicroCAD NTU “HPI”. 2024. S. 1654.</w:t>
      </w:r>
    </w:p>
    <w:p w14:paraId="6D38D77F" w14:textId="77777777" w:rsidR="00B44B71" w:rsidRPr="00B44B71" w:rsidRDefault="00B44B71" w:rsidP="00023291">
      <w:pPr>
        <w:tabs>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lang w:val="uk-UA"/>
          <w14:ligatures w14:val="none"/>
        </w:rPr>
        <w:t xml:space="preserve">6. </w:t>
      </w:r>
      <w:r w:rsidRPr="00B44B71">
        <w:rPr>
          <w:rFonts w:ascii="Times New Roman" w:eastAsia="Calibri" w:hAnsi="Times New Roman" w:cs="Times New Roman"/>
          <w:kern w:val="0"/>
          <w:sz w:val="24"/>
          <w:szCs w:val="24"/>
          <w14:ligatures w14:val="none"/>
        </w:rPr>
        <w:t>Pometun, O. (2007). Entsyklopediia interaktyvnoho navchannia [Encyclopedia of interactive learning] (Navchalno-metodychnyi posibnyk) [Educational and methodical manual]. K.</w:t>
      </w:r>
    </w:p>
    <w:p w14:paraId="38B0121B" w14:textId="77777777" w:rsidR="00B44B71" w:rsidRDefault="00B44B71" w:rsidP="00023291">
      <w:pPr>
        <w:tabs>
          <w:tab w:val="left" w:pos="9638"/>
        </w:tabs>
        <w:spacing w:after="0" w:line="240"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7. </w:t>
      </w:r>
      <w:r w:rsidRPr="00B44B71">
        <w:rPr>
          <w:rFonts w:ascii="Times New Roman" w:eastAsia="Calibri" w:hAnsi="Times New Roman" w:cs="Times New Roman"/>
          <w:kern w:val="0"/>
          <w:sz w:val="24"/>
          <w:szCs w:val="24"/>
          <w14:ligatures w14:val="none"/>
        </w:rPr>
        <w:t>Krotiuk, V. A., Shchokina, N. B., &amp; Yandola, K. O. (2019). Pedahohichni tekhnolohii ta</w:t>
      </w:r>
      <w:r w:rsidRPr="00B44B71">
        <w:rPr>
          <w:rFonts w:ascii="Times New Roman" w:eastAsia="Calibri" w:hAnsi="Times New Roman" w:cs="Times New Roman"/>
          <w:kern w:val="0"/>
          <w:sz w:val="24"/>
          <w:szCs w:val="24"/>
          <w:lang w:val="uk-UA"/>
          <w14:ligatures w14:val="none"/>
        </w:rPr>
        <w:t> </w:t>
      </w:r>
      <w:r w:rsidRPr="00B44B71">
        <w:rPr>
          <w:rFonts w:ascii="Times New Roman" w:eastAsia="Calibri" w:hAnsi="Times New Roman" w:cs="Times New Roman"/>
          <w:kern w:val="0"/>
          <w:sz w:val="24"/>
          <w:szCs w:val="24"/>
          <w14:ligatures w14:val="none"/>
        </w:rPr>
        <w:t>metody navchannia u skhemakh i tablytsiakh [Pedagogical technologies and teaching methods in</w:t>
      </w:r>
      <w:r w:rsidRPr="00B44B71">
        <w:rPr>
          <w:rFonts w:ascii="Times New Roman" w:eastAsia="Calibri" w:hAnsi="Times New Roman" w:cs="Times New Roman"/>
          <w:kern w:val="0"/>
          <w:sz w:val="24"/>
          <w:szCs w:val="24"/>
          <w:lang w:val="uk-UA"/>
          <w14:ligatures w14:val="none"/>
        </w:rPr>
        <w:t> </w:t>
      </w:r>
      <w:r w:rsidRPr="00B44B71">
        <w:rPr>
          <w:rFonts w:ascii="Times New Roman" w:eastAsia="Calibri" w:hAnsi="Times New Roman" w:cs="Times New Roman"/>
          <w:kern w:val="0"/>
          <w:sz w:val="24"/>
          <w:szCs w:val="24"/>
          <w14:ligatures w14:val="none"/>
        </w:rPr>
        <w:t>diagrams and tables] (Navchalno-metodychnyi posibnyk) [Educational and methodical manual]. Kh.: KhNUPS.</w:t>
      </w:r>
    </w:p>
    <w:p w14:paraId="49434B6F" w14:textId="0EA35535" w:rsidR="00B44B71" w:rsidRPr="006025B7" w:rsidRDefault="00B44B71" w:rsidP="006025B7">
      <w:pPr>
        <w:pStyle w:val="BodyText"/>
        <w:jc w:val="center"/>
        <w:rPr>
          <w:rFonts w:ascii="Times New Roman" w:eastAsia="Calibri" w:hAnsi="Times New Roman"/>
          <w:b/>
          <w:bCs/>
          <w:sz w:val="24"/>
          <w:szCs w:val="24"/>
        </w:rPr>
      </w:pPr>
      <w:r w:rsidRPr="006025B7">
        <w:rPr>
          <w:rFonts w:ascii="Times New Roman" w:eastAsia="Calibri" w:hAnsi="Times New Roman"/>
          <w:b/>
          <w:bCs/>
          <w:sz w:val="24"/>
          <w:szCs w:val="24"/>
        </w:rPr>
        <w:t>SUMMARY</w:t>
      </w:r>
    </w:p>
    <w:p w14:paraId="35B1CB20" w14:textId="77777777" w:rsidR="00B44B71" w:rsidRPr="00B44B71" w:rsidRDefault="00B44B71" w:rsidP="00023291">
      <w:pPr>
        <w:tabs>
          <w:tab w:val="left" w:pos="9638"/>
        </w:tabs>
        <w:spacing w:after="0" w:line="240" w:lineRule="auto"/>
        <w:ind w:left="567" w:firstLine="709"/>
        <w:contextualSpacing/>
        <w:jc w:val="right"/>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14:ligatures w14:val="none"/>
        </w:rPr>
        <w:t>Oleksandr Halak</w:t>
      </w:r>
      <w:r w:rsidRPr="00B44B71">
        <w:rPr>
          <w:rFonts w:ascii="Times New Roman" w:eastAsia="Calibri" w:hAnsi="Times New Roman" w:cs="Times New Roman"/>
          <w:kern w:val="0"/>
          <w:sz w:val="24"/>
          <w:szCs w:val="24"/>
          <w:lang w:val="uk-UA"/>
          <w14:ligatures w14:val="none"/>
        </w:rPr>
        <w:t>,</w:t>
      </w:r>
    </w:p>
    <w:p w14:paraId="00CA5063" w14:textId="77777777" w:rsidR="00B44B71" w:rsidRPr="00B44B71" w:rsidRDefault="00B44B71" w:rsidP="00023291">
      <w:pPr>
        <w:tabs>
          <w:tab w:val="left" w:pos="9638"/>
        </w:tabs>
        <w:spacing w:after="0" w:line="240" w:lineRule="auto"/>
        <w:ind w:left="567" w:firstLine="709"/>
        <w:contextualSpacing/>
        <w:jc w:val="right"/>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 xml:space="preserve">Candidate of Technical Sciences, Associate professor </w:t>
      </w:r>
    </w:p>
    <w:p w14:paraId="6C7A9D8F" w14:textId="77777777" w:rsidR="00B44B71" w:rsidRPr="00B44B71" w:rsidRDefault="00B44B71" w:rsidP="00023291">
      <w:pPr>
        <w:tabs>
          <w:tab w:val="left" w:pos="9638"/>
        </w:tabs>
        <w:spacing w:after="0" w:line="240" w:lineRule="auto"/>
        <w:ind w:left="567" w:firstLine="709"/>
        <w:contextualSpacing/>
        <w:jc w:val="right"/>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Military Institute of Armored Forces NTU “KhPI’, Kharkiv</w:t>
      </w:r>
    </w:p>
    <w:p w14:paraId="36FB6E9D" w14:textId="4F421892" w:rsidR="00B44B71" w:rsidRPr="008604C3" w:rsidRDefault="00D50089" w:rsidP="00023291">
      <w:pPr>
        <w:tabs>
          <w:tab w:val="left" w:pos="9638"/>
        </w:tabs>
        <w:spacing w:after="0" w:line="240" w:lineRule="auto"/>
        <w:ind w:left="567" w:firstLine="709"/>
        <w:contextualSpacing/>
        <w:jc w:val="right"/>
        <w:rPr>
          <w:rFonts w:ascii="Times New Roman" w:eastAsia="Calibri" w:hAnsi="Times New Roman" w:cs="Times New Roman"/>
          <w:kern w:val="0"/>
          <w:sz w:val="24"/>
          <w:szCs w:val="24"/>
          <w:lang w:val="uk-UA"/>
          <w14:ligatures w14:val="none"/>
        </w:rPr>
      </w:pPr>
      <w:r>
        <w:rPr>
          <w:rFonts w:ascii="Times New Roman" w:eastAsia="Calibri" w:hAnsi="Times New Roman" w:cs="Times New Roman"/>
          <w:kern w:val="0"/>
          <w:sz w:val="24"/>
          <w:szCs w:val="24"/>
          <w14:ligatures w14:val="none"/>
        </w:rPr>
        <w:t>Andrii</w:t>
      </w:r>
      <w:r w:rsidR="00B44B71" w:rsidRPr="00B44B71">
        <w:rPr>
          <w:rFonts w:ascii="Times New Roman" w:eastAsia="Calibri" w:hAnsi="Times New Roman" w:cs="Times New Roman"/>
          <w:kern w:val="0"/>
          <w:sz w:val="24"/>
          <w:szCs w:val="24"/>
          <w14:ligatures w14:val="none"/>
        </w:rPr>
        <w:t xml:space="preserve"> Chulinda</w:t>
      </w:r>
      <w:r w:rsidR="008604C3">
        <w:rPr>
          <w:rFonts w:ascii="Times New Roman" w:eastAsia="Calibri" w:hAnsi="Times New Roman" w:cs="Times New Roman"/>
          <w:kern w:val="0"/>
          <w:sz w:val="24"/>
          <w:szCs w:val="24"/>
          <w:lang w:val="uk-UA"/>
          <w14:ligatures w14:val="none"/>
        </w:rPr>
        <w:t>,</w:t>
      </w:r>
    </w:p>
    <w:p w14:paraId="66CF3F32" w14:textId="77777777" w:rsidR="00B44B71" w:rsidRPr="00B44B71" w:rsidRDefault="00B44B71" w:rsidP="00023291">
      <w:pPr>
        <w:tabs>
          <w:tab w:val="left" w:pos="9638"/>
        </w:tabs>
        <w:spacing w:after="0" w:line="240" w:lineRule="auto"/>
        <w:ind w:left="567" w:firstLine="709"/>
        <w:contextualSpacing/>
        <w:jc w:val="right"/>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Military Institute of Armored Forces NTU “KhPI’, Kharkiv</w:t>
      </w:r>
    </w:p>
    <w:p w14:paraId="37B849EA" w14:textId="35B572A7" w:rsidR="00B44B71" w:rsidRPr="008604C3" w:rsidRDefault="00B44B71" w:rsidP="00023291">
      <w:pPr>
        <w:tabs>
          <w:tab w:val="left" w:pos="9638"/>
        </w:tabs>
        <w:spacing w:after="0" w:line="240" w:lineRule="auto"/>
        <w:ind w:firstLine="709"/>
        <w:contextualSpacing/>
        <w:jc w:val="right"/>
        <w:rPr>
          <w:rFonts w:ascii="Times New Roman" w:eastAsia="Calibri" w:hAnsi="Times New Roman" w:cs="Times New Roman"/>
          <w:bCs/>
          <w:color w:val="000000"/>
          <w:kern w:val="0"/>
          <w:sz w:val="24"/>
          <w:szCs w:val="24"/>
          <w:lang w:val="uk-UA"/>
          <w14:ligatures w14:val="none"/>
        </w:rPr>
      </w:pPr>
      <w:r w:rsidRPr="00B44B71">
        <w:rPr>
          <w:rFonts w:ascii="Times New Roman" w:eastAsia="Calibri" w:hAnsi="Times New Roman" w:cs="Times New Roman"/>
          <w:bCs/>
          <w:color w:val="000000"/>
          <w:kern w:val="0"/>
          <w:sz w:val="24"/>
          <w:szCs w:val="24"/>
          <w14:ligatures w14:val="none"/>
        </w:rPr>
        <w:t>Serhii Kasian</w:t>
      </w:r>
      <w:r w:rsidR="008604C3">
        <w:rPr>
          <w:rFonts w:ascii="Times New Roman" w:eastAsia="Calibri" w:hAnsi="Times New Roman" w:cs="Times New Roman"/>
          <w:bCs/>
          <w:color w:val="000000"/>
          <w:kern w:val="0"/>
          <w:sz w:val="24"/>
          <w:szCs w:val="24"/>
          <w:lang w:val="uk-UA"/>
          <w14:ligatures w14:val="none"/>
        </w:rPr>
        <w:t>,</w:t>
      </w:r>
    </w:p>
    <w:p w14:paraId="33F86D4D" w14:textId="77777777" w:rsidR="00B44B71" w:rsidRPr="00B44B71" w:rsidRDefault="00B44B71" w:rsidP="00023291">
      <w:pPr>
        <w:tabs>
          <w:tab w:val="left" w:pos="9638"/>
        </w:tabs>
        <w:spacing w:after="0" w:line="240" w:lineRule="auto"/>
        <w:ind w:left="567" w:firstLine="709"/>
        <w:contextualSpacing/>
        <w:jc w:val="right"/>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14:ligatures w14:val="none"/>
        </w:rPr>
        <w:t>Military Institute of Armored Forces NTU “KhPI’, Kharkiv</w:t>
      </w:r>
    </w:p>
    <w:p w14:paraId="5C85EDE6" w14:textId="77777777" w:rsidR="00B44B71" w:rsidRPr="00B44B71" w:rsidRDefault="00B44B71" w:rsidP="00023291">
      <w:pPr>
        <w:tabs>
          <w:tab w:val="left" w:pos="9638"/>
        </w:tabs>
        <w:spacing w:after="0" w:line="240" w:lineRule="auto"/>
        <w:ind w:left="567" w:firstLine="709"/>
        <w:contextualSpacing/>
        <w:jc w:val="right"/>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14:ligatures w14:val="none"/>
        </w:rPr>
        <w:t>Anatolii Nikitin</w:t>
      </w:r>
      <w:r w:rsidRPr="00B44B71">
        <w:rPr>
          <w:rFonts w:ascii="Times New Roman" w:eastAsia="Calibri" w:hAnsi="Times New Roman" w:cs="Times New Roman"/>
          <w:kern w:val="0"/>
          <w:sz w:val="24"/>
          <w:szCs w:val="24"/>
          <w:lang w:val="uk-UA"/>
          <w14:ligatures w14:val="none"/>
        </w:rPr>
        <w:t>,</w:t>
      </w:r>
    </w:p>
    <w:p w14:paraId="190482F9" w14:textId="1BD8C68D" w:rsidR="00B44B71" w:rsidRPr="00B44B71" w:rsidRDefault="00B44B71" w:rsidP="00023291">
      <w:pPr>
        <w:tabs>
          <w:tab w:val="left" w:pos="9638"/>
        </w:tabs>
        <w:spacing w:after="0" w:line="240" w:lineRule="auto"/>
        <w:ind w:left="567" w:firstLine="709"/>
        <w:contextualSpacing/>
        <w:jc w:val="right"/>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lang w:val="uk-UA"/>
          <w14:ligatures w14:val="none"/>
        </w:rPr>
        <w:t xml:space="preserve">National </w:t>
      </w:r>
      <w:r w:rsidR="00D50089" w:rsidRPr="00B44B71">
        <w:rPr>
          <w:rFonts w:ascii="Times New Roman" w:eastAsia="Calibri" w:hAnsi="Times New Roman" w:cs="Times New Roman"/>
          <w:kern w:val="0"/>
          <w:sz w:val="24"/>
          <w:szCs w:val="24"/>
          <w:lang w:val="uk-UA"/>
          <w14:ligatures w14:val="none"/>
        </w:rPr>
        <w:t>D</w:t>
      </w:r>
      <w:r w:rsidRPr="00B44B71">
        <w:rPr>
          <w:rFonts w:ascii="Times New Roman" w:eastAsia="Calibri" w:hAnsi="Times New Roman" w:cs="Times New Roman"/>
          <w:kern w:val="0"/>
          <w:sz w:val="24"/>
          <w:szCs w:val="24"/>
          <w:lang w:val="uk-UA"/>
          <w14:ligatures w14:val="none"/>
        </w:rPr>
        <w:t xml:space="preserve">efense </w:t>
      </w:r>
      <w:r w:rsidR="00D50089" w:rsidRPr="00B44B71">
        <w:rPr>
          <w:rFonts w:ascii="Times New Roman" w:eastAsia="Calibri" w:hAnsi="Times New Roman" w:cs="Times New Roman"/>
          <w:kern w:val="0"/>
          <w:sz w:val="24"/>
          <w:szCs w:val="24"/>
          <w:lang w:val="uk-UA"/>
          <w14:ligatures w14:val="none"/>
        </w:rPr>
        <w:t>U</w:t>
      </w:r>
      <w:r w:rsidRPr="00B44B71">
        <w:rPr>
          <w:rFonts w:ascii="Times New Roman" w:eastAsia="Calibri" w:hAnsi="Times New Roman" w:cs="Times New Roman"/>
          <w:kern w:val="0"/>
          <w:sz w:val="24"/>
          <w:szCs w:val="24"/>
          <w:lang w:val="uk-UA"/>
          <w14:ligatures w14:val="none"/>
        </w:rPr>
        <w:t>niversity of Ukraine, Kyiv</w:t>
      </w:r>
    </w:p>
    <w:p w14:paraId="5D214BF1" w14:textId="77777777" w:rsidR="00B44B71" w:rsidRPr="00B44B71" w:rsidRDefault="00B44B71" w:rsidP="00023291">
      <w:pPr>
        <w:tabs>
          <w:tab w:val="left" w:pos="9638"/>
        </w:tabs>
        <w:spacing w:after="0" w:line="240" w:lineRule="auto"/>
        <w:ind w:left="567" w:firstLine="709"/>
        <w:contextualSpacing/>
        <w:jc w:val="right"/>
        <w:rPr>
          <w:rFonts w:ascii="Times New Roman" w:eastAsia="Calibri" w:hAnsi="Times New Roman" w:cs="Times New Roman"/>
          <w:kern w:val="0"/>
          <w:sz w:val="24"/>
          <w:szCs w:val="24"/>
          <w14:ligatures w14:val="none"/>
        </w:rPr>
      </w:pPr>
    </w:p>
    <w:p w14:paraId="616B534F" w14:textId="77777777" w:rsidR="00B44B71" w:rsidRPr="00B44B71" w:rsidRDefault="00B44B71" w:rsidP="00023291">
      <w:pPr>
        <w:tabs>
          <w:tab w:val="left" w:pos="9638"/>
        </w:tabs>
        <w:spacing w:after="0" w:line="240" w:lineRule="auto"/>
        <w:ind w:firstLine="709"/>
        <w:contextualSpacing/>
        <w:jc w:val="center"/>
        <w:rPr>
          <w:rFonts w:ascii="Times New Roman" w:eastAsia="Calibri" w:hAnsi="Times New Roman" w:cs="Times New Roman"/>
          <w:b/>
          <w:kern w:val="0"/>
          <w:sz w:val="24"/>
          <w:szCs w:val="24"/>
          <w14:ligatures w14:val="none"/>
        </w:rPr>
      </w:pPr>
      <w:r w:rsidRPr="00B44B71">
        <w:rPr>
          <w:rFonts w:ascii="Times New Roman" w:eastAsia="Calibri" w:hAnsi="Times New Roman" w:cs="Times New Roman"/>
          <w:b/>
          <w:kern w:val="0"/>
          <w:sz w:val="24"/>
          <w:szCs w:val="24"/>
          <w14:ligatures w14:val="none"/>
        </w:rPr>
        <w:t>Interactive technologies as a catalyst for shifts in educational paradigms</w:t>
      </w:r>
    </w:p>
    <w:p w14:paraId="6D67FA14" w14:textId="77777777" w:rsidR="00B44B71" w:rsidRPr="00B44B71" w:rsidRDefault="00B44B71" w:rsidP="00023291">
      <w:pPr>
        <w:tabs>
          <w:tab w:val="left" w:pos="9638"/>
        </w:tabs>
        <w:spacing w:after="0" w:line="240" w:lineRule="auto"/>
        <w:ind w:firstLine="709"/>
        <w:contextualSpacing/>
        <w:jc w:val="center"/>
        <w:rPr>
          <w:rFonts w:ascii="Times New Roman" w:eastAsia="Calibri" w:hAnsi="Times New Roman" w:cs="Times New Roman"/>
          <w:b/>
          <w:kern w:val="0"/>
          <w:sz w:val="24"/>
          <w:szCs w:val="24"/>
          <w14:ligatures w14:val="none"/>
        </w:rPr>
      </w:pPr>
    </w:p>
    <w:p w14:paraId="48F1BF2F" w14:textId="77777777" w:rsidR="00B44B71" w:rsidRPr="00B44B71" w:rsidRDefault="00B44B71" w:rsidP="00023291">
      <w:pPr>
        <w:tabs>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b/>
          <w:kern w:val="0"/>
          <w:sz w:val="24"/>
          <w:szCs w:val="24"/>
          <w14:ligatures w14:val="none"/>
        </w:rPr>
        <w:t>Introduction.</w:t>
      </w:r>
      <w:r w:rsidRPr="00B44B71">
        <w:rPr>
          <w:rFonts w:ascii="Times New Roman" w:eastAsia="Calibri" w:hAnsi="Times New Roman" w:cs="Times New Roman"/>
          <w:b/>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The rapid development of innovative technologies is radically transforming educational paradigms. Educational institutions are forced to adapt to these changes in order to remain relevant and effective.</w:t>
      </w:r>
    </w:p>
    <w:p w14:paraId="7D4059E5" w14:textId="77777777" w:rsidR="00B44B71" w:rsidRPr="00B44B71" w:rsidRDefault="00B44B71" w:rsidP="00023291">
      <w:pPr>
        <w:tabs>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b/>
          <w:kern w:val="0"/>
          <w:sz w:val="24"/>
          <w:szCs w:val="24"/>
          <w14:ligatures w14:val="none"/>
        </w:rPr>
        <w:lastRenderedPageBreak/>
        <w:t>Aim of the Study</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To identify and analyze the impact of interactive technologies on the transformation of modern educational paradigms.</w:t>
      </w:r>
    </w:p>
    <w:p w14:paraId="28C58EA5" w14:textId="77777777" w:rsidR="00B44B71" w:rsidRPr="00B44B71" w:rsidRDefault="00B44B71" w:rsidP="00023291">
      <w:pPr>
        <w:tabs>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b/>
          <w:kern w:val="0"/>
          <w:sz w:val="24"/>
          <w:szCs w:val="24"/>
          <w14:ligatures w14:val="none"/>
        </w:rPr>
        <w:t>Research methods</w:t>
      </w:r>
      <w:r w:rsidRPr="00B44B71">
        <w:rPr>
          <w:rFonts w:ascii="Times New Roman" w:eastAsia="Calibri" w:hAnsi="Times New Roman" w:cs="Times New Roman"/>
          <w:b/>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In the modern world, the process of their design plays a key role in the implementation of innovations. This process, in essence, is a unique form of creativity that deeply relies on various research methods, including scientific analysis, forecasting future trends, strategic planning, model development, solution programming, and social management tools.</w:t>
      </w:r>
    </w:p>
    <w:p w14:paraId="3DFE0B83" w14:textId="77777777" w:rsidR="00B44B71" w:rsidRPr="00B44B71" w:rsidRDefault="00B44B71" w:rsidP="00023291">
      <w:pPr>
        <w:tabs>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b/>
          <w:kern w:val="0"/>
          <w:sz w:val="24"/>
          <w:szCs w:val="24"/>
          <w14:ligatures w14:val="none"/>
        </w:rPr>
        <w:t>Results.</w:t>
      </w:r>
      <w:r w:rsidRPr="00B44B71">
        <w:rPr>
          <w:rFonts w:ascii="Times New Roman" w:eastAsia="Calibri" w:hAnsi="Times New Roman" w:cs="Times New Roman"/>
          <w:kern w:val="0"/>
          <w:sz w:val="24"/>
          <w:szCs w:val="24"/>
          <w14:ligatures w14:val="none"/>
        </w:rPr>
        <w:t xml:space="preserve"> The obtained results allow us to assert that the effective use of interactive technologies is an important factor in optimizing the educational process and the training of military specialists.</w:t>
      </w:r>
    </w:p>
    <w:p w14:paraId="560C6393" w14:textId="77777777" w:rsidR="00B44B71" w:rsidRPr="00B44B71" w:rsidRDefault="00B44B71" w:rsidP="00023291">
      <w:pPr>
        <w:tabs>
          <w:tab w:val="left" w:pos="9638"/>
        </w:tabs>
        <w:spacing w:after="0" w:line="240" w:lineRule="auto"/>
        <w:ind w:firstLine="709"/>
        <w:contextualSpacing/>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b/>
          <w:kern w:val="0"/>
          <w:sz w:val="24"/>
          <w:szCs w:val="24"/>
          <w14:ligatures w14:val="none"/>
        </w:rPr>
        <w:t>Conclusions.</w:t>
      </w:r>
      <w:r w:rsidRPr="00B44B71">
        <w:rPr>
          <w:rFonts w:ascii="Times New Roman" w:eastAsia="Calibri" w:hAnsi="Times New Roman" w:cs="Times New Roman"/>
          <w:kern w:val="0"/>
          <w:sz w:val="24"/>
          <w:szCs w:val="24"/>
          <w14:ligatures w14:val="none"/>
        </w:rPr>
        <w:t xml:space="preserve"> The conducted research has confirmed the significant role of interactive technologies as a catalyst for changes in modern educational paradigms. The analysis of scientific literature and empirical data indicates the positive impact of interactive tools on increasing the engagement of learners, developing their key competencies, and facilitating the transition to more student-centered learning models.</w:t>
      </w:r>
    </w:p>
    <w:p w14:paraId="3454E714" w14:textId="77777777" w:rsidR="00B44B71" w:rsidRPr="00B44B71" w:rsidRDefault="00B44B71" w:rsidP="00023291">
      <w:pPr>
        <w:tabs>
          <w:tab w:val="left" w:pos="9638"/>
        </w:tabs>
        <w:spacing w:after="0" w:line="240" w:lineRule="auto"/>
        <w:ind w:firstLine="709"/>
        <w:contextualSpacing/>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b/>
          <w:kern w:val="0"/>
          <w:sz w:val="24"/>
          <w:szCs w:val="24"/>
          <w14:ligatures w14:val="none"/>
        </w:rPr>
        <w:t>Keywords:</w:t>
      </w:r>
      <w:r w:rsidRPr="00B44B71">
        <w:rPr>
          <w:rFonts w:ascii="Times New Roman" w:eastAsia="Calibri" w:hAnsi="Times New Roman" w:cs="Times New Roman"/>
          <w:kern w:val="0"/>
          <w:sz w:val="24"/>
          <w:szCs w:val="24"/>
          <w14:ligatures w14:val="none"/>
        </w:rPr>
        <w:t xml:space="preserve"> interactive technologies, educational paradigms, critical thinking, </w:t>
      </w:r>
      <w:r w:rsidRPr="00B44B71">
        <w:rPr>
          <w:rFonts w:ascii="Times New Roman" w:eastAsia="Calibri" w:hAnsi="Times New Roman" w:cs="Times New Roman"/>
          <w:kern w:val="0"/>
          <w:sz w:val="24"/>
          <w:szCs w:val="24"/>
          <w:lang w:val="uk-UA"/>
          <w14:ligatures w14:val="none"/>
        </w:rPr>
        <w:t>і</w:t>
      </w:r>
      <w:r w:rsidRPr="00B44B71">
        <w:rPr>
          <w:rFonts w:ascii="Times New Roman" w:eastAsia="Calibri" w:hAnsi="Times New Roman" w:cs="Times New Roman"/>
          <w:kern w:val="0"/>
          <w:sz w:val="24"/>
          <w:szCs w:val="24"/>
          <w14:ligatures w14:val="none"/>
        </w:rPr>
        <w:t xml:space="preserve">nformation and </w:t>
      </w:r>
      <w:r w:rsidRPr="00B44B71">
        <w:rPr>
          <w:rFonts w:ascii="Times New Roman" w:eastAsia="Calibri" w:hAnsi="Times New Roman" w:cs="Times New Roman"/>
          <w:kern w:val="0"/>
          <w:sz w:val="24"/>
          <w:szCs w:val="24"/>
          <w:lang w:val="uk-UA"/>
          <w14:ligatures w14:val="none"/>
        </w:rPr>
        <w:t>с</w:t>
      </w:r>
      <w:r w:rsidRPr="00B44B71">
        <w:rPr>
          <w:rFonts w:ascii="Times New Roman" w:eastAsia="Calibri" w:hAnsi="Times New Roman" w:cs="Times New Roman"/>
          <w:kern w:val="0"/>
          <w:sz w:val="24"/>
          <w:szCs w:val="24"/>
          <w14:ligatures w14:val="none"/>
        </w:rPr>
        <w:t>ommunication technologies in education</w:t>
      </w:r>
      <w:r w:rsidRPr="00B44B71">
        <w:rPr>
          <w:rFonts w:ascii="Times New Roman" w:eastAsia="Calibri" w:hAnsi="Times New Roman" w:cs="Times New Roman"/>
          <w:kern w:val="0"/>
          <w:sz w:val="24"/>
          <w:szCs w:val="24"/>
          <w:lang w:val="uk-UA"/>
          <w14:ligatures w14:val="none"/>
        </w:rPr>
        <w:t>,</w:t>
      </w:r>
      <w:r w:rsidRPr="00B44B71">
        <w:rPr>
          <w:rFonts w:ascii="Times New Roman" w:eastAsia="Calibri" w:hAnsi="Times New Roman" w:cs="Times New Roman"/>
          <w:kern w:val="0"/>
          <w:sz w:val="24"/>
          <w:szCs w:val="24"/>
          <w14:ligatures w14:val="none"/>
        </w:rPr>
        <w:t xml:space="preserve"> QR code, 3D tour</w:t>
      </w:r>
      <w:r w:rsidRPr="00B44B71">
        <w:rPr>
          <w:rFonts w:ascii="Times New Roman" w:eastAsia="Calibri" w:hAnsi="Times New Roman" w:cs="Times New Roman"/>
          <w:kern w:val="0"/>
          <w:sz w:val="24"/>
          <w:szCs w:val="24"/>
          <w:lang w:val="uk-UA"/>
          <w14:ligatures w14:val="none"/>
        </w:rPr>
        <w:t>.</w:t>
      </w:r>
    </w:p>
    <w:p w14:paraId="3831BA97" w14:textId="77777777" w:rsidR="00B44B71" w:rsidRPr="00B44B71" w:rsidRDefault="00B44B71" w:rsidP="00023291">
      <w:pPr>
        <w:tabs>
          <w:tab w:val="left" w:pos="9638"/>
        </w:tabs>
        <w:spacing w:after="0" w:line="240" w:lineRule="auto"/>
        <w:ind w:firstLine="709"/>
        <w:contextualSpacing/>
        <w:jc w:val="both"/>
        <w:rPr>
          <w:rFonts w:ascii="Times New Roman" w:eastAsia="Calibri" w:hAnsi="Times New Roman" w:cs="Times New Roman"/>
          <w:kern w:val="0"/>
          <w:sz w:val="24"/>
          <w:szCs w:val="24"/>
          <w:lang w:val="uk-UA"/>
          <w14:ligatures w14:val="none"/>
        </w:rPr>
      </w:pPr>
    </w:p>
    <w:p w14:paraId="66D001E7"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надійшов до редакції 19.01.2026</w:t>
      </w:r>
    </w:p>
    <w:p w14:paraId="54E5ECF5"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прийнято до друку після рецензування 07.04.2026</w:t>
      </w:r>
    </w:p>
    <w:p w14:paraId="13C05E61"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Дата публікації 25.05.2026</w:t>
      </w:r>
    </w:p>
    <w:p w14:paraId="2C03255A"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b/>
          <w:bCs/>
          <w:sz w:val="24"/>
          <w:szCs w:val="24"/>
          <w:lang w:val="uk-UA"/>
          <w14:ligatures w14:val="none"/>
        </w:rPr>
      </w:pPr>
    </w:p>
    <w:p w14:paraId="5FBD1687" w14:textId="6D042A2D" w:rsidR="003F4260" w:rsidRPr="006025B7" w:rsidRDefault="006025B7" w:rsidP="006025B7">
      <w:pPr>
        <w:tabs>
          <w:tab w:val="left" w:pos="9638"/>
        </w:tabs>
        <w:spacing w:after="0" w:line="240" w:lineRule="auto"/>
        <w:ind w:right="283"/>
        <w:jc w:val="both"/>
        <w:rPr>
          <w:rFonts w:ascii="Times New Roman" w:eastAsia="Calibri" w:hAnsi="Times New Roman" w:cs="Times New Roman"/>
          <w:b/>
          <w:bCs/>
          <w:sz w:val="24"/>
          <w:szCs w:val="24"/>
          <w:lang w:val="uk-UA"/>
          <w14:ligatures w14:val="none"/>
        </w:rPr>
      </w:pPr>
      <w:r>
        <w:rPr>
          <w:rFonts w:ascii="Times New Roman" w:eastAsia="Calibri" w:hAnsi="Times New Roman" w:cs="Times New Roman"/>
          <w:b/>
          <w:bCs/>
          <w:sz w:val="24"/>
          <w:szCs w:val="24"/>
          <w:lang w:val="uk-UA"/>
          <w14:ligatures w14:val="none"/>
        </w:rPr>
        <w:br w:type="column"/>
      </w:r>
      <w:r w:rsidR="003F4260" w:rsidRPr="00B44B71">
        <w:rPr>
          <w:rFonts w:ascii="Times New Roman" w:eastAsia="Times New Roman" w:hAnsi="Times New Roman" w:cs="Times New Roman"/>
          <w:kern w:val="0"/>
          <w:sz w:val="23"/>
          <w:szCs w:val="23"/>
          <w:lang w:val="uk-UA" w:eastAsia="ru-RU"/>
          <w14:ligatures w14:val="none"/>
        </w:rPr>
        <w:lastRenderedPageBreak/>
        <w:t>ISSN: 2617-1775</w:t>
      </w:r>
      <w:r w:rsidR="003F4260" w:rsidRPr="00E4040F">
        <w:rPr>
          <w:rFonts w:ascii="Times New Roman" w:eastAsia="Calibri" w:hAnsi="Times New Roman" w:cs="Times New Roman"/>
          <w:b/>
          <w:kern w:val="0"/>
          <w:sz w:val="24"/>
          <w:szCs w:val="24"/>
          <w:lang w:val="uk-UA"/>
          <w14:ligatures w14:val="none"/>
        </w:rPr>
        <w:t xml:space="preserve"> </w:t>
      </w:r>
      <w:r w:rsidR="003F4260" w:rsidRPr="00443B42">
        <w:rPr>
          <w:rFonts w:ascii="Times New Roman" w:eastAsia="Calibri" w:hAnsi="Times New Roman" w:cs="Times New Roman"/>
          <w:b/>
          <w:kern w:val="0"/>
          <w:sz w:val="24"/>
          <w:szCs w:val="24"/>
          <w:lang w:val="uk-UA"/>
          <w14:ligatures w14:val="none"/>
        </w:rPr>
        <w:t xml:space="preserve">                                                                        </w:t>
      </w:r>
      <w:r w:rsidR="003F4260">
        <w:rPr>
          <w:rFonts w:ascii="Times New Roman" w:eastAsia="Calibri" w:hAnsi="Times New Roman" w:cs="Times New Roman"/>
          <w:b/>
          <w:kern w:val="0"/>
          <w:sz w:val="24"/>
          <w:szCs w:val="24"/>
          <w:lang w:val="uk-UA"/>
          <w14:ligatures w14:val="none"/>
        </w:rPr>
        <w:t xml:space="preserve">            </w:t>
      </w:r>
      <w:r w:rsidR="003F4260" w:rsidRPr="00443B42">
        <w:rPr>
          <w:rFonts w:ascii="Times New Roman" w:eastAsia="Calibri" w:hAnsi="Times New Roman" w:cs="Times New Roman"/>
          <w:b/>
          <w:kern w:val="0"/>
          <w:sz w:val="24"/>
          <w:szCs w:val="24"/>
          <w:lang w:val="uk-UA"/>
          <w14:ligatures w14:val="none"/>
        </w:rPr>
        <w:t xml:space="preserve">   </w:t>
      </w:r>
      <w:r w:rsidR="005A647F">
        <w:rPr>
          <w:rFonts w:ascii="Times New Roman" w:eastAsia="Calibri" w:hAnsi="Times New Roman" w:cs="Times New Roman"/>
          <w:b/>
          <w:kern w:val="0"/>
          <w:sz w:val="24"/>
          <w:szCs w:val="24"/>
          <w:lang w:val="uk-UA"/>
          <w14:ligatures w14:val="none"/>
        </w:rPr>
        <w:t xml:space="preserve">  </w:t>
      </w:r>
      <w:r w:rsidR="003F4260" w:rsidRPr="00443B42">
        <w:rPr>
          <w:rFonts w:ascii="Times New Roman" w:eastAsia="Aptos" w:hAnsi="Times New Roman" w:cs="Times New Roman"/>
          <w:b/>
          <w:bCs/>
          <w:sz w:val="24"/>
          <w:szCs w:val="24"/>
          <w:lang w:val="uk-UA"/>
        </w:rPr>
        <w:t xml:space="preserve">УДК: 355.23(477):378.5 </w:t>
      </w:r>
    </w:p>
    <w:p w14:paraId="238C6018" w14:textId="11F26EE8" w:rsidR="003F4260" w:rsidRPr="00F96118" w:rsidRDefault="003F4260" w:rsidP="00023291">
      <w:pPr>
        <w:tabs>
          <w:tab w:val="left" w:pos="9638"/>
        </w:tabs>
        <w:spacing w:after="0" w:line="240" w:lineRule="auto"/>
        <w:rPr>
          <w:rFonts w:ascii="Times New Roman" w:eastAsia="Times New Roman" w:hAnsi="Times New Roman" w:cs="Times New Roman"/>
          <w:color w:val="0563C1"/>
          <w:kern w:val="0"/>
          <w:sz w:val="24"/>
          <w:szCs w:val="24"/>
          <w:u w:val="single"/>
          <w:lang w:val="uk-UA"/>
          <w14:ligatures w14:val="none"/>
        </w:rPr>
      </w:pPr>
      <w:r w:rsidRPr="00B44B71">
        <w:rPr>
          <w:rFonts w:ascii="Times New Roman" w:eastAsia="Times New Roman" w:hAnsi="Times New Roman" w:cs="Times New Roman"/>
          <w:kern w:val="0"/>
          <w:sz w:val="23"/>
          <w:szCs w:val="23"/>
          <w:lang w:val="uk-UA" w:eastAsia="ru-RU"/>
          <w14:ligatures w14:val="none"/>
        </w:rPr>
        <w:t>ISSN: 2617-1783 (online)</w:t>
      </w:r>
      <w:r w:rsidRPr="00443B42">
        <w:rPr>
          <w:rFonts w:ascii="Times New Roman" w:eastAsia="Times New Roman" w:hAnsi="Times New Roman" w:cs="Times New Roman"/>
          <w:kern w:val="0"/>
          <w:sz w:val="23"/>
          <w:szCs w:val="23"/>
          <w:lang w:val="uk-UA" w:eastAsia="ru-RU"/>
          <w14:ligatures w14:val="none"/>
        </w:rPr>
        <w:t xml:space="preserve">                                             </w:t>
      </w:r>
      <w:r>
        <w:rPr>
          <w:rFonts w:ascii="Times New Roman" w:eastAsia="Times New Roman" w:hAnsi="Times New Roman" w:cs="Times New Roman"/>
          <w:kern w:val="0"/>
          <w:sz w:val="23"/>
          <w:szCs w:val="23"/>
          <w:lang w:val="uk-UA" w:eastAsia="ru-RU"/>
          <w14:ligatures w14:val="none"/>
        </w:rPr>
        <w:t xml:space="preserve">        </w:t>
      </w:r>
      <w:r w:rsidRPr="00F96118">
        <w:rPr>
          <w:rFonts w:ascii="Times New Roman" w:eastAsia="Times New Roman" w:hAnsi="Times New Roman" w:cs="Times New Roman"/>
          <w:bCs/>
          <w:smallCaps/>
          <w:color w:val="000000"/>
          <w:kern w:val="0"/>
          <w:sz w:val="24"/>
          <w:szCs w:val="24"/>
          <w:lang w:eastAsia="ru-RU"/>
          <w14:ligatures w14:val="none"/>
        </w:rPr>
        <w:t>DOI</w:t>
      </w:r>
      <w:r w:rsidRPr="00F96118">
        <w:rPr>
          <w:rFonts w:ascii="Times New Roman" w:eastAsia="Times New Roman" w:hAnsi="Times New Roman" w:cs="Times New Roman"/>
          <w:bCs/>
          <w:smallCaps/>
          <w:color w:val="000000"/>
          <w:kern w:val="0"/>
          <w:sz w:val="24"/>
          <w:szCs w:val="24"/>
          <w:lang w:val="uk-UA" w:eastAsia="ru-RU"/>
          <w14:ligatures w14:val="none"/>
        </w:rPr>
        <w:t>: 10.33099/2617-1775/202</w:t>
      </w:r>
      <w:r>
        <w:rPr>
          <w:rFonts w:ascii="Times New Roman" w:eastAsia="Times New Roman" w:hAnsi="Times New Roman" w:cs="Times New Roman"/>
          <w:bCs/>
          <w:smallCaps/>
          <w:color w:val="000000"/>
          <w:kern w:val="0"/>
          <w:sz w:val="24"/>
          <w:szCs w:val="24"/>
          <w:lang w:val="uk-UA" w:eastAsia="ru-RU"/>
          <w14:ligatures w14:val="none"/>
        </w:rPr>
        <w:t>6</w:t>
      </w:r>
      <w:r w:rsidRPr="00F96118">
        <w:rPr>
          <w:rFonts w:ascii="Times New Roman" w:eastAsia="Times New Roman" w:hAnsi="Times New Roman" w:cs="Times New Roman"/>
          <w:bCs/>
          <w:smallCaps/>
          <w:color w:val="000000"/>
          <w:kern w:val="0"/>
          <w:sz w:val="24"/>
          <w:szCs w:val="24"/>
          <w:lang w:val="uk-UA" w:eastAsia="ru-RU"/>
          <w14:ligatures w14:val="none"/>
        </w:rPr>
        <w:t>-0</w:t>
      </w:r>
      <w:r>
        <w:rPr>
          <w:rFonts w:ascii="Times New Roman" w:eastAsia="Times New Roman" w:hAnsi="Times New Roman" w:cs="Times New Roman"/>
          <w:bCs/>
          <w:smallCaps/>
          <w:color w:val="000000"/>
          <w:kern w:val="0"/>
          <w:sz w:val="24"/>
          <w:szCs w:val="24"/>
          <w:lang w:val="uk-UA" w:eastAsia="ru-RU"/>
          <w14:ligatures w14:val="none"/>
        </w:rPr>
        <w:t>1</w:t>
      </w:r>
      <w:r w:rsidRPr="00F96118">
        <w:rPr>
          <w:rFonts w:ascii="Times New Roman" w:eastAsia="Times New Roman" w:hAnsi="Times New Roman" w:cs="Times New Roman"/>
          <w:bCs/>
          <w:smallCaps/>
          <w:color w:val="000000"/>
          <w:kern w:val="0"/>
          <w:sz w:val="24"/>
          <w:szCs w:val="24"/>
          <w:lang w:val="uk-UA" w:eastAsia="ru-RU"/>
          <w14:ligatures w14:val="none"/>
        </w:rPr>
        <w:t>/</w:t>
      </w:r>
      <w:r w:rsidR="005A647F">
        <w:rPr>
          <w:rFonts w:ascii="Times New Roman" w:eastAsia="Times New Roman" w:hAnsi="Times New Roman" w:cs="Times New Roman"/>
          <w:bCs/>
          <w:smallCaps/>
          <w:color w:val="000000"/>
          <w:kern w:val="0"/>
          <w:sz w:val="24"/>
          <w:szCs w:val="24"/>
          <w:lang w:val="uk-UA" w:eastAsia="ru-RU"/>
          <w14:ligatures w14:val="none"/>
        </w:rPr>
        <w:t>119-128</w:t>
      </w:r>
    </w:p>
    <w:p w14:paraId="13196C09" w14:textId="37C9951A" w:rsidR="003F4260" w:rsidRPr="00443B42" w:rsidRDefault="003F4260" w:rsidP="00023291">
      <w:pPr>
        <w:tabs>
          <w:tab w:val="left" w:pos="9638"/>
        </w:tabs>
        <w:spacing w:after="0" w:line="240" w:lineRule="auto"/>
        <w:rPr>
          <w:rFonts w:ascii="Times New Roman" w:eastAsia="Calibri" w:hAnsi="Times New Roman" w:cs="Times New Roman"/>
          <w:b/>
          <w:kern w:val="0"/>
          <w:sz w:val="24"/>
          <w:szCs w:val="24"/>
          <w:lang w:val="uk-UA"/>
          <w14:ligatures w14:val="none"/>
        </w:rPr>
      </w:pPr>
      <w:r w:rsidRPr="00443B42">
        <w:rPr>
          <w:rFonts w:ascii="Times New Roman" w:eastAsia="Times New Roman" w:hAnsi="Times New Roman" w:cs="Times New Roman"/>
          <w:kern w:val="0"/>
          <w:sz w:val="23"/>
          <w:szCs w:val="23"/>
          <w:lang w:val="uk-UA" w:eastAsia="ru-RU"/>
          <w14:ligatures w14:val="none"/>
        </w:rPr>
        <w:t xml:space="preserve">     </w:t>
      </w:r>
    </w:p>
    <w:p w14:paraId="38A56C28" w14:textId="77777777" w:rsidR="00385184" w:rsidRPr="003B5892" w:rsidRDefault="00385184" w:rsidP="00023291">
      <w:pPr>
        <w:tabs>
          <w:tab w:val="left" w:pos="9638"/>
        </w:tabs>
        <w:spacing w:after="0" w:line="240" w:lineRule="auto"/>
        <w:ind w:firstLine="709"/>
        <w:jc w:val="right"/>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b/>
          <w:bCs/>
          <w:kern w:val="0"/>
          <w:sz w:val="24"/>
          <w:szCs w:val="24"/>
          <w:lang w:val="uk-UA"/>
          <w14:ligatures w14:val="none"/>
        </w:rPr>
        <w:t>Анатолій Дерев’янчук</w:t>
      </w:r>
      <w:r w:rsidRPr="003B5892">
        <w:rPr>
          <w:rFonts w:ascii="Times New Roman" w:eastAsia="Times New Roman" w:hAnsi="Times New Roman" w:cs="Times New Roman"/>
          <w:kern w:val="0"/>
          <w:sz w:val="24"/>
          <w:szCs w:val="24"/>
          <w:lang w:val="uk-UA"/>
          <w14:ligatures w14:val="none"/>
        </w:rPr>
        <w:t xml:space="preserve">, </w:t>
      </w:r>
    </w:p>
    <w:p w14:paraId="3D331904" w14:textId="01B58E32" w:rsidR="00385184" w:rsidRPr="003B5892" w:rsidRDefault="00385184" w:rsidP="00023291">
      <w:pPr>
        <w:tabs>
          <w:tab w:val="left" w:pos="9638"/>
        </w:tabs>
        <w:spacing w:after="0" w:line="240" w:lineRule="auto"/>
        <w:ind w:firstLine="709"/>
        <w:jc w:val="right"/>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4"/>
          <w:szCs w:val="24"/>
          <w:lang w:val="uk-UA"/>
          <w14:ligatures w14:val="none"/>
        </w:rPr>
        <w:t>кандидат технічних н</w:t>
      </w:r>
      <w:r w:rsidR="00B15B58">
        <w:rPr>
          <w:rFonts w:ascii="Times New Roman" w:eastAsia="Times New Roman" w:hAnsi="Times New Roman" w:cs="Times New Roman"/>
          <w:kern w:val="0"/>
          <w:sz w:val="24"/>
          <w:szCs w:val="24"/>
          <w:lang w:val="uk-UA"/>
          <w14:ligatures w14:val="none"/>
        </w:rPr>
        <w:t>аук, професор</w:t>
      </w:r>
      <w:r w:rsidRPr="003B5892">
        <w:rPr>
          <w:rFonts w:ascii="Times New Roman" w:eastAsia="Times New Roman" w:hAnsi="Times New Roman" w:cs="Times New Roman"/>
          <w:kern w:val="0"/>
          <w:sz w:val="24"/>
          <w:szCs w:val="24"/>
          <w:lang w:val="uk-UA"/>
          <w14:ligatures w14:val="none"/>
        </w:rPr>
        <w:t xml:space="preserve"> </w:t>
      </w:r>
    </w:p>
    <w:p w14:paraId="6C538A2A" w14:textId="77777777" w:rsidR="00385184" w:rsidRPr="003B5892" w:rsidRDefault="00385184" w:rsidP="00023291">
      <w:pPr>
        <w:tabs>
          <w:tab w:val="left" w:pos="9638"/>
        </w:tabs>
        <w:spacing w:after="0" w:line="240" w:lineRule="auto"/>
        <w:ind w:firstLine="709"/>
        <w:jc w:val="right"/>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4"/>
          <w:szCs w:val="24"/>
          <w:lang w:val="uk-UA"/>
          <w14:ligatures w14:val="none"/>
        </w:rPr>
        <w:t xml:space="preserve">Сумський державний університет </w:t>
      </w:r>
    </w:p>
    <w:p w14:paraId="5BE853AF" w14:textId="77777777" w:rsidR="00385184" w:rsidRPr="003B5892" w:rsidRDefault="00385184" w:rsidP="00023291">
      <w:pPr>
        <w:tabs>
          <w:tab w:val="left" w:pos="9638"/>
        </w:tabs>
        <w:spacing w:after="0" w:line="240" w:lineRule="auto"/>
        <w:ind w:firstLine="709"/>
        <w:jc w:val="right"/>
        <w:rPr>
          <w:rFonts w:ascii="Times New Roman" w:eastAsia="Times New Roman" w:hAnsi="Times New Roman" w:cs="Times New Roman"/>
          <w:kern w:val="0"/>
          <w:sz w:val="24"/>
          <w:szCs w:val="24"/>
          <w:lang w:val="uk-UA"/>
          <w14:ligatures w14:val="none"/>
        </w:rPr>
      </w:pPr>
      <w:hyperlink r:id="rId169" w:history="1">
        <w:r w:rsidRPr="003B5892">
          <w:rPr>
            <w:rFonts w:ascii="Times New Roman" w:eastAsia="Times New Roman" w:hAnsi="Times New Roman" w:cs="Times New Roman"/>
            <w:kern w:val="0"/>
            <w:sz w:val="24"/>
            <w:szCs w:val="24"/>
            <w:lang w:val="uk-UA"/>
            <w14:ligatures w14:val="none"/>
          </w:rPr>
          <w:t>https://orcid.org/0000-0001-6881-560X</w:t>
        </w:r>
      </w:hyperlink>
    </w:p>
    <w:p w14:paraId="7ADF4619" w14:textId="77777777" w:rsidR="00385184" w:rsidRPr="003B5892" w:rsidRDefault="00385184" w:rsidP="00023291">
      <w:pPr>
        <w:tabs>
          <w:tab w:val="left" w:pos="9638"/>
        </w:tabs>
        <w:spacing w:after="0" w:line="240" w:lineRule="auto"/>
        <w:ind w:right="-1" w:firstLine="709"/>
        <w:jc w:val="right"/>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b/>
          <w:bCs/>
          <w:kern w:val="0"/>
          <w:sz w:val="24"/>
          <w:szCs w:val="24"/>
          <w:lang w:val="uk-UA"/>
          <w14:ligatures w14:val="none"/>
        </w:rPr>
        <w:t>Дмитро Чопа</w:t>
      </w:r>
      <w:r w:rsidRPr="003B5892">
        <w:rPr>
          <w:rFonts w:ascii="Times New Roman" w:eastAsia="Times New Roman" w:hAnsi="Times New Roman" w:cs="Times New Roman"/>
          <w:kern w:val="0"/>
          <w:sz w:val="24"/>
          <w:szCs w:val="24"/>
          <w:lang w:val="uk-UA"/>
          <w14:ligatures w14:val="none"/>
        </w:rPr>
        <w:t xml:space="preserve">, </w:t>
      </w:r>
    </w:p>
    <w:p w14:paraId="62913201" w14:textId="413E119E" w:rsidR="00385184" w:rsidRPr="003B5892" w:rsidRDefault="00385184" w:rsidP="00023291">
      <w:pPr>
        <w:tabs>
          <w:tab w:val="left" w:pos="9638"/>
        </w:tabs>
        <w:spacing w:after="0" w:line="240" w:lineRule="auto"/>
        <w:ind w:right="-1" w:firstLine="709"/>
        <w:jc w:val="right"/>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4"/>
          <w:szCs w:val="24"/>
          <w:lang w:val="uk-UA"/>
          <w14:ligatures w14:val="none"/>
        </w:rPr>
        <w:t>кандидат технічних наук</w:t>
      </w:r>
      <w:r w:rsidR="00B15B58">
        <w:rPr>
          <w:rFonts w:ascii="Times New Roman" w:eastAsia="Times New Roman" w:hAnsi="Times New Roman" w:cs="Times New Roman"/>
          <w:kern w:val="0"/>
          <w:sz w:val="24"/>
          <w:szCs w:val="24"/>
          <w:lang w:val="uk-UA"/>
          <w14:ligatures w14:val="none"/>
        </w:rPr>
        <w:t>, старший науковий співробітник</w:t>
      </w:r>
      <w:r w:rsidRPr="003B5892">
        <w:rPr>
          <w:rFonts w:ascii="Times New Roman" w:eastAsia="Times New Roman" w:hAnsi="Times New Roman" w:cs="Times New Roman"/>
          <w:kern w:val="0"/>
          <w:sz w:val="24"/>
          <w:szCs w:val="24"/>
          <w:lang w:val="uk-UA"/>
          <w14:ligatures w14:val="none"/>
        </w:rPr>
        <w:t xml:space="preserve"> </w:t>
      </w:r>
    </w:p>
    <w:p w14:paraId="77383331" w14:textId="77777777" w:rsidR="00385184" w:rsidRPr="003B5892" w:rsidRDefault="00385184" w:rsidP="00023291">
      <w:pPr>
        <w:tabs>
          <w:tab w:val="left" w:pos="9638"/>
        </w:tabs>
        <w:spacing w:after="0" w:line="240" w:lineRule="auto"/>
        <w:ind w:right="-1" w:firstLine="709"/>
        <w:jc w:val="right"/>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4"/>
          <w:szCs w:val="24"/>
          <w:lang w:val="uk-UA"/>
          <w14:ligatures w14:val="none"/>
        </w:rPr>
        <w:t xml:space="preserve">Національний університет оборони України </w:t>
      </w:r>
    </w:p>
    <w:p w14:paraId="4210CF0B" w14:textId="77777777" w:rsidR="00385184" w:rsidRPr="003B5892" w:rsidRDefault="00385184" w:rsidP="00023291">
      <w:pPr>
        <w:shd w:val="clear" w:color="auto" w:fill="FFFFFF"/>
        <w:tabs>
          <w:tab w:val="left" w:pos="2160"/>
          <w:tab w:val="left" w:pos="9355"/>
          <w:tab w:val="left" w:pos="9638"/>
        </w:tabs>
        <w:spacing w:after="0" w:line="240" w:lineRule="auto"/>
        <w:ind w:firstLine="709"/>
        <w:jc w:val="right"/>
        <w:rPr>
          <w:rFonts w:ascii="Times New Roman" w:eastAsia="Times New Roman" w:hAnsi="Times New Roman" w:cs="Times New Roman"/>
          <w:kern w:val="0"/>
          <w:sz w:val="24"/>
          <w:szCs w:val="24"/>
          <w:lang w:val="uk-UA"/>
          <w14:ligatures w14:val="none"/>
        </w:rPr>
      </w:pPr>
      <w:hyperlink r:id="rId170" w:history="1">
        <w:r w:rsidRPr="003B5892">
          <w:rPr>
            <w:rFonts w:ascii="Times New Roman" w:eastAsia="Times New Roman" w:hAnsi="Times New Roman" w:cs="Times New Roman"/>
            <w:kern w:val="0"/>
            <w:sz w:val="24"/>
            <w:szCs w:val="24"/>
            <w:lang w:val="uk-UA"/>
            <w14:ligatures w14:val="none"/>
          </w:rPr>
          <w:t>https://orcid.org/0000-0003-3267-1645</w:t>
        </w:r>
      </w:hyperlink>
    </w:p>
    <w:p w14:paraId="19E3B6BC" w14:textId="77777777" w:rsidR="00385184" w:rsidRPr="003B5892" w:rsidRDefault="00385184" w:rsidP="00023291">
      <w:pPr>
        <w:shd w:val="clear" w:color="auto" w:fill="FFFFFF"/>
        <w:tabs>
          <w:tab w:val="left" w:pos="9638"/>
        </w:tabs>
        <w:spacing w:after="0" w:line="240" w:lineRule="auto"/>
        <w:ind w:firstLine="709"/>
        <w:jc w:val="right"/>
        <w:rPr>
          <w:rFonts w:ascii="Times New Roman" w:eastAsia="Times New Roman" w:hAnsi="Times New Roman" w:cs="Times New Roman"/>
          <w:b/>
          <w:spacing w:val="-4"/>
          <w:kern w:val="0"/>
          <w:sz w:val="24"/>
          <w:szCs w:val="24"/>
          <w:lang w:val="uk-UA"/>
          <w14:ligatures w14:val="none"/>
        </w:rPr>
      </w:pPr>
      <w:r w:rsidRPr="003B5892">
        <w:rPr>
          <w:rFonts w:ascii="Times New Roman" w:eastAsia="Times New Roman" w:hAnsi="Times New Roman" w:cs="Times New Roman"/>
          <w:b/>
          <w:spacing w:val="-4"/>
          <w:kern w:val="0"/>
          <w:sz w:val="24"/>
          <w:szCs w:val="24"/>
          <w:lang w:val="uk-UA"/>
          <w14:ligatures w14:val="none"/>
        </w:rPr>
        <w:t>Людмила Наливайко,</w:t>
      </w:r>
    </w:p>
    <w:p w14:paraId="4FE606B0" w14:textId="77777777" w:rsidR="00385184" w:rsidRPr="003B5892" w:rsidRDefault="00385184" w:rsidP="00023291">
      <w:pPr>
        <w:shd w:val="clear" w:color="auto" w:fill="FFFFFF"/>
        <w:tabs>
          <w:tab w:val="left" w:pos="9638"/>
        </w:tabs>
        <w:spacing w:after="0" w:line="240" w:lineRule="auto"/>
        <w:ind w:firstLine="709"/>
        <w:jc w:val="right"/>
        <w:rPr>
          <w:rFonts w:ascii="Times New Roman" w:eastAsia="Times New Roman" w:hAnsi="Times New Roman" w:cs="Times New Roman"/>
          <w:spacing w:val="-4"/>
          <w:kern w:val="0"/>
          <w:sz w:val="24"/>
          <w:szCs w:val="24"/>
          <w:lang w:val="uk-UA"/>
          <w14:ligatures w14:val="none"/>
        </w:rPr>
      </w:pPr>
      <w:r w:rsidRPr="003B5892">
        <w:rPr>
          <w:rFonts w:ascii="Times New Roman" w:eastAsia="Times New Roman" w:hAnsi="Times New Roman" w:cs="Times New Roman"/>
          <w:spacing w:val="-4"/>
          <w:kern w:val="0"/>
          <w:sz w:val="24"/>
          <w:szCs w:val="24"/>
          <w:lang w:val="uk-UA"/>
          <w14:ligatures w14:val="none"/>
        </w:rPr>
        <w:t>Національний університет оборони України, м. Киїа</w:t>
      </w:r>
    </w:p>
    <w:p w14:paraId="469B7736" w14:textId="77777777" w:rsidR="00385184" w:rsidRDefault="00385184" w:rsidP="00023291">
      <w:pPr>
        <w:tabs>
          <w:tab w:val="left" w:pos="9638"/>
        </w:tabs>
        <w:spacing w:after="0" w:line="240" w:lineRule="auto"/>
        <w:ind w:firstLine="709"/>
        <w:jc w:val="right"/>
        <w:rPr>
          <w:lang w:val="uk-UA"/>
        </w:rPr>
      </w:pPr>
      <w:hyperlink r:id="rId171" w:history="1">
        <w:r w:rsidRPr="003B5892">
          <w:rPr>
            <w:rFonts w:ascii="Times New Roman" w:eastAsia="Times New Roman" w:hAnsi="Times New Roman" w:cs="Times New Roman"/>
            <w:kern w:val="0"/>
            <w:sz w:val="24"/>
            <w:szCs w:val="24"/>
            <w:u w:val="single"/>
            <w:lang w:val="uk-UA"/>
            <w14:ligatures w14:val="none"/>
          </w:rPr>
          <w:t>https://orcid.org/0000-0002-2240</w:t>
        </w:r>
        <w:r w:rsidRPr="003B5892">
          <w:rPr>
            <w:rFonts w:ascii="Times New Roman" w:eastAsia="Times New Roman" w:hAnsi="Times New Roman" w:cs="Times New Roman"/>
            <w:bCs/>
            <w:kern w:val="0"/>
            <w:sz w:val="24"/>
            <w:szCs w:val="24"/>
            <w:u w:val="single"/>
            <w:lang w:val="uk-UA"/>
            <w14:ligatures w14:val="none"/>
          </w:rPr>
          <w:t>-5135</w:t>
        </w:r>
      </w:hyperlink>
    </w:p>
    <w:p w14:paraId="60845040" w14:textId="77777777" w:rsidR="00446297" w:rsidRPr="00F96118" w:rsidRDefault="00446297" w:rsidP="00023291">
      <w:pPr>
        <w:tabs>
          <w:tab w:val="left" w:pos="993"/>
          <w:tab w:val="left" w:pos="9638"/>
        </w:tabs>
        <w:spacing w:after="0" w:line="240" w:lineRule="auto"/>
        <w:ind w:firstLine="709"/>
        <w:jc w:val="right"/>
        <w:rPr>
          <w:rFonts w:ascii="Times New Roman" w:eastAsia="Calibri" w:hAnsi="Times New Roman" w:cs="Times New Roman"/>
          <w:kern w:val="0"/>
          <w:sz w:val="28"/>
          <w:szCs w:val="28"/>
          <w:lang w:val="uk-UA"/>
          <w14:ligatures w14:val="none"/>
        </w:rPr>
      </w:pPr>
    </w:p>
    <w:p w14:paraId="0E99289A" w14:textId="77777777" w:rsidR="00385184" w:rsidRPr="00446297" w:rsidRDefault="00385184" w:rsidP="00023291">
      <w:pPr>
        <w:tabs>
          <w:tab w:val="left" w:pos="9638"/>
        </w:tabs>
        <w:spacing w:after="0" w:line="240" w:lineRule="auto"/>
        <w:ind w:firstLine="709"/>
        <w:jc w:val="center"/>
        <w:rPr>
          <w:rFonts w:ascii="Times New Roman" w:eastAsia="Aptos" w:hAnsi="Times New Roman" w:cs="Times New Roman"/>
          <w:b/>
          <w:bCs/>
          <w:sz w:val="28"/>
          <w:szCs w:val="28"/>
          <w:lang w:val="uk-UA"/>
        </w:rPr>
      </w:pPr>
      <w:r w:rsidRPr="00446297">
        <w:rPr>
          <w:rFonts w:ascii="Times New Roman" w:eastAsia="Aptos" w:hAnsi="Times New Roman" w:cs="Times New Roman"/>
          <w:b/>
          <w:bCs/>
          <w:sz w:val="28"/>
          <w:szCs w:val="28"/>
          <w:lang w:val="uk-UA"/>
        </w:rPr>
        <w:t>РОЗРОБКА НАВЧАЛЬНОЇ МОДЕЛІ ПІДГОТОВКИ ВІЙСЬКОВОСЛУЖБОВЦІВ ДО БОЙОВОЇ РОБОТИ З АРТИЛЕРІЙСЬКИМИ БОЄПРИПАСАМИ</w:t>
      </w:r>
    </w:p>
    <w:p w14:paraId="24B74442" w14:textId="77777777" w:rsidR="00385184" w:rsidRPr="00446297" w:rsidRDefault="00385184" w:rsidP="00023291">
      <w:pPr>
        <w:tabs>
          <w:tab w:val="left" w:pos="9638"/>
        </w:tabs>
        <w:spacing w:after="0" w:line="240" w:lineRule="auto"/>
        <w:ind w:firstLine="709"/>
        <w:jc w:val="center"/>
        <w:rPr>
          <w:rFonts w:ascii="Times New Roman" w:eastAsia="Aptos" w:hAnsi="Times New Roman" w:cs="Times New Roman"/>
          <w:b/>
          <w:bCs/>
          <w:sz w:val="28"/>
          <w:szCs w:val="28"/>
          <w:lang w:val="uk-UA"/>
        </w:rPr>
      </w:pPr>
    </w:p>
    <w:p w14:paraId="25C2672D" w14:textId="6C700CEA" w:rsidR="00385184" w:rsidRPr="003B5892" w:rsidRDefault="00385184" w:rsidP="00023291">
      <w:pPr>
        <w:tabs>
          <w:tab w:val="left" w:pos="9638"/>
        </w:tabs>
        <w:spacing w:after="0" w:line="240" w:lineRule="auto"/>
        <w:ind w:firstLine="709"/>
        <w:jc w:val="both"/>
        <w:rPr>
          <w:rFonts w:ascii="Times New Roman" w:eastAsia="Aptos" w:hAnsi="Times New Roman" w:cs="Times New Roman"/>
          <w:i/>
          <w:iCs/>
          <w:sz w:val="24"/>
          <w:szCs w:val="24"/>
          <w:lang w:val="uk-UA"/>
        </w:rPr>
      </w:pPr>
      <w:r w:rsidRPr="003B5892">
        <w:rPr>
          <w:rFonts w:ascii="Times New Roman" w:eastAsia="Aptos" w:hAnsi="Times New Roman" w:cs="Times New Roman"/>
          <w:b/>
          <w:bCs/>
          <w:i/>
          <w:iCs/>
          <w:sz w:val="24"/>
          <w:szCs w:val="24"/>
          <w:lang w:val="uk-UA"/>
        </w:rPr>
        <w:t>Анотація</w:t>
      </w:r>
      <w:r w:rsidRPr="003B5892">
        <w:rPr>
          <w:rFonts w:ascii="Times New Roman" w:eastAsia="Aptos" w:hAnsi="Times New Roman" w:cs="Times New Roman"/>
          <w:i/>
          <w:iCs/>
          <w:sz w:val="24"/>
          <w:szCs w:val="24"/>
          <w:lang w:val="uk-UA"/>
        </w:rPr>
        <w:t>. У статті обґрунтовано та розроблено навчальну модель підготовки військовослужбовців до роботи з артилерійськими боєприпасами, що поєднує інженерно</w:t>
      </w:r>
      <w:r w:rsidRPr="003B5892">
        <w:rPr>
          <w:rFonts w:ascii="Times New Roman" w:eastAsia="Aptos" w:hAnsi="Times New Roman" w:cs="Times New Roman"/>
          <w:i/>
          <w:iCs/>
          <w:sz w:val="24"/>
          <w:szCs w:val="24"/>
          <w:lang w:val="uk-UA"/>
        </w:rPr>
        <w:noBreakHyphen/>
        <w:t>технічні знання, алгоритмічні процедури прийняття рішень і компетентнісний підхід. За результатами аналізу конструкції боєприпасів, принципів дії їх основних елементів  і сучасних вимог бойового застосування сформовано узагальнений алгоритм вибору підривника, який забезпечує узгодженість між типом цілі, видом  боєприпасу та режимом спрацювання.</w:t>
      </w:r>
    </w:p>
    <w:p w14:paraId="2DFD02F7" w14:textId="21AC523D" w:rsidR="00385184" w:rsidRPr="003B5892" w:rsidRDefault="00385184" w:rsidP="00023291">
      <w:pPr>
        <w:tabs>
          <w:tab w:val="left" w:pos="9638"/>
        </w:tabs>
        <w:spacing w:after="0" w:line="240" w:lineRule="auto"/>
        <w:ind w:firstLine="709"/>
        <w:jc w:val="both"/>
        <w:rPr>
          <w:rFonts w:ascii="Times New Roman" w:eastAsia="Aptos" w:hAnsi="Times New Roman" w:cs="Times New Roman"/>
          <w:i/>
          <w:iCs/>
          <w:sz w:val="24"/>
          <w:szCs w:val="24"/>
          <w:lang w:val="uk-UA"/>
        </w:rPr>
      </w:pPr>
      <w:r w:rsidRPr="003B5892">
        <w:rPr>
          <w:rFonts w:ascii="Times New Roman" w:eastAsia="Aptos" w:hAnsi="Times New Roman" w:cs="Times New Roman"/>
          <w:i/>
          <w:iCs/>
          <w:sz w:val="24"/>
          <w:szCs w:val="24"/>
          <w:lang w:val="uk-UA"/>
        </w:rPr>
        <w:t xml:space="preserve">Розроблена навчальна модель забезпечує систематизацію знань, формалізацію алгоритмів прийняття рішень і поетапне формування професійних компетентностей військовослужбовців до </w:t>
      </w:r>
      <w:r w:rsidRPr="003B5892">
        <w:rPr>
          <w:rFonts w:ascii="Times New Roman" w:eastAsia="Aptos" w:hAnsi="Times New Roman" w:cs="Times New Roman"/>
          <w:bCs/>
          <w:i/>
          <w:sz w:val="24"/>
          <w:szCs w:val="24"/>
          <w:lang w:val="uk-UA"/>
        </w:rPr>
        <w:t>бойової роботи з артилерійськими боєприпасами</w:t>
      </w:r>
      <w:r w:rsidRPr="003B5892">
        <w:rPr>
          <w:rFonts w:ascii="Times New Roman" w:eastAsia="Aptos" w:hAnsi="Times New Roman" w:cs="Times New Roman"/>
          <w:i/>
          <w:iCs/>
          <w:sz w:val="24"/>
          <w:szCs w:val="24"/>
          <w:lang w:val="uk-UA"/>
        </w:rPr>
        <w:t>.</w:t>
      </w:r>
    </w:p>
    <w:p w14:paraId="5E677A7F" w14:textId="0A552EB4" w:rsidR="00385184" w:rsidRPr="003B5892" w:rsidRDefault="00385184" w:rsidP="00023291">
      <w:pPr>
        <w:tabs>
          <w:tab w:val="left" w:pos="9638"/>
        </w:tabs>
        <w:spacing w:after="0" w:line="240" w:lineRule="auto"/>
        <w:ind w:firstLine="709"/>
        <w:jc w:val="both"/>
        <w:rPr>
          <w:rFonts w:ascii="Times New Roman" w:eastAsia="Aptos" w:hAnsi="Times New Roman" w:cs="Times New Roman"/>
          <w:i/>
          <w:iCs/>
          <w:sz w:val="24"/>
          <w:szCs w:val="24"/>
          <w:lang w:val="uk-UA"/>
        </w:rPr>
      </w:pPr>
      <w:r w:rsidRPr="003B5892">
        <w:rPr>
          <w:rFonts w:ascii="Times New Roman" w:eastAsia="Aptos" w:hAnsi="Times New Roman" w:cs="Times New Roman"/>
          <w:i/>
          <w:iCs/>
          <w:sz w:val="24"/>
          <w:szCs w:val="24"/>
          <w:lang w:val="uk-UA"/>
        </w:rPr>
        <w:t>Запропонована модель складається з шести взаємопов’язаних блоків, відповідно до етапів формування професійних компетентностей: від ознайомлення з конструкцією боєприпасів і 3D</w:t>
      </w:r>
      <w:r w:rsidRPr="003B5892">
        <w:rPr>
          <w:rFonts w:ascii="Times New Roman" w:eastAsia="Aptos" w:hAnsi="Times New Roman" w:cs="Times New Roman"/>
          <w:i/>
          <w:iCs/>
          <w:sz w:val="24"/>
          <w:szCs w:val="24"/>
          <w:lang w:val="uk-UA"/>
        </w:rPr>
        <w:noBreakHyphen/>
        <w:t>моделями до практичної роботи з навчальними підривниками та тренажерами. Наукова новизна дослідження полягає у поєднанні функціонально</w:t>
      </w:r>
      <w:r w:rsidRPr="003B5892">
        <w:rPr>
          <w:rFonts w:ascii="Times New Roman" w:eastAsia="Aptos" w:hAnsi="Times New Roman" w:cs="Times New Roman"/>
          <w:i/>
          <w:iCs/>
          <w:sz w:val="24"/>
          <w:szCs w:val="24"/>
          <w:lang w:val="uk-UA"/>
        </w:rPr>
        <w:noBreakHyphen/>
        <w:t>інженерної класифікації боєприпасів, алгоритмічного підходу до вибору підривника та компетентнісної структури підготовки. Практична значущість полягає у створенні цілісної системи навчання, яка сприяє  підвищенню точності, безпеки та ефективності бойової роботи артилерійських розрахунків.</w:t>
      </w:r>
    </w:p>
    <w:p w14:paraId="42D33FE4" w14:textId="00ED64E5" w:rsidR="00385184" w:rsidRPr="003B5892" w:rsidRDefault="00385184" w:rsidP="00023291">
      <w:pPr>
        <w:tabs>
          <w:tab w:val="left" w:pos="9638"/>
        </w:tabs>
        <w:spacing w:after="0" w:line="240" w:lineRule="auto"/>
        <w:ind w:firstLine="709"/>
        <w:jc w:val="both"/>
        <w:rPr>
          <w:rFonts w:ascii="Times New Roman" w:eastAsia="Aptos" w:hAnsi="Times New Roman" w:cs="Times New Roman"/>
          <w:i/>
          <w:iCs/>
          <w:sz w:val="24"/>
          <w:szCs w:val="24"/>
          <w:lang w:val="uk-UA"/>
        </w:rPr>
      </w:pPr>
      <w:r w:rsidRPr="003B5892">
        <w:rPr>
          <w:rFonts w:ascii="Times New Roman" w:eastAsia="Aptos" w:hAnsi="Times New Roman" w:cs="Times New Roman"/>
          <w:b/>
          <w:bCs/>
          <w:i/>
          <w:iCs/>
          <w:sz w:val="24"/>
          <w:szCs w:val="24"/>
          <w:lang w:val="uk-UA"/>
        </w:rPr>
        <w:t>Ключові слова</w:t>
      </w:r>
      <w:r w:rsidRPr="003B5892">
        <w:rPr>
          <w:rFonts w:ascii="Times New Roman" w:eastAsia="Aptos" w:hAnsi="Times New Roman" w:cs="Times New Roman"/>
          <w:i/>
          <w:iCs/>
          <w:sz w:val="24"/>
          <w:szCs w:val="24"/>
          <w:lang w:val="uk-UA"/>
        </w:rPr>
        <w:t xml:space="preserve"> навчальна модель; артилерійські боєприпаси; підривник; алгоритм вибору підривника; 3D</w:t>
      </w:r>
      <w:r w:rsidRPr="003B5892">
        <w:rPr>
          <w:rFonts w:ascii="Times New Roman" w:eastAsia="Aptos" w:hAnsi="Times New Roman" w:cs="Times New Roman"/>
          <w:i/>
          <w:iCs/>
          <w:sz w:val="24"/>
          <w:szCs w:val="24"/>
          <w:lang w:val="uk-UA"/>
        </w:rPr>
        <w:noBreakHyphen/>
        <w:t>моделювання; професійна компетентність.</w:t>
      </w:r>
    </w:p>
    <w:p w14:paraId="3D46DAEE" w14:textId="77777777" w:rsidR="00385184" w:rsidRPr="003B5892" w:rsidRDefault="00385184" w:rsidP="0002329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i/>
          <w:color w:val="1F1F1F"/>
          <w:kern w:val="0"/>
          <w:sz w:val="24"/>
          <w:szCs w:val="24"/>
          <w:lang w:val="uk-UA" w:eastAsia="uk-UA"/>
          <w14:ligatures w14:val="none"/>
        </w:rPr>
      </w:pPr>
    </w:p>
    <w:p w14:paraId="6249B2C7" w14:textId="2E444CD4"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b/>
          <w:bCs/>
          <w:sz w:val="28"/>
          <w:szCs w:val="28"/>
          <w:lang w:val="uk-UA"/>
        </w:rPr>
        <w:t>Постановка проблеми.</w:t>
      </w:r>
      <w:r w:rsidRPr="003B5892">
        <w:rPr>
          <w:rFonts w:ascii="Times New Roman" w:eastAsia="Aptos" w:hAnsi="Times New Roman" w:cs="Times New Roman"/>
          <w:sz w:val="28"/>
          <w:szCs w:val="28"/>
          <w:lang w:val="uk-UA"/>
        </w:rPr>
        <w:t xml:space="preserve"> Сучасні умови ведення бойових дій характеризуються високою динамічністю, технологічною насиченістю та зростанням ролі точного вогневого ураження. Це висуває підвищені вимоги до підготовки військовослужбовців, які працюють з артилерійськими боєприпасами та їх основними елементами, зокрема, підривниками. Ефективність застосування артилерії визначається не лише технічними характеристиками боєприпасів, а й здатністю особового складу правильно обирати тип снаряда, тип підривника та </w:t>
      </w:r>
      <w:r w:rsidRPr="003B5892">
        <w:rPr>
          <w:rFonts w:ascii="Times New Roman" w:eastAsia="Aptos" w:hAnsi="Times New Roman" w:cs="Times New Roman"/>
          <w:sz w:val="28"/>
          <w:szCs w:val="28"/>
          <w:lang w:val="uk-UA"/>
        </w:rPr>
        <w:lastRenderedPageBreak/>
        <w:t>режим його спрацювання відповідно до характеру цілі, умов місцевості та тактичної обстановки.</w:t>
      </w:r>
    </w:p>
    <w:p w14:paraId="405C5FB9"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 xml:space="preserve">Аналіз наявних методик підготовки </w:t>
      </w:r>
      <w:r w:rsidRPr="003B5892">
        <w:rPr>
          <w:rFonts w:ascii="Times New Roman" w:eastAsia="Aptos" w:hAnsi="Times New Roman" w:cs="Times New Roman"/>
          <w:bCs/>
          <w:sz w:val="28"/>
          <w:szCs w:val="28"/>
          <w:lang w:val="uk-UA"/>
        </w:rPr>
        <w:t xml:space="preserve">військовослужбовців до бойової роботи з артилерійськими боєприпасами </w:t>
      </w:r>
      <w:r w:rsidRPr="003B5892">
        <w:rPr>
          <w:rFonts w:ascii="Times New Roman" w:eastAsia="Aptos" w:hAnsi="Times New Roman" w:cs="Times New Roman"/>
          <w:sz w:val="28"/>
          <w:szCs w:val="28"/>
          <w:lang w:val="uk-UA"/>
        </w:rPr>
        <w:t>свідчить про їхню фрагментарність: навчальні програми здебільшого зосереджені на окремих аспектах − будові боєприпасів, правилах поводження, техніці безпеки або виконанні окремих технічних операцій. Водночас, відсутні навчальні моделі, які б поєднували інженерно</w:t>
      </w:r>
      <w:r w:rsidRPr="003B5892">
        <w:rPr>
          <w:rFonts w:ascii="Times New Roman" w:eastAsia="Aptos" w:hAnsi="Times New Roman" w:cs="Times New Roman"/>
          <w:sz w:val="28"/>
          <w:szCs w:val="28"/>
          <w:lang w:val="uk-UA"/>
        </w:rPr>
        <w:noBreakHyphen/>
        <w:t>технічні знання, алгоритмічні процедури прийняття рішень та практичну підготовку. Існуючі інженерні джерела подають матеріал у вигляді описів конструкцій, але не містять формалізованих алгоритмів вибору підривників і не враховують очікуваний ефект ураження. Цифрові та тренажерні технології розглядаються як перспективні, проте їх інтеграція в освітній процес залишається недостатньою.</w:t>
      </w:r>
    </w:p>
    <w:p w14:paraId="32D11779"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Проблема ускладнюється тим, що навіть сучасні міжнародні стандарти та доктринальні документи регламентують переважно технічні процедури, але не пропонують цілісної навчальної моделі підготовки фахівців. У результаті військовослужбовці не завжди мають сформоване системне розуміння дії боєприпасів, логіки вибору підривників та взаємозв’язку між типом цілі, видом снаряда і режимом спрацювання.</w:t>
      </w:r>
    </w:p>
    <w:p w14:paraId="1A7E3994"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Отже, актуальним є створення навчальної моделі, яка б забезпечувала систематизацію знань про артилерійські боєприпаси, формалізацію алгоритмів прийняття рішень та поетапне формування професійних компетентностей військовослужбовців у процесі підготовки до бойового застосування артилерійських боєприпасів.</w:t>
      </w:r>
    </w:p>
    <w:p w14:paraId="77739437"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b/>
          <w:bCs/>
          <w:sz w:val="28"/>
          <w:szCs w:val="28"/>
          <w:lang w:val="uk-UA"/>
        </w:rPr>
        <w:t xml:space="preserve">Аналіз останніх досліджень і публікацій. </w:t>
      </w:r>
      <w:r w:rsidRPr="003B5892">
        <w:rPr>
          <w:rFonts w:ascii="Times New Roman" w:eastAsia="Aptos" w:hAnsi="Times New Roman" w:cs="Times New Roman"/>
          <w:sz w:val="28"/>
          <w:szCs w:val="28"/>
          <w:lang w:val="uk-UA"/>
        </w:rPr>
        <w:t xml:space="preserve">Проблематика підготовки військовослужбовців до роботи з артилерійськими боєприпасами та підривниками має тривалу історію досліджень, однак сучасний стан наукових праць засвідчує відсутність цілісної навчальної моделі </w:t>
      </w:r>
      <w:r w:rsidRPr="003B5892">
        <w:rPr>
          <w:rFonts w:ascii="Times New Roman" w:eastAsia="Aptos" w:hAnsi="Times New Roman" w:cs="Times New Roman"/>
          <w:bCs/>
          <w:sz w:val="28"/>
          <w:szCs w:val="28"/>
          <w:lang w:val="uk-UA"/>
        </w:rPr>
        <w:t>підготовки військовослужбовців до бойової роботи з артилерійськими боєприпасами</w:t>
      </w:r>
      <w:r w:rsidRPr="003B5892">
        <w:rPr>
          <w:rFonts w:ascii="Times New Roman" w:eastAsia="Aptos" w:hAnsi="Times New Roman" w:cs="Times New Roman"/>
          <w:sz w:val="28"/>
          <w:szCs w:val="28"/>
          <w:lang w:val="uk-UA"/>
        </w:rPr>
        <w:t>. Наявні дослідження охоплюють окремі аспекти підготовки, але не формують комплексної системи, необхідної для ефективного навчання фахівців в умовах високотехнологічної війни.</w:t>
      </w:r>
    </w:p>
    <w:p w14:paraId="2809FDB0"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У вітчизняних роботах [1, 2 ] підкреслюється фрагментарність існуючих методик, орієнтованих переважно на окремі дисципліни або технічні процедури. Автори наголошують на розриві між теоретичною та практичною підготовкою, що ускладнює формування системного розуміння дії боєприпасів, логіки вибору підривників та умов їх застосування. Відсутність таких навчальних моделей призводить до недостатньої готовності військовослужбовців діяти в реальних бойових умовах.</w:t>
      </w:r>
    </w:p>
    <w:p w14:paraId="22561E95"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 xml:space="preserve">Окремий напрям досліджень стосується використання тренажерних систем, симуляторів та цифрових технологій у військовій освіті [3, 4, 5 ]. Автори визнають перспективність таких засобів, проте зазначають, що їх застосування залишається епізодичним, а інтеграція в навчальні програми — недостатньою. </w:t>
      </w:r>
      <w:r w:rsidRPr="003B5892">
        <w:rPr>
          <w:rFonts w:ascii="Times New Roman" w:eastAsia="Aptos" w:hAnsi="Times New Roman" w:cs="Times New Roman"/>
          <w:sz w:val="28"/>
          <w:szCs w:val="28"/>
          <w:lang w:val="uk-UA"/>
        </w:rPr>
        <w:lastRenderedPageBreak/>
        <w:t>Зокрема, 3D</w:t>
      </w:r>
      <w:r w:rsidRPr="003B5892">
        <w:rPr>
          <w:rFonts w:ascii="Times New Roman" w:eastAsia="Aptos" w:hAnsi="Times New Roman" w:cs="Times New Roman"/>
          <w:sz w:val="28"/>
          <w:szCs w:val="28"/>
          <w:lang w:val="uk-UA"/>
        </w:rPr>
        <w:noBreakHyphen/>
        <w:t>моделювання розглядається як ефективний інструмент вивчення складних технічних об’єктів і процесів їх функціонування, але потребує методичного забезпечення та включення в системні навчальні моделі.</w:t>
      </w:r>
    </w:p>
    <w:p w14:paraId="5CE00535"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Технічні аспекти конструкції боєприпасів та порядок їх функціонування детально висвітлені у працях [6, 7, 8].  Проте ці джерела подають матеріал переважно у вигляді описів, без формалізації алгоритмів вибору підривників, без моделювання ефектів ураження та без інтеграції технічних знань у педагогічні моделі.</w:t>
      </w:r>
    </w:p>
    <w:p w14:paraId="19349C3F"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Компетентнісний підхід у військовій освіті розкрито у роботах [9, 10 ]. Дослідники підкреслюють необхідність поетапного формування професійних компетентностей, що передбачає інтеграцію теоретичної, практичної та тренажерної підготовки. Однак існуючі моделі не забезпечують комплексного охоплення всіх етапів і елементів роботи з артилерійськими боєприпасами.</w:t>
      </w:r>
    </w:p>
    <w:p w14:paraId="125AD623"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 xml:space="preserve"> Дослідження зарубіжних публікацій  [11, 12, 13, 14, 15, 16] також вказують на наявність прогалин у підготовці артилерійських фахівців. Автори наголошують на необхідності інтеграції теорії, практики та моделювання, а також на важливості цифрових інструментів у формуванні професійних навичок. Водночас нормативні документи НАТО та армії США ([17, 18, 19, 20] регламентують технічні процедури, але не містять цілісних навчальних моделей.</w:t>
      </w:r>
    </w:p>
    <w:p w14:paraId="41D5A780"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Таким чином, аналіз вищезазначених джерел засвідчує, що попри наявність значної кількості досліджень, відсутня інтегрована навчальна модель, яка б поєднувала інженерно</w:t>
      </w:r>
      <w:r w:rsidRPr="003B5892">
        <w:rPr>
          <w:rFonts w:ascii="Times New Roman" w:eastAsia="Aptos" w:hAnsi="Times New Roman" w:cs="Times New Roman"/>
          <w:sz w:val="28"/>
          <w:szCs w:val="28"/>
          <w:lang w:val="uk-UA"/>
        </w:rPr>
        <w:noBreakHyphen/>
        <w:t>технічні знання, алгоритмічні процедури вибору підривників та компетентнісний підхід до підготовки військовослужбовців. Це визначає актуальність розроблення такої моделі.</w:t>
      </w:r>
    </w:p>
    <w:p w14:paraId="3C87A87A"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uk-UA"/>
        </w:rPr>
      </w:pPr>
      <w:r w:rsidRPr="003B5892">
        <w:rPr>
          <w:rFonts w:ascii="Times New Roman" w:eastAsia="Aptos" w:hAnsi="Times New Roman" w:cs="Times New Roman"/>
          <w:b/>
          <w:bCs/>
          <w:sz w:val="28"/>
          <w:szCs w:val="28"/>
          <w:lang w:val="uk-UA"/>
        </w:rPr>
        <w:t>Метою дослідження</w:t>
      </w:r>
      <w:r w:rsidRPr="003B5892">
        <w:rPr>
          <w:rFonts w:ascii="Times New Roman" w:eastAsia="Aptos" w:hAnsi="Times New Roman" w:cs="Times New Roman"/>
          <w:sz w:val="28"/>
          <w:szCs w:val="28"/>
          <w:lang w:val="uk-UA"/>
        </w:rPr>
        <w:t xml:space="preserve"> є розроблення та наукове обґрунтування навчальної моделі </w:t>
      </w:r>
      <w:r w:rsidRPr="003B5892">
        <w:rPr>
          <w:rFonts w:ascii="Times New Roman" w:eastAsia="Aptos" w:hAnsi="Times New Roman" w:cs="Times New Roman"/>
          <w:bCs/>
          <w:sz w:val="28"/>
          <w:szCs w:val="28"/>
          <w:lang w:val="uk-UA"/>
        </w:rPr>
        <w:t>підготовки військовослужбовців до бойової роботи з артилерійськими боєприпасами</w:t>
      </w:r>
      <w:r w:rsidRPr="003B5892">
        <w:rPr>
          <w:rFonts w:ascii="Times New Roman" w:eastAsia="Aptos" w:hAnsi="Times New Roman" w:cs="Times New Roman"/>
          <w:sz w:val="28"/>
          <w:szCs w:val="28"/>
          <w:lang w:val="uk-UA"/>
        </w:rPr>
        <w:t>, яка забезпечує систематизацію знань, формалізацію алгоритмів прийняття рішень і поетапне формування професійних компетентностей військовослужбовців з підготовки артилерійських боєприпасів до бойового застосування.</w:t>
      </w:r>
    </w:p>
    <w:p w14:paraId="3B571508"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b/>
          <w:bCs/>
          <w:sz w:val="28"/>
          <w:szCs w:val="28"/>
          <w:lang w:val="uk-UA"/>
        </w:rPr>
        <w:t xml:space="preserve">Методи дослідження: </w:t>
      </w:r>
      <w:r w:rsidRPr="003B5892">
        <w:rPr>
          <w:rFonts w:ascii="Times New Roman" w:eastAsia="Aptos" w:hAnsi="Times New Roman" w:cs="Times New Roman"/>
          <w:sz w:val="28"/>
          <w:szCs w:val="28"/>
          <w:lang w:val="uk-UA"/>
        </w:rPr>
        <w:t>аналітичний; структурно-логічний; моделювання; порівняльний аналіз; педагогічне проектування; експертне оцінювання.</w:t>
      </w:r>
    </w:p>
    <w:p w14:paraId="16CE9D0A"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b/>
          <w:bCs/>
          <w:sz w:val="28"/>
          <w:szCs w:val="28"/>
          <w:lang w:val="uk-UA"/>
        </w:rPr>
        <w:t>Виклад основного матеріалу.</w:t>
      </w:r>
      <w:r w:rsidRPr="003B5892">
        <w:rPr>
          <w:rFonts w:ascii="Times New Roman" w:eastAsia="Times New Roman" w:hAnsi="Times New Roman" w:cs="Times New Roman"/>
          <w:kern w:val="0"/>
          <w:sz w:val="24"/>
          <w:szCs w:val="24"/>
          <w:lang w:val="uk-UA" w:eastAsia="en-GB"/>
          <w14:ligatures w14:val="none"/>
        </w:rPr>
        <w:t xml:space="preserve"> </w:t>
      </w:r>
      <w:r w:rsidRPr="003B5892">
        <w:rPr>
          <w:rFonts w:ascii="Times New Roman" w:eastAsia="Aptos" w:hAnsi="Times New Roman" w:cs="Times New Roman"/>
          <w:sz w:val="28"/>
          <w:szCs w:val="28"/>
          <w:lang w:val="uk-UA"/>
        </w:rPr>
        <w:t>Підготовка військовослужбовців до роботи з артилерійськими боєприпасами потребує системного підходу, що поєднує інженерно</w:t>
      </w:r>
      <w:r w:rsidRPr="003B5892">
        <w:rPr>
          <w:rFonts w:ascii="Times New Roman" w:eastAsia="Aptos" w:hAnsi="Times New Roman" w:cs="Times New Roman"/>
          <w:sz w:val="28"/>
          <w:szCs w:val="28"/>
          <w:lang w:val="uk-UA"/>
        </w:rPr>
        <w:noBreakHyphen/>
        <w:t>технічні знання, алгоритмічні процедури прийняття рішень та практичні навички. Вихідною передумовою розроблення навчальної моделі є визначення змісту підготовки, який має відповідати сучасним вимогам бойового застосування артилерії та забезпечувати формування компетентностей, необхідних для виконання завдань за посадою.</w:t>
      </w:r>
    </w:p>
    <w:p w14:paraId="0F6B46E7"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 xml:space="preserve">Артилерійський боєприпас розглядається як складний інженерний виріб, дія якого визначається взаємодією корпусних елементів, вибухової речовини та підривника. Саме підривник задає часові та просторові параметри ураження, тому його вибір і правильне встановлення є критичними для досягнення </w:t>
      </w:r>
      <w:r w:rsidRPr="003B5892">
        <w:rPr>
          <w:rFonts w:ascii="Times New Roman" w:eastAsia="Aptos" w:hAnsi="Times New Roman" w:cs="Times New Roman"/>
          <w:sz w:val="28"/>
          <w:szCs w:val="28"/>
          <w:lang w:val="uk-UA"/>
        </w:rPr>
        <w:lastRenderedPageBreak/>
        <w:t>очікуваного ефекту. У сучасних умовах бойових дій, що характеризуються високою маневреністю, різноманітністю типів цілей і широким застосуванням укриттів, зростає значення правильного поєднання типу снаряда, типу підривника та режиму його спрацювання.</w:t>
      </w:r>
    </w:p>
    <w:p w14:paraId="218BBD39" w14:textId="77777777" w:rsidR="00385184" w:rsidRPr="003B5892" w:rsidRDefault="00385184" w:rsidP="00B6038D">
      <w:pPr>
        <w:tabs>
          <w:tab w:val="left" w:pos="9638"/>
        </w:tabs>
        <w:adjustRightInd w:val="0"/>
        <w:snapToGrid w:val="0"/>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Вибір типу снаряда та підривника має ґрунтуватися на аналізі низки факторів: характеру цілі, ступеня її захищеності, просторового положення, умов місцевості, очікуваного ефекту ураження та ризиків побічних втрат. У сучасних бойових умовах важливим є також урахування можливостей корекції вогню, якості розвідувальної інформації та інтеграції артилерійських засобів у загальний вогневий контур.</w:t>
      </w:r>
    </w:p>
    <w:p w14:paraId="08E6FB1E" w14:textId="77777777" w:rsidR="00385184" w:rsidRPr="003B5892" w:rsidRDefault="00385184" w:rsidP="00B6038D">
      <w:pPr>
        <w:tabs>
          <w:tab w:val="left" w:pos="9638"/>
        </w:tabs>
        <w:adjustRightInd w:val="0"/>
        <w:snapToGrid w:val="0"/>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Дослідження підтвердило, що ефективність вогневого ураження безпосередньо корелює з якістю розвідувальної інформації та точністю вибору режиму роботи підривника. Встановлено, що в умовах високої інтенсивності бойових дій вибір боєприпасу має ґрунтуватися на комплексному аналізі: від фізичного ступеня захищеності об'єкта до ймовірності побічних ефектів у межах загального вогневого контуру.</w:t>
      </w:r>
    </w:p>
    <w:p w14:paraId="2B40E3E6" w14:textId="77777777" w:rsidR="00096C2E" w:rsidRPr="002A5031" w:rsidRDefault="00385184" w:rsidP="00B6038D">
      <w:pPr>
        <w:tabs>
          <w:tab w:val="left" w:pos="9638"/>
        </w:tabs>
        <w:adjustRightInd w:val="0"/>
        <w:snapToGrid w:val="0"/>
        <w:spacing w:after="0" w:line="240" w:lineRule="auto"/>
        <w:ind w:firstLine="709"/>
        <w:jc w:val="both"/>
        <w:rPr>
          <w:rFonts w:ascii="Times New Roman" w:eastAsia="Times New Roman" w:hAnsi="Times New Roman" w:cs="Times New Roman"/>
          <w:bCs/>
          <w:kern w:val="0"/>
          <w:sz w:val="28"/>
          <w:szCs w:val="28"/>
          <w:lang w:val="uk-UA" w:eastAsia="uk-UA"/>
          <w14:ligatures w14:val="none"/>
        </w:rPr>
      </w:pPr>
      <w:r w:rsidRPr="003B5892">
        <w:rPr>
          <w:rFonts w:ascii="Times New Roman" w:eastAsia="Aptos" w:hAnsi="Times New Roman" w:cs="Times New Roman"/>
          <w:sz w:val="28"/>
          <w:szCs w:val="28"/>
          <w:lang w:val="uk-UA"/>
        </w:rPr>
        <w:t>На основі аналізу технічних характеристик боєприпасів, принципів дії підривників і вимог бойового застосування сформовано узагальнений алгоритм вибору та встановлення підривника, який формалізує процес прийняття рішення за схемою «Ціль → Боєприпас → Режим ініціювання → Очікуваний ефект». Даний алгоритм трансформує теоретичні знання у чітку логічну послідовність етапів: від ідентифікації цілі до контролю правильності установок.</w:t>
      </w:r>
      <w:r w:rsidRPr="003B5892">
        <w:rPr>
          <w:rFonts w:ascii="Times New Roman" w:eastAsia="Aptos" w:hAnsi="Times New Roman" w:cs="Times New Roman"/>
          <w:sz w:val="24"/>
          <w:szCs w:val="24"/>
          <w:lang w:val="uk-UA"/>
        </w:rPr>
        <w:t xml:space="preserve"> </w:t>
      </w:r>
      <w:r w:rsidRPr="003B5892">
        <w:rPr>
          <w:rFonts w:ascii="Times New Roman" w:eastAsia="Aptos" w:hAnsi="Times New Roman" w:cs="Times New Roman"/>
          <w:sz w:val="28"/>
          <w:szCs w:val="28"/>
          <w:lang w:val="uk-UA"/>
        </w:rPr>
        <w:t>Він включає шість послідовних етапів: визначення типу цілі; вибір виду снаряда; вибір типу підривника; встановлення параметрів; контроль правильності установок; прогнозування очікуваного ефекту. Така структурованість забезпечує формалізацію процесу прийняття рішень і мінімізує ймовірність помилок.</w:t>
      </w:r>
      <w:r w:rsidR="00096C2E" w:rsidRPr="00096C2E">
        <w:rPr>
          <w:rFonts w:ascii="Times New Roman" w:eastAsia="Times New Roman" w:hAnsi="Times New Roman" w:cs="Times New Roman"/>
          <w:bCs/>
          <w:kern w:val="0"/>
          <w:sz w:val="28"/>
          <w:szCs w:val="28"/>
          <w:lang w:val="uk-UA" w:eastAsia="uk-UA"/>
          <w14:ligatures w14:val="none"/>
        </w:rPr>
        <w:t xml:space="preserve"> </w:t>
      </w:r>
    </w:p>
    <w:p w14:paraId="79B2695C" w14:textId="7FC7B392" w:rsidR="00096C2E" w:rsidRPr="002A5031" w:rsidRDefault="00096C2E" w:rsidP="00096C2E">
      <w:pPr>
        <w:tabs>
          <w:tab w:val="left" w:pos="9638"/>
        </w:tabs>
        <w:spacing w:after="0" w:line="240" w:lineRule="auto"/>
        <w:ind w:firstLine="709"/>
        <w:jc w:val="both"/>
        <w:rPr>
          <w:rFonts w:ascii="Times New Roman" w:eastAsia="Aptos" w:hAnsi="Times New Roman" w:cs="Times New Roman"/>
          <w:sz w:val="28"/>
          <w:szCs w:val="28"/>
          <w:lang w:val="ru-RU"/>
        </w:rPr>
      </w:pPr>
      <w:r w:rsidRPr="003B5892">
        <w:rPr>
          <w:rFonts w:ascii="Times New Roman" w:eastAsia="Times New Roman" w:hAnsi="Times New Roman" w:cs="Times New Roman"/>
          <w:bCs/>
          <w:kern w:val="0"/>
          <w:sz w:val="28"/>
          <w:szCs w:val="28"/>
          <w:lang w:val="uk-UA" w:eastAsia="uk-UA"/>
          <w14:ligatures w14:val="none"/>
        </w:rPr>
        <w:t>На основі</w:t>
      </w:r>
      <w:r w:rsidRPr="003B5892">
        <w:rPr>
          <w:rFonts w:ascii="Times New Roman" w:eastAsia="Times New Roman" w:hAnsi="Times New Roman" w:cs="Times New Roman"/>
          <w:kern w:val="0"/>
          <w:sz w:val="28"/>
          <w:szCs w:val="28"/>
          <w:lang w:val="uk-UA" w:eastAsia="uk-UA"/>
          <w14:ligatures w14:val="none"/>
        </w:rPr>
        <w:t xml:space="preserve"> отриманих результатів на рис.1 представлено фрагмент алгоритму</w:t>
      </w:r>
      <w:r w:rsidRPr="003B5892">
        <w:rPr>
          <w:rFonts w:ascii="Times New Roman" w:eastAsia="Aptos" w:hAnsi="Times New Roman" w:cs="Times New Roman"/>
          <w:sz w:val="28"/>
          <w:szCs w:val="28"/>
          <w:lang w:val="uk-UA"/>
        </w:rPr>
        <w:t>, що відображає ключові етапи вибору типу підривника залежно від характеру цілі.</w:t>
      </w:r>
    </w:p>
    <w:p w14:paraId="17C4D040" w14:textId="77777777" w:rsidR="00096C2E" w:rsidRPr="003B5892" w:rsidRDefault="00096C2E" w:rsidP="00096C2E">
      <w:pPr>
        <w:tabs>
          <w:tab w:val="left" w:pos="9638"/>
        </w:tabs>
        <w:spacing w:after="0" w:line="240" w:lineRule="auto"/>
        <w:ind w:firstLine="709"/>
        <w:jc w:val="both"/>
        <w:rPr>
          <w:rFonts w:ascii="Times New Roman" w:eastAsia="Aptos" w:hAnsi="Times New Roman" w:cs="Times New Roman"/>
          <w:sz w:val="28"/>
          <w:szCs w:val="28"/>
          <w:lang w:val="uk-UA"/>
        </w:rPr>
      </w:pPr>
      <w:r>
        <w:rPr>
          <w:rFonts w:ascii="Times New Roman" w:eastAsia="Aptos" w:hAnsi="Times New Roman" w:cs="Times New Roman"/>
          <w:sz w:val="28"/>
          <w:szCs w:val="28"/>
          <w:lang w:val="uk-UA"/>
        </w:rPr>
        <w:t>Наведена т</w:t>
      </w:r>
      <w:r w:rsidRPr="003B5892">
        <w:rPr>
          <w:rFonts w:ascii="Times New Roman" w:eastAsia="Aptos" w:hAnsi="Times New Roman" w:cs="Times New Roman"/>
          <w:sz w:val="28"/>
          <w:szCs w:val="28"/>
          <w:lang w:val="uk-UA"/>
        </w:rPr>
        <w:t>аблиця відображає три базові ситуації бойового застосування: ураження відкритої живої сили, укритої живої сили та легкої техніки. Для кожного типу цілі визначено оптимальний тип підривника, параметри його установки та очікуваний ефект дії. Така структуризація дозволяє формалізувати процес прийняття рішень, забезпечити узгодженість між технічними характеристиками боєприпасу й тактичними умовами, а також мінімізувати ймовірність помилок під час бойової роботи.</w:t>
      </w:r>
    </w:p>
    <w:p w14:paraId="7475EF1A" w14:textId="77777777" w:rsidR="00096C2E" w:rsidRPr="003B5892" w:rsidRDefault="00096C2E" w:rsidP="00096C2E">
      <w:pPr>
        <w:tabs>
          <w:tab w:val="left" w:pos="9638"/>
        </w:tabs>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Рисунок є складовою узагальненого алгоритму моделі, що поєднує інженерно</w:t>
      </w:r>
      <w:r w:rsidRPr="003B5892">
        <w:rPr>
          <w:rFonts w:ascii="Times New Roman" w:eastAsia="Aptos" w:hAnsi="Times New Roman" w:cs="Times New Roman"/>
          <w:sz w:val="28"/>
          <w:szCs w:val="28"/>
          <w:lang w:val="uk-UA"/>
        </w:rPr>
        <w:noBreakHyphen/>
        <w:t>технічні знання з практичними навичками військовослужбовців, формуючи основу для подальшої інтеграції у навчальну систему.</w:t>
      </w:r>
    </w:p>
    <w:p w14:paraId="4A9A2D33" w14:textId="77777777" w:rsidR="00096C2E" w:rsidRPr="00096C2E" w:rsidRDefault="00096C2E" w:rsidP="00096C2E">
      <w:pPr>
        <w:tabs>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p>
    <w:p w14:paraId="203C6559" w14:textId="4C80E868"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1454CD75" w14:textId="77777777" w:rsidR="00385184" w:rsidRPr="003B5892" w:rsidRDefault="00385184" w:rsidP="00023291">
      <w:pPr>
        <w:tabs>
          <w:tab w:val="left" w:pos="9638"/>
        </w:tabs>
        <w:spacing w:after="0" w:line="240" w:lineRule="auto"/>
        <w:ind w:firstLine="709"/>
        <w:rPr>
          <w:rFonts w:ascii="Times New Roman" w:eastAsia="Aptos" w:hAnsi="Times New Roman" w:cs="Times New Roman"/>
          <w:sz w:val="28"/>
          <w:szCs w:val="28"/>
          <w:lang w:val="uk-UA"/>
        </w:rPr>
      </w:pPr>
    </w:p>
    <w:p w14:paraId="145ABD3A" w14:textId="77777777" w:rsidR="00385184" w:rsidRPr="003B5892" w:rsidRDefault="00385184" w:rsidP="00023291">
      <w:pPr>
        <w:tabs>
          <w:tab w:val="left" w:pos="9638"/>
        </w:tabs>
        <w:spacing w:after="0" w:line="240" w:lineRule="auto"/>
        <w:ind w:firstLine="709"/>
        <w:rPr>
          <w:rFonts w:ascii="Times New Roman" w:eastAsia="Aptos" w:hAnsi="Times New Roman" w:cs="Times New Roman"/>
          <w:sz w:val="28"/>
          <w:szCs w:val="28"/>
          <w:lang w:val="uk-UA"/>
        </w:rPr>
      </w:pPr>
      <w:r w:rsidRPr="003B5892">
        <w:rPr>
          <w:rFonts w:ascii="Times New Roman" w:eastAsia="Aptos" w:hAnsi="Times New Roman" w:cs="Times New Roman"/>
          <w:noProof/>
          <w:sz w:val="28"/>
          <w:szCs w:val="28"/>
          <w:lang w:val="uk-UA" w:eastAsia="uk-UA"/>
        </w:rPr>
        <w:lastRenderedPageBreak/>
        <w:drawing>
          <wp:inline distT="0" distB="0" distL="0" distR="0" wp14:anchorId="76FD62B3" wp14:editId="71C073BF">
            <wp:extent cx="5646485" cy="2391854"/>
            <wp:effectExtent l="0" t="0" r="0" b="8890"/>
            <wp:docPr id="37994279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172"/>
                    <a:srcRect l="28952" t="40926" r="25370" b="26481"/>
                    <a:stretch/>
                  </pic:blipFill>
                  <pic:spPr>
                    <a:xfrm>
                      <a:off x="0" y="0"/>
                      <a:ext cx="5705485" cy="2416847"/>
                    </a:xfrm>
                    <a:prstGeom prst="rect">
                      <a:avLst/>
                    </a:prstGeom>
                  </pic:spPr>
                </pic:pic>
              </a:graphicData>
            </a:graphic>
          </wp:inline>
        </w:drawing>
      </w:r>
    </w:p>
    <w:p w14:paraId="730252E1" w14:textId="39D5A005" w:rsidR="00385184" w:rsidRDefault="00385184" w:rsidP="00835182">
      <w:pPr>
        <w:tabs>
          <w:tab w:val="left" w:pos="9638"/>
        </w:tabs>
        <w:spacing w:after="0" w:line="240" w:lineRule="auto"/>
        <w:ind w:firstLine="709"/>
        <w:jc w:val="center"/>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Рис. 1.  Фрагмент алгоритму вибору підривника</w:t>
      </w:r>
      <w:r w:rsidR="00835182">
        <w:rPr>
          <w:rFonts w:ascii="Times New Roman" w:eastAsia="Aptos" w:hAnsi="Times New Roman" w:cs="Times New Roman"/>
          <w:sz w:val="28"/>
          <w:szCs w:val="28"/>
          <w:lang w:val="uk-UA"/>
        </w:rPr>
        <w:t xml:space="preserve"> для артилерійських боєприпасів</w:t>
      </w:r>
    </w:p>
    <w:p w14:paraId="5368C172" w14:textId="77777777" w:rsidR="00835182" w:rsidRPr="003B5892" w:rsidRDefault="00835182" w:rsidP="00835182">
      <w:pPr>
        <w:tabs>
          <w:tab w:val="left" w:pos="9638"/>
        </w:tabs>
        <w:spacing w:after="0" w:line="240" w:lineRule="auto"/>
        <w:ind w:firstLine="709"/>
        <w:jc w:val="center"/>
        <w:rPr>
          <w:rFonts w:ascii="Times New Roman" w:eastAsia="Aptos" w:hAnsi="Times New Roman" w:cs="Times New Roman"/>
          <w:sz w:val="28"/>
          <w:szCs w:val="28"/>
          <w:lang w:val="uk-UA"/>
        </w:rPr>
      </w:pPr>
    </w:p>
    <w:p w14:paraId="50AF066C" w14:textId="29755835" w:rsidR="00385184" w:rsidRDefault="00385184" w:rsidP="00023291">
      <w:pPr>
        <w:tabs>
          <w:tab w:val="left" w:pos="9638"/>
        </w:tabs>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 xml:space="preserve"> Використовуючи даний  алгоритм, розроблено навчальну модель підготовки військовослужбовців до роботи з артилерійськими боєприпасами. Модель складається з шести взаємопов’язаних блоків, кожен з яких формує окремий сегмент професійної компетентності: від ознайомлення з навчальним посібником і 3D</w:t>
      </w:r>
      <w:r w:rsidRPr="003B5892">
        <w:rPr>
          <w:rFonts w:ascii="Times New Roman" w:eastAsia="Aptos" w:hAnsi="Times New Roman" w:cs="Times New Roman"/>
          <w:sz w:val="28"/>
          <w:szCs w:val="28"/>
          <w:lang w:val="uk-UA"/>
        </w:rPr>
        <w:noBreakHyphen/>
        <w:t xml:space="preserve">моделями до практичної роботи з підривниками та навчальними боєприпасами (рис. 2). </w:t>
      </w:r>
    </w:p>
    <w:p w14:paraId="449AD8E6" w14:textId="77777777" w:rsidR="006025B7" w:rsidRPr="003B5892" w:rsidRDefault="006025B7" w:rsidP="006025B7">
      <w:pPr>
        <w:tabs>
          <w:tab w:val="left" w:pos="9638"/>
        </w:tabs>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Логіка моделі передбачає поступове ускладнення змісту, поєднання теоретичної та практичної, в тому числі тренажерної підготовки, а також систематичне закріплення навичок.</w:t>
      </w:r>
    </w:p>
    <w:p w14:paraId="037FD862" w14:textId="77777777" w:rsidR="006025B7" w:rsidRPr="003B5892" w:rsidRDefault="006025B7" w:rsidP="006025B7">
      <w:pPr>
        <w:tabs>
          <w:tab w:val="left" w:pos="9638"/>
        </w:tabs>
        <w:spacing w:after="0" w:line="240" w:lineRule="auto"/>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Запропонована модель забезпечує інтеграцію інженерно</w:t>
      </w:r>
      <w:r w:rsidRPr="003B5892">
        <w:rPr>
          <w:rFonts w:ascii="Times New Roman" w:eastAsia="Aptos" w:hAnsi="Times New Roman" w:cs="Times New Roman"/>
          <w:sz w:val="28"/>
          <w:szCs w:val="28"/>
          <w:lang w:val="uk-UA"/>
        </w:rPr>
        <w:noBreakHyphen/>
        <w:t>технічних знань, алгоритмічних процедур і практичних дій у єдину систему підготовки, що відповідає сучасним вимогам бойового застосування артилерії та сприяє формуванню стійких професійних компетентностей військовослужбовців</w:t>
      </w:r>
      <w:r w:rsidRPr="003B5892">
        <w:rPr>
          <w:rFonts w:ascii="Times New Roman" w:eastAsia="Aptos" w:hAnsi="Times New Roman" w:cs="Times New Roman"/>
          <w:b/>
          <w:bCs/>
          <w:sz w:val="28"/>
          <w:szCs w:val="28"/>
          <w:lang w:val="uk-UA"/>
        </w:rPr>
        <w:t>.</w:t>
      </w:r>
    </w:p>
    <w:p w14:paraId="5A9CDF7F" w14:textId="77777777" w:rsidR="006025B7" w:rsidRPr="003B5892" w:rsidRDefault="006025B7" w:rsidP="006025B7">
      <w:pPr>
        <w:tabs>
          <w:tab w:val="left" w:pos="9638"/>
        </w:tabs>
        <w:spacing w:after="0" w:line="240" w:lineRule="auto"/>
        <w:ind w:firstLine="709"/>
        <w:jc w:val="both"/>
        <w:rPr>
          <w:rFonts w:ascii="Times New Roman" w:eastAsia="Aptos" w:hAnsi="Times New Roman" w:cs="Times New Roman"/>
          <w:b/>
          <w:bCs/>
          <w:sz w:val="28"/>
          <w:szCs w:val="28"/>
          <w:lang w:val="uk-UA"/>
        </w:rPr>
      </w:pPr>
      <w:r w:rsidRPr="003B5892">
        <w:rPr>
          <w:rFonts w:ascii="Times New Roman" w:eastAsia="Aptos" w:hAnsi="Times New Roman" w:cs="Times New Roman"/>
          <w:sz w:val="24"/>
          <w:szCs w:val="24"/>
          <w:lang w:val="uk-UA"/>
        </w:rPr>
        <w:t>Е</w:t>
      </w:r>
      <w:r w:rsidRPr="003B5892">
        <w:rPr>
          <w:rFonts w:ascii="Times New Roman" w:eastAsia="Aptos" w:hAnsi="Times New Roman" w:cs="Times New Roman"/>
          <w:sz w:val="28"/>
          <w:szCs w:val="28"/>
          <w:lang w:val="uk-UA"/>
        </w:rPr>
        <w:t xml:space="preserve">кспертне оцінювання ефективності розробленої навчальної моделі здійснювалося на базі </w:t>
      </w:r>
      <w:r w:rsidRPr="003B5892">
        <w:rPr>
          <w:rFonts w:ascii="Times New Roman" w:eastAsia="Aptos" w:hAnsi="Times New Roman" w:cs="Times New Roman"/>
          <w:sz w:val="28"/>
          <w:szCs w:val="28"/>
          <w:shd w:val="clear" w:color="auto" w:fill="FFFFFF"/>
          <w:lang w:val="uk-UA"/>
        </w:rPr>
        <w:t>кафедри</w:t>
      </w:r>
      <w:r w:rsidRPr="003B5892">
        <w:rPr>
          <w:rFonts w:ascii="Times New Roman" w:eastAsia="Aptos" w:hAnsi="Times New Roman" w:cs="Times New Roman"/>
          <w:sz w:val="28"/>
          <w:szCs w:val="28"/>
          <w:shd w:val="clear" w:color="auto" w:fill="FFFFFF"/>
          <w:lang w:val="en-GB"/>
        </w:rPr>
        <w:t> </w:t>
      </w:r>
      <w:r w:rsidRPr="003B5892">
        <w:rPr>
          <w:rFonts w:ascii="Times New Roman" w:eastAsia="Aptos" w:hAnsi="Times New Roman" w:cs="Times New Roman"/>
          <w:sz w:val="28"/>
          <w:szCs w:val="28"/>
          <w:shd w:val="clear" w:color="auto" w:fill="FFFFFF"/>
          <w:lang w:val="uk-UA"/>
        </w:rPr>
        <w:t>військової підготовки</w:t>
      </w:r>
      <w:r w:rsidRPr="003B5892">
        <w:rPr>
          <w:rFonts w:ascii="Times New Roman" w:eastAsia="Aptos" w:hAnsi="Times New Roman" w:cs="Times New Roman"/>
          <w:sz w:val="28"/>
          <w:szCs w:val="28"/>
          <w:shd w:val="clear" w:color="auto" w:fill="FFFFFF"/>
          <w:lang w:val="en-GB"/>
        </w:rPr>
        <w:t> </w:t>
      </w:r>
      <w:r w:rsidRPr="003B5892">
        <w:rPr>
          <w:rFonts w:ascii="Times New Roman" w:eastAsia="Aptos" w:hAnsi="Times New Roman" w:cs="Times New Roman"/>
          <w:sz w:val="28"/>
          <w:szCs w:val="28"/>
          <w:shd w:val="clear" w:color="auto" w:fill="FFFFFF"/>
          <w:lang w:val="uk-UA"/>
        </w:rPr>
        <w:t xml:space="preserve">Сумського державного університету </w:t>
      </w:r>
      <w:r w:rsidRPr="003B5892">
        <w:rPr>
          <w:rFonts w:ascii="Times New Roman" w:eastAsia="Aptos" w:hAnsi="Times New Roman" w:cs="Times New Roman"/>
          <w:sz w:val="28"/>
          <w:szCs w:val="28"/>
          <w:lang w:val="uk-UA"/>
        </w:rPr>
        <w:t>за участю трьох груп респондентів у форматі анонімного анкетування: слухачів (курсантів) – 42 чол.; науково</w:t>
      </w:r>
      <w:r w:rsidRPr="003B5892">
        <w:rPr>
          <w:rFonts w:ascii="Times New Roman" w:eastAsia="Aptos" w:hAnsi="Times New Roman" w:cs="Times New Roman"/>
          <w:sz w:val="28"/>
          <w:szCs w:val="28"/>
          <w:lang w:val="uk-UA"/>
        </w:rPr>
        <w:noBreakHyphen/>
        <w:t>педагогічних працівників – 12 чол.; військовослужбовців бойових підрозділів, які мають досвід роботи з артилерійськими боєприпасами –  9 чол.</w:t>
      </w:r>
    </w:p>
    <w:p w14:paraId="4F36F84E" w14:textId="77777777" w:rsidR="006025B7" w:rsidRPr="003B5892" w:rsidRDefault="006025B7" w:rsidP="006025B7">
      <w:pPr>
        <w:tabs>
          <w:tab w:val="left" w:pos="9638"/>
        </w:tabs>
        <w:spacing w:after="0" w:line="320" w:lineRule="exact"/>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Метою оцінювання було визначення: рівня зрозумілості матеріалу; практичної корисності моделі; зручності алгоритму вибору підривника; впливу моделі на якість підготовки; загальної ефективності навчання.</w:t>
      </w:r>
    </w:p>
    <w:p w14:paraId="0B1FA0A6" w14:textId="77777777" w:rsidR="006025B7" w:rsidRPr="003B5892" w:rsidRDefault="006025B7" w:rsidP="006025B7">
      <w:pPr>
        <w:tabs>
          <w:tab w:val="left" w:pos="9638"/>
        </w:tabs>
        <w:spacing w:after="0" w:line="320" w:lineRule="exact"/>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Основні показники опитування слухачів:</w:t>
      </w:r>
      <w:r w:rsidRPr="003B5892">
        <w:rPr>
          <w:rFonts w:ascii="Times New Roman" w:eastAsia="Times New Roman" w:hAnsi="Times New Roman" w:cs="Times New Roman"/>
          <w:kern w:val="0"/>
          <w:sz w:val="24"/>
          <w:szCs w:val="24"/>
          <w:lang w:val="uk-UA" w:eastAsia="en-GB"/>
          <w14:ligatures w14:val="none"/>
        </w:rPr>
        <w:t xml:space="preserve"> </w:t>
      </w:r>
      <w:r w:rsidRPr="003B5892">
        <w:rPr>
          <w:rFonts w:ascii="Times New Roman" w:eastAsia="Aptos" w:hAnsi="Times New Roman" w:cs="Times New Roman"/>
          <w:sz w:val="28"/>
          <w:szCs w:val="28"/>
          <w:lang w:val="uk-UA"/>
        </w:rPr>
        <w:t>89% — зазначили, що алгоритм вибору підривника значно спростив прийняття рішень; 84% — відзначили, що 3D</w:t>
      </w:r>
      <w:r w:rsidRPr="003B5892">
        <w:rPr>
          <w:rFonts w:ascii="Times New Roman" w:eastAsia="Aptos" w:hAnsi="Times New Roman" w:cs="Times New Roman"/>
          <w:sz w:val="28"/>
          <w:szCs w:val="28"/>
          <w:lang w:val="uk-UA"/>
        </w:rPr>
        <w:noBreakHyphen/>
        <w:t>моделі допомогли краще зрозуміти будову підривників; 92% — підтвердили, що поетапна структура моделі полегшує засвоєння матеріалу; 81% — відзначили зменшення кількості помилок під час практичних занять.</w:t>
      </w:r>
    </w:p>
    <w:p w14:paraId="54E3DCCF" w14:textId="77777777" w:rsidR="006025B7" w:rsidRDefault="006025B7"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33AAB77E" w14:textId="33623C45" w:rsidR="006025B7" w:rsidRDefault="006025B7" w:rsidP="00023291">
      <w:pPr>
        <w:tabs>
          <w:tab w:val="left" w:pos="9638"/>
        </w:tabs>
        <w:spacing w:after="0" w:line="240" w:lineRule="auto"/>
        <w:ind w:firstLine="709"/>
        <w:jc w:val="both"/>
        <w:rPr>
          <w:rFonts w:ascii="Times New Roman" w:eastAsia="Aptos" w:hAnsi="Times New Roman" w:cs="Times New Roman"/>
          <w:sz w:val="28"/>
          <w:szCs w:val="28"/>
          <w:lang w:val="uk-UA"/>
        </w:rPr>
      </w:pPr>
      <w:r w:rsidRPr="003B5892">
        <w:rPr>
          <w:rFonts w:ascii="Arial" w:eastAsia="Aptos" w:hAnsi="Arial" w:cs="Arial"/>
          <w:b/>
          <w:bCs/>
          <w:noProof/>
          <w:sz w:val="24"/>
          <w:szCs w:val="24"/>
          <w:lang w:val="uk-UA" w:eastAsia="uk-UA"/>
        </w:rPr>
        <w:lastRenderedPageBreak/>
        <mc:AlternateContent>
          <mc:Choice Requires="wpg">
            <w:drawing>
              <wp:anchor distT="0" distB="0" distL="114300" distR="114300" simplePos="0" relativeHeight="251756544" behindDoc="0" locked="0" layoutInCell="1" allowOverlap="1" wp14:anchorId="7F256264" wp14:editId="339A4B28">
                <wp:simplePos x="0" y="0"/>
                <wp:positionH relativeFrom="margin">
                  <wp:posOffset>438331</wp:posOffset>
                </wp:positionH>
                <wp:positionV relativeFrom="paragraph">
                  <wp:posOffset>-45658</wp:posOffset>
                </wp:positionV>
                <wp:extent cx="5430097" cy="5929782"/>
                <wp:effectExtent l="54928" t="40322" r="16192" b="130493"/>
                <wp:wrapNone/>
                <wp:docPr id="1980406829" name="Групувати 302"/>
                <wp:cNvGraphicFramePr/>
                <a:graphic xmlns:a="http://schemas.openxmlformats.org/drawingml/2006/main">
                  <a:graphicData uri="http://schemas.microsoft.com/office/word/2010/wordprocessingGroup">
                    <wpg:wgp>
                      <wpg:cNvGrpSpPr/>
                      <wpg:grpSpPr>
                        <a:xfrm rot="16200000">
                          <a:off x="0" y="0"/>
                          <a:ext cx="5430097" cy="5929782"/>
                          <a:chOff x="0" y="0"/>
                          <a:chExt cx="6694736" cy="4453416"/>
                        </a:xfrm>
                      </wpg:grpSpPr>
                      <wpg:grpSp>
                        <wpg:cNvPr id="1365066559" name="Групувати 1577462968"/>
                        <wpg:cNvGrpSpPr/>
                        <wpg:grpSpPr>
                          <a:xfrm>
                            <a:off x="0" y="0"/>
                            <a:ext cx="6694736" cy="4453416"/>
                            <a:chOff x="0" y="0"/>
                            <a:chExt cx="6694736" cy="4453416"/>
                          </a:xfrm>
                        </wpg:grpSpPr>
                        <wpg:grpSp>
                          <wpg:cNvPr id="482460852" name="Групувати 1750934246"/>
                          <wpg:cNvGrpSpPr/>
                          <wpg:grpSpPr>
                            <a:xfrm>
                              <a:off x="0" y="0"/>
                              <a:ext cx="6694736" cy="4453416"/>
                              <a:chOff x="0" y="0"/>
                              <a:chExt cx="6694736" cy="4453416"/>
                            </a:xfrm>
                          </wpg:grpSpPr>
                          <wps:wsp>
                            <wps:cNvPr id="316841699" name="Сполучна лінія уступом 101"/>
                            <wps:cNvCnPr/>
                            <wps:spPr>
                              <a:xfrm rot="5400000">
                                <a:off x="3054136" y="477326"/>
                                <a:ext cx="526884" cy="1"/>
                              </a:xfrm>
                              <a:prstGeom prst="bentConnector3">
                                <a:avLst>
                                  <a:gd name="adj1" fmla="val 50000"/>
                                </a:avLst>
                              </a:prstGeom>
                              <a:noFill/>
                              <a:ln w="19050" cap="flat" cmpd="sng" algn="ctr">
                                <a:solidFill>
                                  <a:srgbClr val="156082"/>
                                </a:solidFill>
                                <a:prstDash val="solid"/>
                                <a:miter lim="800000"/>
                                <a:tailEnd type="triangle"/>
                              </a:ln>
                              <a:effectLst/>
                            </wps:spPr>
                            <wps:bodyPr/>
                          </wps:wsp>
                          <wpg:grpSp>
                            <wpg:cNvPr id="1866270951" name="Групувати 811611134"/>
                            <wpg:cNvGrpSpPr/>
                            <wpg:grpSpPr>
                              <a:xfrm>
                                <a:off x="0" y="0"/>
                                <a:ext cx="6694736" cy="4453416"/>
                                <a:chOff x="0" y="0"/>
                                <a:chExt cx="6694736" cy="4453416"/>
                              </a:xfrm>
                            </wpg:grpSpPr>
                            <wps:wsp>
                              <wps:cNvPr id="1120716823" name="Прямокутник 1090261992"/>
                              <wps:cNvSpPr/>
                              <wps:spPr>
                                <a:xfrm flipH="1">
                                  <a:off x="2383633" y="0"/>
                                  <a:ext cx="1867890" cy="213884"/>
                                </a:xfrm>
                                <a:prstGeom prst="rect">
                                  <a:avLst/>
                                </a:prstGeom>
                                <a:solidFill>
                                  <a:srgbClr val="4EA72E">
                                    <a:lumMod val="40000"/>
                                    <a:lumOff val="60000"/>
                                  </a:srgbClr>
                                </a:solidFill>
                                <a:ln>
                                  <a:noFill/>
                                </a:ln>
                                <a:effectLst>
                                  <a:outerShdw blurRad="57150" dist="19050" dir="5400000" algn="ctr" rotWithShape="0">
                                    <a:srgbClr val="000000">
                                      <a:alpha val="63000"/>
                                    </a:srgbClr>
                                  </a:outerShdw>
                                </a:effectLst>
                              </wps:spPr>
                              <wps:txbx>
                                <w:txbxContent>
                                  <w:p w14:paraId="4DEF5F2C" w14:textId="77777777" w:rsidR="00F25FCF" w:rsidRPr="003B5892" w:rsidRDefault="00F25FCF" w:rsidP="00385184">
                                    <w:pPr>
                                      <w:jc w:val="center"/>
                                      <w:rPr>
                                        <w:rFonts w:ascii="Arial" w:hAnsi="Arial" w:cs="Arial"/>
                                        <w:b/>
                                        <w:bCs/>
                                        <w:color w:val="000000"/>
                                        <w:kern w:val="24"/>
                                      </w:rPr>
                                    </w:pPr>
                                    <w:r w:rsidRPr="003B5892">
                                      <w:rPr>
                                        <w:rFonts w:ascii="Arial" w:hAnsi="Arial" w:cs="Arial"/>
                                        <w:b/>
                                        <w:bCs/>
                                        <w:color w:val="000000"/>
                                        <w:kern w:val="24"/>
                                      </w:rPr>
                                      <w:t>Інструктор спеціаліст</w:t>
                                    </w:r>
                                  </w:p>
                                </w:txbxContent>
                              </wps:txbx>
                              <wps:bodyPr rtlCol="0" anchor="ctr"/>
                            </wps:wsp>
                            <wpg:grpSp>
                              <wpg:cNvPr id="1144529802" name="Групувати 601323648"/>
                              <wpg:cNvGrpSpPr/>
                              <wpg:grpSpPr>
                                <a:xfrm>
                                  <a:off x="0" y="106942"/>
                                  <a:ext cx="6694736" cy="4346474"/>
                                  <a:chOff x="0" y="106942"/>
                                  <a:chExt cx="6694736" cy="4346474"/>
                                </a:xfrm>
                              </wpg:grpSpPr>
                              <wps:wsp>
                                <wps:cNvPr id="1804123429" name="Сполучна лінія уступом 98"/>
                                <wps:cNvCnPr/>
                                <wps:spPr>
                                  <a:xfrm rot="16200000" flipH="1">
                                    <a:off x="4149553" y="-618091"/>
                                    <a:ext cx="539340" cy="2203288"/>
                                  </a:xfrm>
                                  <a:prstGeom prst="bentConnector3">
                                    <a:avLst>
                                      <a:gd name="adj1" fmla="val 50000"/>
                                    </a:avLst>
                                  </a:prstGeom>
                                  <a:noFill/>
                                  <a:ln w="19050" cap="flat" cmpd="sng" algn="ctr">
                                    <a:solidFill>
                                      <a:srgbClr val="156082"/>
                                    </a:solidFill>
                                    <a:prstDash val="solid"/>
                                    <a:miter lim="800000"/>
                                    <a:tailEnd type="triangle"/>
                                  </a:ln>
                                  <a:effectLst/>
                                </wps:spPr>
                                <wps:bodyPr/>
                              </wps:wsp>
                              <wpg:grpSp>
                                <wpg:cNvPr id="1348722078" name="Групувати 186257769"/>
                                <wpg:cNvGrpSpPr/>
                                <wpg:grpSpPr>
                                  <a:xfrm>
                                    <a:off x="0" y="106942"/>
                                    <a:ext cx="6694736" cy="4346474"/>
                                    <a:chOff x="0" y="106942"/>
                                    <a:chExt cx="6694736" cy="4346474"/>
                                  </a:xfrm>
                                </wpg:grpSpPr>
                                <wps:wsp>
                                  <wps:cNvPr id="443141643" name="Сполучна лінія уступом 93"/>
                                  <wps:cNvCnPr/>
                                  <wps:spPr>
                                    <a:xfrm rot="5400000">
                                      <a:off x="1919171" y="-641855"/>
                                      <a:ext cx="542669" cy="2254146"/>
                                    </a:xfrm>
                                    <a:prstGeom prst="bentConnector3">
                                      <a:avLst/>
                                    </a:prstGeom>
                                    <a:noFill/>
                                    <a:ln w="19050" cap="flat" cmpd="sng" algn="ctr">
                                      <a:solidFill>
                                        <a:srgbClr val="156082"/>
                                      </a:solidFill>
                                      <a:prstDash val="solid"/>
                                      <a:miter lim="800000"/>
                                      <a:tailEnd type="triangle"/>
                                    </a:ln>
                                    <a:effectLst/>
                                  </wps:spPr>
                                  <wps:bodyPr/>
                                </wps:wsp>
                                <wps:wsp>
                                  <wps:cNvPr id="731258431" name="Сполучна лінія уступом 104"/>
                                  <wps:cNvCnPr/>
                                  <wps:spPr>
                                    <a:xfrm rot="10800000" flipV="1">
                                      <a:off x="101109" y="106942"/>
                                      <a:ext cx="2282525" cy="2603000"/>
                                    </a:xfrm>
                                    <a:prstGeom prst="bentConnector3">
                                      <a:avLst>
                                        <a:gd name="adj1" fmla="val 110015"/>
                                      </a:avLst>
                                    </a:prstGeom>
                                    <a:noFill/>
                                    <a:ln w="19050" cap="flat" cmpd="sng" algn="ctr">
                                      <a:solidFill>
                                        <a:srgbClr val="156082"/>
                                      </a:solidFill>
                                      <a:prstDash val="solid"/>
                                      <a:miter lim="800000"/>
                                      <a:tailEnd type="triangle"/>
                                    </a:ln>
                                    <a:effectLst/>
                                  </wps:spPr>
                                  <wps:bodyPr/>
                                </wps:wsp>
                                <wps:wsp>
                                  <wps:cNvPr id="843169004" name="Сполучна лінія уступом 119"/>
                                  <wps:cNvCnPr/>
                                  <wps:spPr>
                                    <a:xfrm rot="16200000" flipH="1">
                                      <a:off x="3387895" y="924492"/>
                                      <a:ext cx="2567821" cy="2203289"/>
                                    </a:xfrm>
                                    <a:prstGeom prst="bentConnector4">
                                      <a:avLst>
                                        <a:gd name="adj1" fmla="val -2200"/>
                                        <a:gd name="adj2" fmla="val 110375"/>
                                      </a:avLst>
                                    </a:prstGeom>
                                    <a:noFill/>
                                    <a:ln w="19050" cap="flat" cmpd="sng" algn="ctr">
                                      <a:solidFill>
                                        <a:srgbClr val="156082"/>
                                      </a:solidFill>
                                      <a:prstDash val="solid"/>
                                      <a:miter lim="800000"/>
                                      <a:tailEnd type="triangle"/>
                                    </a:ln>
                                    <a:effectLst/>
                                  </wps:spPr>
                                  <wps:bodyPr/>
                                </wps:wsp>
                                <wpg:grpSp>
                                  <wpg:cNvPr id="1591088603" name="Групувати 1301527718"/>
                                  <wpg:cNvGrpSpPr/>
                                  <wpg:grpSpPr>
                                    <a:xfrm>
                                      <a:off x="0" y="753224"/>
                                      <a:ext cx="6694736" cy="3700192"/>
                                      <a:chOff x="0" y="753224"/>
                                      <a:chExt cx="6694736" cy="3700192"/>
                                    </a:xfrm>
                                  </wpg:grpSpPr>
                                  <wpg:grpSp>
                                    <wpg:cNvPr id="595229066" name="Групувати 1382871608"/>
                                    <wpg:cNvGrpSpPr/>
                                    <wpg:grpSpPr>
                                      <a:xfrm>
                                        <a:off x="0" y="753224"/>
                                        <a:ext cx="6694736" cy="3700192"/>
                                        <a:chOff x="0" y="753224"/>
                                        <a:chExt cx="7742600" cy="4439820"/>
                                      </a:xfrm>
                                    </wpg:grpSpPr>
                                    <wpg:grpSp>
                                      <wpg:cNvPr id="1573761380" name="Групувати 264902963"/>
                                      <wpg:cNvGrpSpPr/>
                                      <wpg:grpSpPr>
                                        <a:xfrm>
                                          <a:off x="0" y="753224"/>
                                          <a:ext cx="7617251" cy="2204796"/>
                                          <a:chOff x="0" y="753224"/>
                                          <a:chExt cx="7617251" cy="2204796"/>
                                        </a:xfrm>
                                      </wpg:grpSpPr>
                                      <wpg:grpSp>
                                        <wpg:cNvPr id="705023413" name="Групувати 60920769"/>
                                        <wpg:cNvGrpSpPr/>
                                        <wpg:grpSpPr>
                                          <a:xfrm>
                                            <a:off x="2552619" y="761663"/>
                                            <a:ext cx="2615786" cy="2172913"/>
                                            <a:chOff x="2552618" y="761664"/>
                                            <a:chExt cx="3004484" cy="2419416"/>
                                          </a:xfrm>
                                        </wpg:grpSpPr>
                                        <wps:wsp>
                                          <wps:cNvPr id="405473419" name="Прямокутник 920453959"/>
                                          <wps:cNvSpPr/>
                                          <wps:spPr>
                                            <a:xfrm flipH="1">
                                              <a:off x="2750374" y="761664"/>
                                              <a:ext cx="2481264" cy="285751"/>
                                            </a:xfrm>
                                            <a:prstGeom prst="rect">
                                              <a:avLst/>
                                            </a:prstGeom>
                                            <a:solidFill>
                                              <a:srgbClr val="4EA72E">
                                                <a:lumMod val="60000"/>
                                                <a:lumOff val="40000"/>
                                              </a:srgbClr>
                                            </a:solidFill>
                                            <a:ln>
                                              <a:noFill/>
                                            </a:ln>
                                            <a:effectLst>
                                              <a:outerShdw blurRad="57150" dist="19050" dir="5400000" algn="ctr" rotWithShape="0">
                                                <a:srgbClr val="000000">
                                                  <a:alpha val="63000"/>
                                                </a:srgbClr>
                                              </a:outerShdw>
                                            </a:effectLst>
                                          </wps:spPr>
                                          <wps:txbx>
                                            <w:txbxContent>
                                              <w:p w14:paraId="7322F87E" w14:textId="77777777" w:rsidR="00F25FCF" w:rsidRPr="003B5892" w:rsidRDefault="00F25FCF" w:rsidP="00385184">
                                                <w:pPr>
                                                  <w:jc w:val="center"/>
                                                  <w:rPr>
                                                    <w:rFonts w:ascii="Arial" w:hAnsi="Arial" w:cs="Arial"/>
                                                    <w:b/>
                                                    <w:bCs/>
                                                    <w:color w:val="000000"/>
                                                    <w:kern w:val="24"/>
                                                  </w:rPr>
                                                </w:pPr>
                                                <w:r w:rsidRPr="003B5892">
                                                  <w:rPr>
                                                    <w:rFonts w:ascii="Arial" w:hAnsi="Arial" w:cs="Arial"/>
                                                    <w:b/>
                                                    <w:bCs/>
                                                    <w:color w:val="000000"/>
                                                    <w:kern w:val="24"/>
                                                  </w:rPr>
                                                  <w:t>Рекомендація спеціаліста</w:t>
                                                </w:r>
                                              </w:p>
                                            </w:txbxContent>
                                          </wps:txbx>
                                          <wps:bodyPr rtlCol="0" anchor="ctr"/>
                                        </wps:wsp>
                                        <wps:wsp>
                                          <wps:cNvPr id="1687366035" name="Прямокутник 131939838"/>
                                          <wps:cNvSpPr/>
                                          <wps:spPr>
                                            <a:xfrm flipH="1">
                                              <a:off x="2552618" y="1417668"/>
                                              <a:ext cx="1392073" cy="730606"/>
                                            </a:xfrm>
                                            <a:prstGeom prst="rect">
                                              <a:avLst/>
                                            </a:prstGeom>
                                            <a:solidFill>
                                              <a:srgbClr val="E97132">
                                                <a:lumMod val="60000"/>
                                                <a:lumOff val="40000"/>
                                              </a:srgbClr>
                                            </a:solidFill>
                                            <a:ln>
                                              <a:noFill/>
                                            </a:ln>
                                            <a:effectLst>
                                              <a:outerShdw blurRad="57150" dist="19050" dir="5400000" algn="ctr" rotWithShape="0">
                                                <a:srgbClr val="000000">
                                                  <a:alpha val="63000"/>
                                                </a:srgbClr>
                                              </a:outerShdw>
                                            </a:effectLst>
                                          </wps:spPr>
                                          <wps:txbx>
                                            <w:txbxContent>
                                              <w:p w14:paraId="1FA3EDFD" w14:textId="77777777" w:rsidR="00F25FCF" w:rsidRPr="003B5892" w:rsidRDefault="00F25FCF" w:rsidP="00385184">
                                                <w:pPr>
                                                  <w:jc w:val="center"/>
                                                  <w:rPr>
                                                    <w:rFonts w:ascii="Arial" w:hAnsi="Arial" w:cs="Arial"/>
                                                    <w:b/>
                                                    <w:bCs/>
                                                    <w:color w:val="000000"/>
                                                    <w:kern w:val="24"/>
                                                    <w:sz w:val="14"/>
                                                    <w:szCs w:val="14"/>
                                                  </w:rPr>
                                                </w:pPr>
                                                <w:r w:rsidRPr="003B5892">
                                                  <w:rPr>
                                                    <w:rFonts w:ascii="Arial" w:hAnsi="Arial" w:cs="Arial"/>
                                                    <w:b/>
                                                    <w:bCs/>
                                                    <w:color w:val="000000"/>
                                                    <w:kern w:val="24"/>
                                                    <w:sz w:val="14"/>
                                                    <w:szCs w:val="14"/>
                                                  </w:rPr>
                                                  <w:t>Поняття про 3D моделювання</w:t>
                                                </w:r>
                                              </w:p>
                                            </w:txbxContent>
                                          </wps:txbx>
                                          <wps:bodyPr rtlCol="0" anchor="ctr"/>
                                        </wps:wsp>
                                        <wps:wsp>
                                          <wps:cNvPr id="887235711" name="Прямокутник 1191157695"/>
                                          <wps:cNvSpPr/>
                                          <wps:spPr>
                                            <a:xfrm flipH="1">
                                              <a:off x="2750182" y="2696365"/>
                                              <a:ext cx="2481264" cy="484715"/>
                                            </a:xfrm>
                                            <a:prstGeom prst="rect">
                                              <a:avLst/>
                                            </a:prstGeom>
                                            <a:solidFill>
                                              <a:srgbClr val="E5BDDC"/>
                                            </a:solidFill>
                                            <a:ln w="25400" cap="flat" cmpd="sng" algn="ctr">
                                              <a:solidFill>
                                                <a:sysClr val="window" lastClr="FFFFFF"/>
                                              </a:solidFill>
                                              <a:prstDash val="solid"/>
                                              <a:miter lim="800000"/>
                                            </a:ln>
                                            <a:effectLst/>
                                          </wps:spPr>
                                          <wps:txbx>
                                            <w:txbxContent>
                                              <w:p w14:paraId="6EEDD242" w14:textId="77777777" w:rsidR="00F25FCF" w:rsidRPr="003B5892" w:rsidRDefault="00F25FCF" w:rsidP="00385184">
                                                <w:pPr>
                                                  <w:spacing w:line="240" w:lineRule="auto"/>
                                                  <w:jc w:val="center"/>
                                                  <w:rPr>
                                                    <w:rFonts w:ascii="Arial" w:hAnsi="Arial" w:cs="Arial"/>
                                                    <w:b/>
                                                    <w:bCs/>
                                                    <w:color w:val="000000"/>
                                                    <w:kern w:val="24"/>
                                                    <w:sz w:val="16"/>
                                                    <w:szCs w:val="16"/>
                                                  </w:rPr>
                                                </w:pPr>
                                                <w:r w:rsidRPr="003B5892">
                                                  <w:rPr>
                                                    <w:rFonts w:ascii="Arial" w:hAnsi="Arial" w:cs="Arial"/>
                                                    <w:b/>
                                                    <w:bCs/>
                                                    <w:color w:val="000000"/>
                                                    <w:kern w:val="24"/>
                                                    <w:sz w:val="16"/>
                                                    <w:szCs w:val="16"/>
                                                  </w:rPr>
                                                  <w:t>Блок вивчення конкретного зразка озброєння</w:t>
                                                </w:r>
                                              </w:p>
                                            </w:txbxContent>
                                          </wps:txbx>
                                          <wps:bodyPr rtlCol="0" anchor="ctr"/>
                                        </wps:wsp>
                                        <wps:wsp>
                                          <wps:cNvPr id="1463128646" name="Прямокутник 1416830602"/>
                                          <wps:cNvSpPr/>
                                          <wps:spPr>
                                            <a:xfrm flipH="1">
                                              <a:off x="4179125" y="1407782"/>
                                              <a:ext cx="1377977" cy="723519"/>
                                            </a:xfrm>
                                            <a:prstGeom prst="rect">
                                              <a:avLst/>
                                            </a:prstGeom>
                                            <a:solidFill>
                                              <a:srgbClr val="E97132">
                                                <a:lumMod val="60000"/>
                                                <a:lumOff val="40000"/>
                                              </a:srgbClr>
                                            </a:solidFill>
                                            <a:ln>
                                              <a:noFill/>
                                            </a:ln>
                                            <a:effectLst>
                                              <a:outerShdw blurRad="57150" dist="19050" dir="5400000" algn="ctr" rotWithShape="0">
                                                <a:srgbClr val="000000">
                                                  <a:alpha val="63000"/>
                                                </a:srgbClr>
                                              </a:outerShdw>
                                            </a:effectLst>
                                          </wps:spPr>
                                          <wps:txbx>
                                            <w:txbxContent>
                                              <w:p w14:paraId="34A81587" w14:textId="77777777" w:rsidR="00F25FCF" w:rsidRPr="003B5892" w:rsidRDefault="00F25FCF" w:rsidP="00385184">
                                                <w:pPr>
                                                  <w:spacing w:line="240" w:lineRule="auto"/>
                                                  <w:jc w:val="center"/>
                                                  <w:rPr>
                                                    <w:rFonts w:ascii="Arial" w:hAnsi="Arial" w:cs="Arial"/>
                                                    <w:b/>
                                                    <w:bCs/>
                                                    <w:color w:val="000000"/>
                                                    <w:kern w:val="24"/>
                                                    <w:sz w:val="14"/>
                                                    <w:szCs w:val="14"/>
                                                    <w:lang w:val="ru-RU"/>
                                                  </w:rPr>
                                                </w:pPr>
                                                <w:r w:rsidRPr="003B5892">
                                                  <w:rPr>
                                                    <w:rFonts w:ascii="Arial" w:hAnsi="Arial" w:cs="Arial"/>
                                                    <w:b/>
                                                    <w:bCs/>
                                                    <w:color w:val="000000"/>
                                                    <w:kern w:val="24"/>
                                                    <w:sz w:val="14"/>
                                                    <w:szCs w:val="14"/>
                                                    <w:lang w:val="ru-RU"/>
                                                  </w:rPr>
                                                  <w:t>Робота з 3</w:t>
                                                </w:r>
                                                <w:r w:rsidRPr="003B5892">
                                                  <w:rPr>
                                                    <w:rFonts w:ascii="Arial" w:hAnsi="Arial" w:cs="Arial"/>
                                                    <w:b/>
                                                    <w:bCs/>
                                                    <w:color w:val="000000"/>
                                                    <w:kern w:val="24"/>
                                                    <w:sz w:val="14"/>
                                                    <w:szCs w:val="14"/>
                                                  </w:rPr>
                                                  <w:t>D</w:t>
                                                </w:r>
                                                <w:r w:rsidRPr="003B5892">
                                                  <w:rPr>
                                                    <w:rFonts w:ascii="Arial" w:hAnsi="Arial" w:cs="Arial"/>
                                                    <w:b/>
                                                    <w:bCs/>
                                                    <w:color w:val="000000"/>
                                                    <w:kern w:val="24"/>
                                                    <w:sz w:val="14"/>
                                                    <w:szCs w:val="14"/>
                                                    <w:lang w:val="ru-RU"/>
                                                  </w:rPr>
                                                  <w:t xml:space="preserve"> моделями боєприпасів і відео фільмами</w:t>
                                                </w:r>
                                              </w:p>
                                            </w:txbxContent>
                                          </wps:txbx>
                                          <wps:bodyPr rtlCol="0" anchor="ctr"/>
                                        </wps:wsp>
                                        <wps:wsp>
                                          <wps:cNvPr id="107282048" name="Прямокутник 1854618510"/>
                                          <wps:cNvSpPr/>
                                          <wps:spPr>
                                            <a:xfrm>
                                              <a:off x="5131654" y="2364646"/>
                                              <a:ext cx="417239" cy="308100"/>
                                            </a:xfrm>
                                            <a:prstGeom prst="rect">
                                              <a:avLst/>
                                            </a:prstGeom>
                                            <a:solidFill>
                                              <a:sysClr val="window" lastClr="FFFFFF"/>
                                            </a:solidFill>
                                            <a:ln w="19050" cap="flat" cmpd="sng" algn="ctr">
                                              <a:solidFill>
                                                <a:sysClr val="windowText" lastClr="000000"/>
                                              </a:solidFill>
                                              <a:prstDash val="solid"/>
                                              <a:miter lim="800000"/>
                                            </a:ln>
                                            <a:effectLst/>
                                          </wps:spPr>
                                          <wps:txbx>
                                            <w:txbxContent>
                                              <w:p w14:paraId="2F4EB715" w14:textId="77777777" w:rsidR="00F25FCF" w:rsidRPr="003B5892" w:rsidRDefault="00F25FCF" w:rsidP="00385184">
                                                <w:pPr>
                                                  <w:jc w:val="center"/>
                                                  <w:rPr>
                                                    <w:rFonts w:hAnsi="Aptos"/>
                                                    <w:color w:val="000000"/>
                                                    <w:kern w:val="24"/>
                                                  </w:rPr>
                                                </w:pPr>
                                                <w:r w:rsidRPr="003B5892">
                                                  <w:rPr>
                                                    <w:rFonts w:hAnsi="Aptos"/>
                                                    <w:color w:val="000000"/>
                                                    <w:kern w:val="24"/>
                                                  </w:rPr>
                                                  <w:t>2</w:t>
                                                </w:r>
                                              </w:p>
                                            </w:txbxContent>
                                          </wps:txbx>
                                          <wps:bodyPr rtlCol="0" anchor="ctr"/>
                                        </wps:wsp>
                                        <wps:wsp>
                                          <wps:cNvPr id="676328096" name="Сполучна лінія уступом 5"/>
                                          <wps:cNvCnPr/>
                                          <wps:spPr>
                                            <a:xfrm rot="5400000" flipH="1" flipV="1">
                                              <a:off x="4053442" y="602996"/>
                                              <a:ext cx="9885" cy="1619460"/>
                                            </a:xfrm>
                                            <a:prstGeom prst="bentConnector3">
                                              <a:avLst>
                                                <a:gd name="adj1" fmla="val 2859870"/>
                                              </a:avLst>
                                            </a:prstGeom>
                                            <a:noFill/>
                                            <a:ln w="19050" cap="flat" cmpd="sng" algn="ctr">
                                              <a:solidFill>
                                                <a:srgbClr val="156082"/>
                                              </a:solidFill>
                                              <a:prstDash val="solid"/>
                                              <a:miter lim="800000"/>
                                              <a:headEnd type="triangle"/>
                                              <a:tailEnd type="triangle"/>
                                            </a:ln>
                                            <a:effectLst/>
                                          </wps:spPr>
                                          <wps:bodyPr/>
                                        </wps:wsp>
                                        <wps:wsp>
                                          <wps:cNvPr id="197909883" name="Сполучна лінія уступом 19"/>
                                          <wps:cNvCnPr/>
                                          <wps:spPr>
                                            <a:xfrm rot="5400000" flipH="1" flipV="1">
                                              <a:off x="4049897" y="1330058"/>
                                              <a:ext cx="16972" cy="1619460"/>
                                            </a:xfrm>
                                            <a:prstGeom prst="bentConnector3">
                                              <a:avLst>
                                                <a:gd name="adj1" fmla="val -1607482"/>
                                              </a:avLst>
                                            </a:prstGeom>
                                            <a:noFill/>
                                            <a:ln w="19050" cap="flat" cmpd="sng" algn="ctr">
                                              <a:solidFill>
                                                <a:srgbClr val="156082"/>
                                              </a:solidFill>
                                              <a:prstDash val="solid"/>
                                              <a:miter lim="800000"/>
                                              <a:headEnd type="triangle"/>
                                              <a:tailEnd type="triangle"/>
                                            </a:ln>
                                            <a:effectLst/>
                                          </wps:spPr>
                                          <wps:bodyPr/>
                                        </wps:wsp>
                                        <wps:wsp>
                                          <wps:cNvPr id="1823199448" name="Пряма зі стрілкою 1220636987"/>
                                          <wps:cNvCnPr/>
                                          <wps:spPr>
                                            <a:xfrm flipV="1">
                                              <a:off x="3944691" y="1769542"/>
                                              <a:ext cx="234434" cy="13428"/>
                                            </a:xfrm>
                                            <a:prstGeom prst="straightConnector1">
                                              <a:avLst/>
                                            </a:prstGeom>
                                            <a:noFill/>
                                            <a:ln w="19050" cap="flat" cmpd="sng" algn="ctr">
                                              <a:solidFill>
                                                <a:srgbClr val="156082"/>
                                              </a:solidFill>
                                              <a:prstDash val="solid"/>
                                              <a:miter lim="800000"/>
                                              <a:tailEnd type="triangle"/>
                                            </a:ln>
                                            <a:effectLst/>
                                          </wps:spPr>
                                          <wps:bodyPr/>
                                        </wps:wsp>
                                      </wpg:grpSp>
                                      <wpg:grpSp>
                                        <wpg:cNvPr id="1136594900" name="Групувати 592062084"/>
                                        <wpg:cNvGrpSpPr/>
                                        <wpg:grpSpPr>
                                          <a:xfrm>
                                            <a:off x="0" y="757218"/>
                                            <a:ext cx="2379771" cy="2189022"/>
                                            <a:chOff x="0" y="757217"/>
                                            <a:chExt cx="2733401" cy="2437341"/>
                                          </a:xfrm>
                                        </wpg:grpSpPr>
                                        <wps:wsp>
                                          <wps:cNvPr id="1691666933" name="Прямокутник 1862694546"/>
                                          <wps:cNvSpPr/>
                                          <wps:spPr>
                                            <a:xfrm flipH="1">
                                              <a:off x="172008" y="757217"/>
                                              <a:ext cx="2481264" cy="285751"/>
                                            </a:xfrm>
                                            <a:prstGeom prst="rect">
                                              <a:avLst/>
                                            </a:prstGeom>
                                            <a:solidFill>
                                              <a:srgbClr val="4EA72E">
                                                <a:lumMod val="60000"/>
                                                <a:lumOff val="40000"/>
                                              </a:srgbClr>
                                            </a:solidFill>
                                            <a:ln>
                                              <a:noFill/>
                                            </a:ln>
                                            <a:effectLst>
                                              <a:outerShdw blurRad="57150" dist="19050" dir="5400000" algn="ctr" rotWithShape="0">
                                                <a:srgbClr val="000000">
                                                  <a:alpha val="63000"/>
                                                </a:srgbClr>
                                              </a:outerShdw>
                                            </a:effectLst>
                                          </wps:spPr>
                                          <wps:txbx>
                                            <w:txbxContent>
                                              <w:p w14:paraId="79D26EB3" w14:textId="77777777" w:rsidR="00F25FCF" w:rsidRPr="003B5892" w:rsidRDefault="00F25FCF" w:rsidP="00385184">
                                                <w:pPr>
                                                  <w:jc w:val="center"/>
                                                  <w:rPr>
                                                    <w:rFonts w:ascii="Arial" w:hAnsi="Arial" w:cs="Arial"/>
                                                    <w:b/>
                                                    <w:bCs/>
                                                    <w:color w:val="000000"/>
                                                    <w:kern w:val="24"/>
                                                  </w:rPr>
                                                </w:pPr>
                                                <w:r w:rsidRPr="003B5892">
                                                  <w:rPr>
                                                    <w:rFonts w:ascii="Arial" w:hAnsi="Arial" w:cs="Arial"/>
                                                    <w:b/>
                                                    <w:bCs/>
                                                    <w:color w:val="000000"/>
                                                    <w:kern w:val="24"/>
                                                  </w:rPr>
                                                  <w:t>Консультація спеціаліста</w:t>
                                                </w:r>
                                              </w:p>
                                            </w:txbxContent>
                                          </wps:txbx>
                                          <wps:bodyPr rtlCol="0" anchor="ctr"/>
                                        </wps:wsp>
                                        <wps:wsp>
                                          <wps:cNvPr id="242772942" name="Прямокутник 531999659"/>
                                          <wps:cNvSpPr/>
                                          <wps:spPr>
                                            <a:xfrm flipH="1">
                                              <a:off x="0" y="1409686"/>
                                              <a:ext cx="1064858" cy="690562"/>
                                            </a:xfrm>
                                            <a:prstGeom prst="rect">
                                              <a:avLst/>
                                            </a:prstGeom>
                                            <a:solidFill>
                                              <a:srgbClr val="E97132">
                                                <a:lumMod val="60000"/>
                                                <a:lumOff val="40000"/>
                                              </a:srgbClr>
                                            </a:solidFill>
                                            <a:ln>
                                              <a:noFill/>
                                            </a:ln>
                                            <a:effectLst>
                                              <a:outerShdw blurRad="57150" dist="19050" dir="5400000" algn="ctr" rotWithShape="0">
                                                <a:srgbClr val="000000">
                                                  <a:alpha val="63000"/>
                                                </a:srgbClr>
                                              </a:outerShdw>
                                            </a:effectLst>
                                          </wps:spPr>
                                          <wps:txbx>
                                            <w:txbxContent>
                                              <w:p w14:paraId="18EDD393" w14:textId="77777777" w:rsidR="00F25FCF" w:rsidRPr="003B5892" w:rsidRDefault="00F25FCF" w:rsidP="00385184">
                                                <w:pPr>
                                                  <w:jc w:val="center"/>
                                                  <w:rPr>
                                                    <w:rFonts w:ascii="Arial" w:hAnsi="Arial" w:cs="Arial"/>
                                                    <w:b/>
                                                    <w:bCs/>
                                                    <w:color w:val="000000"/>
                                                    <w:kern w:val="24"/>
                                                    <w:sz w:val="14"/>
                                                    <w:szCs w:val="14"/>
                                                  </w:rPr>
                                                </w:pPr>
                                                <w:r w:rsidRPr="003B5892">
                                                  <w:rPr>
                                                    <w:rFonts w:ascii="Arial" w:hAnsi="Arial" w:cs="Arial"/>
                                                    <w:b/>
                                                    <w:bCs/>
                                                    <w:color w:val="000000"/>
                                                    <w:kern w:val="24"/>
                                                    <w:sz w:val="14"/>
                                                    <w:szCs w:val="14"/>
                                                  </w:rPr>
                                                  <w:t>Вивчення структури</w:t>
                                                </w:r>
                                                <w:r w:rsidRPr="003B5892">
                                                  <w:rPr>
                                                    <w:rFonts w:ascii="Arial" w:hAnsi="Arial" w:cs="Arial"/>
                                                    <w:b/>
                                                    <w:bCs/>
                                                    <w:color w:val="000000"/>
                                                    <w:kern w:val="24"/>
                                                    <w:sz w:val="20"/>
                                                    <w:szCs w:val="20"/>
                                                  </w:rPr>
                                                  <w:t xml:space="preserve"> </w:t>
                                                </w:r>
                                                <w:r w:rsidRPr="003B5892">
                                                  <w:rPr>
                                                    <w:rFonts w:ascii="Arial" w:hAnsi="Arial" w:cs="Arial"/>
                                                    <w:b/>
                                                    <w:bCs/>
                                                    <w:color w:val="000000"/>
                                                    <w:kern w:val="24"/>
                                                    <w:sz w:val="14"/>
                                                    <w:szCs w:val="14"/>
                                                  </w:rPr>
                                                  <w:t>посібника</w:t>
                                                </w:r>
                                              </w:p>
                                            </w:txbxContent>
                                          </wps:txbx>
                                          <wps:bodyPr rtlCol="0" anchor="ctr"/>
                                        </wps:wsp>
                                        <wps:wsp>
                                          <wps:cNvPr id="1558623120" name="Прямокутник 1082225446"/>
                                          <wps:cNvSpPr/>
                                          <wps:spPr>
                                            <a:xfrm flipH="1">
                                              <a:off x="171981" y="2722020"/>
                                              <a:ext cx="2481264" cy="472538"/>
                                            </a:xfrm>
                                            <a:prstGeom prst="rect">
                                              <a:avLst/>
                                            </a:prstGeom>
                                            <a:solidFill>
                                              <a:srgbClr val="E5BDDC"/>
                                            </a:solidFill>
                                            <a:ln w="25400" cap="flat" cmpd="sng" algn="ctr">
                                              <a:solidFill>
                                                <a:sysClr val="window" lastClr="FFFFFF"/>
                                              </a:solidFill>
                                              <a:prstDash val="solid"/>
                                              <a:miter lim="800000"/>
                                            </a:ln>
                                            <a:effectLst/>
                                          </wps:spPr>
                                          <wps:txbx>
                                            <w:txbxContent>
                                              <w:p w14:paraId="76DA5C55" w14:textId="77777777" w:rsidR="00F25FCF" w:rsidRPr="003B5892" w:rsidRDefault="00F25FCF" w:rsidP="00385184">
                                                <w:pPr>
                                                  <w:jc w:val="center"/>
                                                  <w:rPr>
                                                    <w:rFonts w:ascii="Arial" w:hAnsi="Arial" w:cs="Arial"/>
                                                    <w:b/>
                                                    <w:bCs/>
                                                    <w:color w:val="000000"/>
                                                    <w:kern w:val="24"/>
                                                    <w:sz w:val="18"/>
                                                    <w:szCs w:val="18"/>
                                                  </w:rPr>
                                                </w:pPr>
                                                <w:r w:rsidRPr="003B5892">
                                                  <w:rPr>
                                                    <w:rFonts w:ascii="Arial" w:hAnsi="Arial" w:cs="Arial"/>
                                                    <w:b/>
                                                    <w:bCs/>
                                                    <w:color w:val="000000"/>
                                                    <w:kern w:val="24"/>
                                                    <w:sz w:val="18"/>
                                                    <w:szCs w:val="18"/>
                                                  </w:rPr>
                                                  <w:t>Блок вивчення зразків озброєння</w:t>
                                                </w:r>
                                              </w:p>
                                            </w:txbxContent>
                                          </wps:txbx>
                                          <wps:bodyPr rtlCol="0" anchor="ctr"/>
                                        </wps:wsp>
                                        <wps:wsp>
                                          <wps:cNvPr id="1056067498" name="Прямокутник 2121601430"/>
                                          <wps:cNvSpPr/>
                                          <wps:spPr>
                                            <a:xfrm flipH="1">
                                              <a:off x="1393465" y="1409686"/>
                                              <a:ext cx="1304032" cy="690562"/>
                                            </a:xfrm>
                                            <a:prstGeom prst="rect">
                                              <a:avLst/>
                                            </a:prstGeom>
                                            <a:solidFill>
                                              <a:srgbClr val="E97132">
                                                <a:lumMod val="60000"/>
                                                <a:lumOff val="40000"/>
                                              </a:srgbClr>
                                            </a:solidFill>
                                            <a:ln>
                                              <a:noFill/>
                                            </a:ln>
                                            <a:effectLst>
                                              <a:outerShdw blurRad="57150" dist="19050" dir="5400000" algn="ctr" rotWithShape="0">
                                                <a:srgbClr val="000000">
                                                  <a:alpha val="63000"/>
                                                </a:srgbClr>
                                              </a:outerShdw>
                                            </a:effectLst>
                                          </wps:spPr>
                                          <wps:txbx>
                                            <w:txbxContent>
                                              <w:p w14:paraId="32150FFB" w14:textId="77777777" w:rsidR="00F25FCF" w:rsidRPr="003B5892" w:rsidRDefault="00F25FCF" w:rsidP="00385184">
                                                <w:pPr>
                                                  <w:jc w:val="center"/>
                                                  <w:rPr>
                                                    <w:rFonts w:ascii="Arial" w:hAnsi="Arial" w:cs="Arial"/>
                                                    <w:b/>
                                                    <w:bCs/>
                                                    <w:color w:val="000000"/>
                                                    <w:kern w:val="24"/>
                                                    <w:sz w:val="14"/>
                                                    <w:szCs w:val="14"/>
                                                  </w:rPr>
                                                </w:pPr>
                                                <w:r w:rsidRPr="003B5892">
                                                  <w:rPr>
                                                    <w:rFonts w:ascii="Arial" w:hAnsi="Arial" w:cs="Arial"/>
                                                    <w:b/>
                                                    <w:bCs/>
                                                    <w:color w:val="000000"/>
                                                    <w:kern w:val="24"/>
                                                    <w:sz w:val="14"/>
                                                    <w:szCs w:val="14"/>
                                                  </w:rPr>
                                                  <w:t>Тренінг користування посібником</w:t>
                                                </w:r>
                                              </w:p>
                                            </w:txbxContent>
                                          </wps:txbx>
                                          <wps:bodyPr rtlCol="0" anchor="ctr"/>
                                        </wps:wsp>
                                        <wps:wsp>
                                          <wps:cNvPr id="1912433976" name="Прямокутник 1007891838"/>
                                          <wps:cNvSpPr/>
                                          <wps:spPr>
                                            <a:xfrm>
                                              <a:off x="2349438" y="2402211"/>
                                              <a:ext cx="383963" cy="298127"/>
                                            </a:xfrm>
                                            <a:prstGeom prst="rect">
                                              <a:avLst/>
                                            </a:prstGeom>
                                            <a:solidFill>
                                              <a:sysClr val="window" lastClr="FFFFFF"/>
                                            </a:solidFill>
                                            <a:ln w="19050" cap="flat" cmpd="sng" algn="ctr">
                                              <a:solidFill>
                                                <a:sysClr val="windowText" lastClr="000000"/>
                                              </a:solidFill>
                                              <a:prstDash val="solid"/>
                                              <a:miter lim="800000"/>
                                            </a:ln>
                                            <a:effectLst/>
                                          </wps:spPr>
                                          <wps:txbx>
                                            <w:txbxContent>
                                              <w:p w14:paraId="6D12E79F" w14:textId="77777777" w:rsidR="00F25FCF" w:rsidRPr="003B5892" w:rsidRDefault="00F25FCF" w:rsidP="00385184">
                                                <w:pPr>
                                                  <w:jc w:val="center"/>
                                                  <w:rPr>
                                                    <w:rFonts w:hAnsi="Aptos"/>
                                                    <w:color w:val="000000"/>
                                                    <w:kern w:val="24"/>
                                                  </w:rPr>
                                                </w:pPr>
                                                <w:r w:rsidRPr="003B5892">
                                                  <w:rPr>
                                                    <w:rFonts w:hAnsi="Aptos"/>
                                                    <w:color w:val="000000"/>
                                                    <w:kern w:val="24"/>
                                                  </w:rPr>
                                                  <w:t>1</w:t>
                                                </w:r>
                                              </w:p>
                                            </w:txbxContent>
                                          </wps:txbx>
                                          <wps:bodyPr rtlCol="0" anchor="ctr"/>
                                        </wps:wsp>
                                        <wps:wsp>
                                          <wps:cNvPr id="1003551018" name="Сполучна лінія уступом 45"/>
                                          <wps:cNvCnPr/>
                                          <wps:spPr>
                                            <a:xfrm rot="5400000" flipH="1" flipV="1">
                                              <a:off x="1288824" y="653160"/>
                                              <a:ext cx="15157" cy="1513052"/>
                                            </a:xfrm>
                                            <a:prstGeom prst="bentConnector3">
                                              <a:avLst>
                                                <a:gd name="adj1" fmla="val 1800000"/>
                                              </a:avLst>
                                            </a:prstGeom>
                                            <a:noFill/>
                                            <a:ln w="19050" cap="flat" cmpd="sng" algn="ctr">
                                              <a:solidFill>
                                                <a:srgbClr val="156082"/>
                                              </a:solidFill>
                                              <a:prstDash val="solid"/>
                                              <a:miter lim="800000"/>
                                              <a:headEnd type="triangle"/>
                                              <a:tailEnd type="triangle"/>
                                            </a:ln>
                                            <a:effectLst/>
                                          </wps:spPr>
                                          <wps:bodyPr/>
                                        </wps:wsp>
                                        <wps:wsp>
                                          <wps:cNvPr id="1556045078" name="Сполучна лінія уступом 46"/>
                                          <wps:cNvCnPr/>
                                          <wps:spPr>
                                            <a:xfrm rot="16200000" flipH="1">
                                              <a:off x="1288824" y="1343721"/>
                                              <a:ext cx="15157" cy="1513052"/>
                                            </a:xfrm>
                                            <a:prstGeom prst="bentConnector3">
                                              <a:avLst>
                                                <a:gd name="adj1" fmla="val 1800000"/>
                                              </a:avLst>
                                            </a:prstGeom>
                                            <a:noFill/>
                                            <a:ln w="19050" cap="flat" cmpd="sng" algn="ctr">
                                              <a:solidFill>
                                                <a:srgbClr val="156082"/>
                                              </a:solidFill>
                                              <a:prstDash val="solid"/>
                                              <a:miter lim="800000"/>
                                              <a:headEnd type="triangle"/>
                                              <a:tailEnd type="triangle"/>
                                            </a:ln>
                                            <a:effectLst/>
                                          </wps:spPr>
                                          <wps:bodyPr/>
                                        </wps:wsp>
                                        <wps:wsp>
                                          <wps:cNvPr id="1969423780" name="Пряма зі стрілкою 255999750"/>
                                          <wps:cNvCnPr/>
                                          <wps:spPr>
                                            <a:xfrm>
                                              <a:off x="1064858" y="1754967"/>
                                              <a:ext cx="328607" cy="0"/>
                                            </a:xfrm>
                                            <a:prstGeom prst="straightConnector1">
                                              <a:avLst/>
                                            </a:prstGeom>
                                            <a:noFill/>
                                            <a:ln w="19050" cap="flat" cmpd="sng" algn="ctr">
                                              <a:solidFill>
                                                <a:srgbClr val="156082"/>
                                              </a:solidFill>
                                              <a:prstDash val="solid"/>
                                              <a:miter lim="800000"/>
                                              <a:tailEnd type="triangle"/>
                                            </a:ln>
                                            <a:effectLst/>
                                          </wps:spPr>
                                          <wps:bodyPr/>
                                        </wps:wsp>
                                      </wpg:grpSp>
                                      <wpg:grpSp>
                                        <wpg:cNvPr id="140150684" name="Групувати 112070202"/>
                                        <wpg:cNvGrpSpPr/>
                                        <wpg:grpSpPr>
                                          <a:xfrm>
                                            <a:off x="5304786" y="753224"/>
                                            <a:ext cx="2312465" cy="2204796"/>
                                            <a:chOff x="5304774" y="753223"/>
                                            <a:chExt cx="2656096" cy="2454911"/>
                                          </a:xfrm>
                                        </wpg:grpSpPr>
                                        <wps:wsp>
                                          <wps:cNvPr id="319935592" name="Прямокутник 2058709674"/>
                                          <wps:cNvSpPr/>
                                          <wps:spPr>
                                            <a:xfrm flipH="1">
                                              <a:off x="5304871" y="753223"/>
                                              <a:ext cx="2481264" cy="285751"/>
                                            </a:xfrm>
                                            <a:prstGeom prst="rect">
                                              <a:avLst/>
                                            </a:prstGeom>
                                            <a:solidFill>
                                              <a:srgbClr val="4EA72E">
                                                <a:lumMod val="60000"/>
                                                <a:lumOff val="40000"/>
                                              </a:srgbClr>
                                            </a:solidFill>
                                            <a:ln>
                                              <a:noFill/>
                                            </a:ln>
                                            <a:effectLst>
                                              <a:outerShdw blurRad="57150" dist="19050" dir="5400000" algn="ctr" rotWithShape="0">
                                                <a:srgbClr val="000000">
                                                  <a:alpha val="63000"/>
                                                </a:srgbClr>
                                              </a:outerShdw>
                                            </a:effectLst>
                                          </wps:spPr>
                                          <wps:txbx>
                                            <w:txbxContent>
                                              <w:p w14:paraId="094CBDFE" w14:textId="77777777" w:rsidR="00F25FCF" w:rsidRPr="003B5892" w:rsidRDefault="00F25FCF" w:rsidP="00385184">
                                                <w:pPr>
                                                  <w:jc w:val="center"/>
                                                  <w:rPr>
                                                    <w:rFonts w:ascii="Arial" w:hAnsi="Arial" w:cs="Arial"/>
                                                    <w:b/>
                                                    <w:bCs/>
                                                    <w:color w:val="000000"/>
                                                    <w:kern w:val="24"/>
                                                  </w:rPr>
                                                </w:pPr>
                                                <w:r w:rsidRPr="003B5892">
                                                  <w:rPr>
                                                    <w:rFonts w:ascii="Arial" w:hAnsi="Arial" w:cs="Arial"/>
                                                    <w:b/>
                                                    <w:bCs/>
                                                    <w:color w:val="000000"/>
                                                    <w:kern w:val="24"/>
                                                  </w:rPr>
                                                  <w:t>Поради спеціаліста</w:t>
                                                </w:r>
                                              </w:p>
                                            </w:txbxContent>
                                          </wps:txbx>
                                          <wps:bodyPr rtlCol="0" anchor="ctr"/>
                                        </wps:wsp>
                                        <wps:wsp>
                                          <wps:cNvPr id="1536054870" name="Прямокутник 529397658"/>
                                          <wps:cNvSpPr/>
                                          <wps:spPr>
                                            <a:xfrm flipH="1">
                                              <a:off x="5304866" y="1405692"/>
                                              <a:ext cx="1100144" cy="757184"/>
                                            </a:xfrm>
                                            <a:prstGeom prst="rect">
                                              <a:avLst/>
                                            </a:prstGeom>
                                            <a:solidFill>
                                              <a:srgbClr val="E97132">
                                                <a:lumMod val="60000"/>
                                                <a:lumOff val="40000"/>
                                              </a:srgbClr>
                                            </a:solidFill>
                                            <a:ln>
                                              <a:noFill/>
                                            </a:ln>
                                            <a:effectLst>
                                              <a:outerShdw blurRad="57150" dist="19050" dir="5400000" algn="ctr" rotWithShape="0">
                                                <a:srgbClr val="000000">
                                                  <a:alpha val="63000"/>
                                                </a:srgbClr>
                                              </a:outerShdw>
                                            </a:effectLst>
                                          </wps:spPr>
                                          <wps:txbx>
                                            <w:txbxContent>
                                              <w:p w14:paraId="60217D3B" w14:textId="77777777" w:rsidR="00F25FCF" w:rsidRPr="003B5892" w:rsidRDefault="00F25FCF" w:rsidP="00385184">
                                                <w:pPr>
                                                  <w:spacing w:line="240" w:lineRule="auto"/>
                                                  <w:ind w:right="-62"/>
                                                  <w:jc w:val="center"/>
                                                  <w:rPr>
                                                    <w:rFonts w:ascii="Arial" w:hAnsi="Arial" w:cs="Arial"/>
                                                    <w:b/>
                                                    <w:bCs/>
                                                    <w:color w:val="000000"/>
                                                    <w:kern w:val="24"/>
                                                    <w:sz w:val="20"/>
                                                    <w:szCs w:val="20"/>
                                                  </w:rPr>
                                                </w:pPr>
                                                <w:r w:rsidRPr="003B5892">
                                                  <w:rPr>
                                                    <w:rFonts w:ascii="Arial" w:hAnsi="Arial" w:cs="Arial"/>
                                                    <w:b/>
                                                    <w:bCs/>
                                                    <w:color w:val="000000"/>
                                                    <w:kern w:val="24"/>
                                                    <w:sz w:val="16"/>
                                                    <w:szCs w:val="16"/>
                                                  </w:rPr>
                                                  <w:t xml:space="preserve">Загальні </w:t>
                                                </w:r>
                                                <w:r w:rsidRPr="003B5892">
                                                  <w:rPr>
                                                    <w:rFonts w:ascii="Arial" w:hAnsi="Arial" w:cs="Arial"/>
                                                    <w:b/>
                                                    <w:bCs/>
                                                    <w:color w:val="000000"/>
                                                    <w:kern w:val="24"/>
                                                    <w:sz w:val="14"/>
                                                    <w:szCs w:val="14"/>
                                                  </w:rPr>
                                                  <w:t>відомості про штатні підривники</w:t>
                                                </w:r>
                                              </w:p>
                                            </w:txbxContent>
                                          </wps:txbx>
                                          <wps:bodyPr rtlCol="0" anchor="ctr"/>
                                        </wps:wsp>
                                        <wps:wsp>
                                          <wps:cNvPr id="32372975" name="Прямокутник 1529878365"/>
                                          <wps:cNvSpPr/>
                                          <wps:spPr>
                                            <a:xfrm flipH="1">
                                              <a:off x="5304774" y="2719392"/>
                                              <a:ext cx="2481267" cy="488742"/>
                                            </a:xfrm>
                                            <a:prstGeom prst="rect">
                                              <a:avLst/>
                                            </a:prstGeom>
                                            <a:solidFill>
                                              <a:srgbClr val="E5BDDC"/>
                                            </a:solidFill>
                                            <a:ln w="25400" cap="flat" cmpd="sng" algn="ctr">
                                              <a:solidFill>
                                                <a:sysClr val="window" lastClr="FFFFFF"/>
                                              </a:solidFill>
                                              <a:prstDash val="solid"/>
                                              <a:miter lim="800000"/>
                                            </a:ln>
                                            <a:effectLst/>
                                          </wps:spPr>
                                          <wps:txbx>
                                            <w:txbxContent>
                                              <w:p w14:paraId="7FCE36F7" w14:textId="77777777" w:rsidR="00F25FCF" w:rsidRPr="003B5892" w:rsidRDefault="00F25FCF" w:rsidP="00385184">
                                                <w:pPr>
                                                  <w:jc w:val="center"/>
                                                  <w:rPr>
                                                    <w:rFonts w:ascii="Arial" w:hAnsi="Arial" w:cs="Arial"/>
                                                    <w:b/>
                                                    <w:bCs/>
                                                    <w:color w:val="000000"/>
                                                    <w:kern w:val="24"/>
                                                    <w:sz w:val="18"/>
                                                    <w:szCs w:val="18"/>
                                                  </w:rPr>
                                                </w:pPr>
                                                <w:r w:rsidRPr="003B5892">
                                                  <w:rPr>
                                                    <w:rFonts w:ascii="Arial" w:hAnsi="Arial" w:cs="Arial"/>
                                                    <w:b/>
                                                    <w:bCs/>
                                                    <w:color w:val="000000"/>
                                                    <w:kern w:val="24"/>
                                                    <w:sz w:val="18"/>
                                                    <w:szCs w:val="18"/>
                                                  </w:rPr>
                                                  <w:t>Блок вивчення підривників</w:t>
                                                </w:r>
                                              </w:p>
                                            </w:txbxContent>
                                          </wps:txbx>
                                          <wps:bodyPr rtlCol="0" anchor="ctr"/>
                                        </wps:wsp>
                                        <wps:wsp>
                                          <wps:cNvPr id="1656909748" name="Прямокутник 695613724"/>
                                          <wps:cNvSpPr/>
                                          <wps:spPr>
                                            <a:xfrm flipH="1">
                                              <a:off x="6733620" y="1405692"/>
                                              <a:ext cx="1227250" cy="757184"/>
                                            </a:xfrm>
                                            <a:prstGeom prst="rect">
                                              <a:avLst/>
                                            </a:prstGeom>
                                            <a:solidFill>
                                              <a:srgbClr val="E97132">
                                                <a:lumMod val="60000"/>
                                                <a:lumOff val="40000"/>
                                              </a:srgbClr>
                                            </a:solidFill>
                                            <a:ln>
                                              <a:noFill/>
                                            </a:ln>
                                            <a:effectLst>
                                              <a:outerShdw blurRad="57150" dist="19050" dir="5400000" algn="ctr" rotWithShape="0">
                                                <a:srgbClr val="000000">
                                                  <a:alpha val="63000"/>
                                                </a:srgbClr>
                                              </a:outerShdw>
                                            </a:effectLst>
                                          </wps:spPr>
                                          <wps:txbx>
                                            <w:txbxContent>
                                              <w:p w14:paraId="251FAF92" w14:textId="77777777" w:rsidR="00F25FCF" w:rsidRPr="003B5892" w:rsidRDefault="00F25FCF" w:rsidP="00385184">
                                                <w:pPr>
                                                  <w:spacing w:line="240" w:lineRule="auto"/>
                                                  <w:ind w:hanging="142"/>
                                                  <w:jc w:val="center"/>
                                                  <w:rPr>
                                                    <w:rFonts w:ascii="Arial" w:hAnsi="Arial" w:cs="Arial"/>
                                                    <w:b/>
                                                    <w:bCs/>
                                                    <w:color w:val="000000"/>
                                                    <w:kern w:val="24"/>
                                                    <w:sz w:val="14"/>
                                                    <w:szCs w:val="14"/>
                                                  </w:rPr>
                                                </w:pPr>
                                                <w:r w:rsidRPr="003B5892">
                                                  <w:rPr>
                                                    <w:rFonts w:ascii="Arial" w:hAnsi="Arial" w:cs="Arial"/>
                                                    <w:b/>
                                                    <w:bCs/>
                                                    <w:color w:val="000000"/>
                                                    <w:kern w:val="24"/>
                                                    <w:sz w:val="14"/>
                                                    <w:szCs w:val="14"/>
                                                  </w:rPr>
                                                  <w:t>Користування ключами і шкалами підривників</w:t>
                                                </w:r>
                                              </w:p>
                                            </w:txbxContent>
                                          </wps:txbx>
                                          <wps:bodyPr rtlCol="0" anchor="ctr"/>
                                        </wps:wsp>
                                        <wps:wsp>
                                          <wps:cNvPr id="1373376577" name="Прямокутник 306015580"/>
                                          <wps:cNvSpPr/>
                                          <wps:spPr>
                                            <a:xfrm>
                                              <a:off x="7473669" y="2370015"/>
                                              <a:ext cx="464190" cy="335807"/>
                                            </a:xfrm>
                                            <a:prstGeom prst="rect">
                                              <a:avLst/>
                                            </a:prstGeom>
                                            <a:solidFill>
                                              <a:sysClr val="window" lastClr="FFFFFF"/>
                                            </a:solidFill>
                                            <a:ln w="19050" cap="flat" cmpd="sng" algn="ctr">
                                              <a:solidFill>
                                                <a:sysClr val="windowText" lastClr="000000"/>
                                              </a:solidFill>
                                              <a:prstDash val="solid"/>
                                              <a:miter lim="800000"/>
                                            </a:ln>
                                            <a:effectLst/>
                                          </wps:spPr>
                                          <wps:txbx>
                                            <w:txbxContent>
                                              <w:p w14:paraId="4B9F4809" w14:textId="77777777" w:rsidR="00F25FCF" w:rsidRPr="003B5892" w:rsidRDefault="00F25FCF" w:rsidP="00385184">
                                                <w:pPr>
                                                  <w:jc w:val="center"/>
                                                  <w:rPr>
                                                    <w:rFonts w:hAnsi="Aptos"/>
                                                    <w:color w:val="000000"/>
                                                    <w:kern w:val="24"/>
                                                  </w:rPr>
                                                </w:pPr>
                                                <w:r w:rsidRPr="003B5892">
                                                  <w:rPr>
                                                    <w:rFonts w:hAnsi="Aptos"/>
                                                    <w:color w:val="000000"/>
                                                    <w:kern w:val="24"/>
                                                  </w:rPr>
                                                  <w:t>3</w:t>
                                                </w:r>
                                              </w:p>
                                            </w:txbxContent>
                                          </wps:txbx>
                                          <wps:bodyPr rtlCol="0" anchor="ctr"/>
                                        </wps:wsp>
                                        <wps:wsp>
                                          <wps:cNvPr id="575690586" name="Сполучна лінія уступом 54"/>
                                          <wps:cNvCnPr/>
                                          <wps:spPr>
                                            <a:xfrm rot="5400000" flipH="1" flipV="1">
                                              <a:off x="6601042" y="659540"/>
                                              <a:ext cx="16967" cy="1492306"/>
                                            </a:xfrm>
                                            <a:prstGeom prst="bentConnector3">
                                              <a:avLst>
                                                <a:gd name="adj1" fmla="val 1800000"/>
                                              </a:avLst>
                                            </a:prstGeom>
                                            <a:noFill/>
                                            <a:ln w="19050" cap="flat" cmpd="sng" algn="ctr">
                                              <a:solidFill>
                                                <a:srgbClr val="156082"/>
                                              </a:solidFill>
                                              <a:prstDash val="solid"/>
                                              <a:miter lim="800000"/>
                                              <a:headEnd type="triangle"/>
                                              <a:tailEnd type="triangle"/>
                                            </a:ln>
                                            <a:effectLst/>
                                          </wps:spPr>
                                          <wps:bodyPr/>
                                        </wps:wsp>
                                        <wps:wsp>
                                          <wps:cNvPr id="684115886" name="Сполучна лінія уступом 55"/>
                                          <wps:cNvCnPr/>
                                          <wps:spPr>
                                            <a:xfrm rot="16200000" flipH="1">
                                              <a:off x="6601042" y="1416722"/>
                                              <a:ext cx="16967" cy="1492306"/>
                                            </a:xfrm>
                                            <a:prstGeom prst="bentConnector3">
                                              <a:avLst>
                                                <a:gd name="adj1" fmla="val 1499969"/>
                                              </a:avLst>
                                            </a:prstGeom>
                                            <a:noFill/>
                                            <a:ln w="19050" cap="flat" cmpd="sng" algn="ctr">
                                              <a:solidFill>
                                                <a:srgbClr val="156082"/>
                                              </a:solidFill>
                                              <a:prstDash val="solid"/>
                                              <a:miter lim="800000"/>
                                              <a:headEnd type="triangle"/>
                                              <a:tailEnd type="triangle"/>
                                            </a:ln>
                                            <a:effectLst/>
                                          </wps:spPr>
                                          <wps:bodyPr/>
                                        </wps:wsp>
                                        <wps:wsp>
                                          <wps:cNvPr id="1468298544" name="Пряма зі стрілкою 1289678779"/>
                                          <wps:cNvCnPr/>
                                          <wps:spPr>
                                            <a:xfrm>
                                              <a:off x="6405010" y="1784285"/>
                                              <a:ext cx="328610" cy="0"/>
                                            </a:xfrm>
                                            <a:prstGeom prst="straightConnector1">
                                              <a:avLst/>
                                            </a:prstGeom>
                                            <a:noFill/>
                                            <a:ln w="19050" cap="flat" cmpd="sng" algn="ctr">
                                              <a:solidFill>
                                                <a:srgbClr val="156082"/>
                                              </a:solidFill>
                                              <a:prstDash val="solid"/>
                                              <a:miter lim="800000"/>
                                              <a:tailEnd type="triangle"/>
                                            </a:ln>
                                            <a:effectLst/>
                                          </wps:spPr>
                                          <wps:bodyPr/>
                                        </wps:wsp>
                                      </wpg:grpSp>
                                    </wpg:grpSp>
                                    <wpg:grpSp>
                                      <wpg:cNvPr id="439822739" name="Групувати 1584614818"/>
                                      <wpg:cNvGrpSpPr/>
                                      <wpg:grpSpPr>
                                        <a:xfrm>
                                          <a:off x="25813" y="2980364"/>
                                          <a:ext cx="7716787" cy="2212680"/>
                                          <a:chOff x="25813" y="2980364"/>
                                          <a:chExt cx="7716787" cy="2212680"/>
                                        </a:xfrm>
                                      </wpg:grpSpPr>
                                      <wpg:grpSp>
                                        <wpg:cNvPr id="217875889" name="Групувати 210637650"/>
                                        <wpg:cNvGrpSpPr/>
                                        <wpg:grpSpPr>
                                          <a:xfrm>
                                            <a:off x="2625585" y="2980412"/>
                                            <a:ext cx="2412495" cy="2212555"/>
                                            <a:chOff x="2625585" y="2980405"/>
                                            <a:chExt cx="2770988" cy="2463555"/>
                                          </a:xfrm>
                                        </wpg:grpSpPr>
                                        <wps:wsp>
                                          <wps:cNvPr id="618137814" name="Прямокутник 213003929"/>
                                          <wps:cNvSpPr/>
                                          <wps:spPr>
                                            <a:xfrm flipH="1">
                                              <a:off x="2739343" y="2980405"/>
                                              <a:ext cx="2481263" cy="442761"/>
                                            </a:xfrm>
                                            <a:prstGeom prst="rect">
                                              <a:avLst/>
                                            </a:prstGeom>
                                            <a:gradFill rotWithShape="1">
                                              <a:gsLst>
                                                <a:gs pos="0">
                                                  <a:srgbClr val="0F9ED5">
                                                    <a:satMod val="103000"/>
                                                    <a:lumMod val="102000"/>
                                                    <a:tint val="94000"/>
                                                  </a:srgbClr>
                                                </a:gs>
                                                <a:gs pos="50000">
                                                  <a:srgbClr val="0F9ED5">
                                                    <a:satMod val="110000"/>
                                                    <a:lumMod val="100000"/>
                                                    <a:shade val="100000"/>
                                                  </a:srgbClr>
                                                </a:gs>
                                                <a:gs pos="100000">
                                                  <a:srgbClr val="0F9ED5">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389B4C80" w14:textId="77777777" w:rsidR="00F25FCF" w:rsidRPr="003B5892" w:rsidRDefault="00F25FCF" w:rsidP="00385184">
                                                <w:pPr>
                                                  <w:jc w:val="center"/>
                                                  <w:rPr>
                                                    <w:rFonts w:hAnsi="Aptos"/>
                                                    <w:color w:val="FFFFFF"/>
                                                    <w:kern w:val="24"/>
                                                    <w:sz w:val="20"/>
                                                    <w:szCs w:val="20"/>
                                                  </w:rPr>
                                                </w:pPr>
                                                <w:r w:rsidRPr="003B5892">
                                                  <w:rPr>
                                                    <w:rFonts w:hAnsi="Aptos"/>
                                                    <w:color w:val="FFFFFF"/>
                                                    <w:kern w:val="24"/>
                                                    <w:sz w:val="20"/>
                                                    <w:szCs w:val="20"/>
                                                  </w:rPr>
                                                  <w:t>Поради</w:t>
                                                </w:r>
                                                <w:r w:rsidRPr="003B5892">
                                                  <w:rPr>
                                                    <w:rFonts w:hAnsi="Aptos"/>
                                                    <w:color w:val="FFFFFF"/>
                                                    <w:kern w:val="24"/>
                                                    <w:sz w:val="20"/>
                                                    <w:szCs w:val="20"/>
                                                  </w:rPr>
                                                  <w:t xml:space="preserve"> </w:t>
                                                </w:r>
                                                <w:r w:rsidRPr="003B5892">
                                                  <w:rPr>
                                                    <w:rFonts w:hAnsi="Aptos"/>
                                                    <w:color w:val="FFFFFF"/>
                                                    <w:kern w:val="24"/>
                                                    <w:sz w:val="20"/>
                                                    <w:szCs w:val="20"/>
                                                  </w:rPr>
                                                  <w:t>спеціаліста</w:t>
                                                </w:r>
                                                <w:r w:rsidRPr="003B5892">
                                                  <w:rPr>
                                                    <w:rFonts w:hAnsi="Aptos"/>
                                                    <w:color w:val="FFFFFF"/>
                                                    <w:kern w:val="24"/>
                                                    <w:sz w:val="20"/>
                                                    <w:szCs w:val="20"/>
                                                  </w:rPr>
                                                  <w:t xml:space="preserve">, </w:t>
                                                </w:r>
                                                <w:r w:rsidRPr="003B5892">
                                                  <w:rPr>
                                                    <w:rFonts w:hAnsi="Aptos"/>
                                                    <w:color w:val="FFFFFF"/>
                                                    <w:kern w:val="24"/>
                                                    <w:sz w:val="20"/>
                                                    <w:szCs w:val="20"/>
                                                  </w:rPr>
                                                  <w:t>консультації</w:t>
                                                </w:r>
                                              </w:p>
                                            </w:txbxContent>
                                          </wps:txbx>
                                          <wps:bodyPr rtlCol="0" anchor="ctr"/>
                                        </wps:wsp>
                                        <wps:wsp>
                                          <wps:cNvPr id="1048536149" name="Прямокутник 2084407737"/>
                                          <wps:cNvSpPr/>
                                          <wps:spPr>
                                            <a:xfrm flipH="1">
                                              <a:off x="2625585" y="3677239"/>
                                              <a:ext cx="1214083" cy="690562"/>
                                            </a:xfrm>
                                            <a:prstGeom prst="rect">
                                              <a:avLst/>
                                            </a:prstGeom>
                                            <a:solidFill>
                                              <a:srgbClr val="E97132">
                                                <a:lumMod val="60000"/>
                                                <a:lumOff val="40000"/>
                                              </a:srgbClr>
                                            </a:solidFill>
                                            <a:ln>
                                              <a:noFill/>
                                            </a:ln>
                                            <a:effectLst>
                                              <a:outerShdw blurRad="57150" dist="19050" dir="5400000" algn="ctr" rotWithShape="0">
                                                <a:srgbClr val="000000">
                                                  <a:alpha val="63000"/>
                                                </a:srgbClr>
                                              </a:outerShdw>
                                            </a:effectLst>
                                          </wps:spPr>
                                          <wps:txbx>
                                            <w:txbxContent>
                                              <w:p w14:paraId="38D28C10" w14:textId="77777777" w:rsidR="00F25FCF" w:rsidRPr="003B5892" w:rsidRDefault="00F25FCF" w:rsidP="00385184">
                                                <w:pPr>
                                                  <w:spacing w:line="240" w:lineRule="auto"/>
                                                  <w:jc w:val="center"/>
                                                  <w:rPr>
                                                    <w:rFonts w:ascii="Arial" w:hAnsi="Arial" w:cs="Arial"/>
                                                    <w:b/>
                                                    <w:bCs/>
                                                    <w:color w:val="000000"/>
                                                    <w:kern w:val="24"/>
                                                    <w:sz w:val="20"/>
                                                    <w:szCs w:val="20"/>
                                                    <w:lang w:val="ru-RU"/>
                                                  </w:rPr>
                                                </w:pPr>
                                                <w:r w:rsidRPr="003B5892">
                                                  <w:rPr>
                                                    <w:rFonts w:ascii="Arial" w:hAnsi="Arial" w:cs="Arial"/>
                                                    <w:b/>
                                                    <w:bCs/>
                                                    <w:color w:val="000000"/>
                                                    <w:kern w:val="24"/>
                                                    <w:sz w:val="16"/>
                                                    <w:szCs w:val="16"/>
                                                    <w:lang w:val="ru-RU"/>
                                                  </w:rPr>
                                                  <w:t>Вивчення маркуван-ня і тавруван-ня</w:t>
                                                </w:r>
                                                <w:r w:rsidRPr="003B5892">
                                                  <w:rPr>
                                                    <w:rFonts w:ascii="Arial" w:hAnsi="Arial" w:cs="Arial"/>
                                                    <w:b/>
                                                    <w:bCs/>
                                                    <w:color w:val="000000"/>
                                                    <w:kern w:val="24"/>
                                                    <w:sz w:val="20"/>
                                                    <w:szCs w:val="20"/>
                                                    <w:lang w:val="ru-RU"/>
                                                  </w:rPr>
                                                  <w:t xml:space="preserve"> боєприпасів</w:t>
                                                </w:r>
                                              </w:p>
                                            </w:txbxContent>
                                          </wps:txbx>
                                          <wps:bodyPr rtlCol="0" anchor="ctr"/>
                                        </wps:wsp>
                                        <wps:wsp>
                                          <wps:cNvPr id="348837852" name="Прямокутник 479739095"/>
                                          <wps:cNvSpPr/>
                                          <wps:spPr>
                                            <a:xfrm flipH="1">
                                              <a:off x="2739340" y="4936534"/>
                                              <a:ext cx="2481263" cy="507426"/>
                                            </a:xfrm>
                                            <a:prstGeom prst="rect">
                                              <a:avLst/>
                                            </a:prstGeom>
                                            <a:solidFill>
                                              <a:srgbClr val="E5BDDC"/>
                                            </a:solidFill>
                                            <a:ln w="25400" cap="flat" cmpd="sng" algn="ctr">
                                              <a:solidFill>
                                                <a:sysClr val="window" lastClr="FFFFFF"/>
                                              </a:solidFill>
                                              <a:prstDash val="solid"/>
                                              <a:miter lim="800000"/>
                                            </a:ln>
                                            <a:effectLst/>
                                          </wps:spPr>
                                          <wps:txbx>
                                            <w:txbxContent>
                                              <w:p w14:paraId="0054192F" w14:textId="77777777" w:rsidR="00F25FCF" w:rsidRPr="003B5892" w:rsidRDefault="00F25FCF" w:rsidP="00385184">
                                                <w:pPr>
                                                  <w:jc w:val="center"/>
                                                  <w:rPr>
                                                    <w:rFonts w:ascii="Arial" w:hAnsi="Arial" w:cs="Arial"/>
                                                    <w:b/>
                                                    <w:bCs/>
                                                    <w:color w:val="000000"/>
                                                    <w:kern w:val="24"/>
                                                    <w:sz w:val="16"/>
                                                    <w:szCs w:val="16"/>
                                                  </w:rPr>
                                                </w:pPr>
                                                <w:r w:rsidRPr="003B5892">
                                                  <w:rPr>
                                                    <w:rFonts w:ascii="Arial" w:hAnsi="Arial" w:cs="Arial"/>
                                                    <w:b/>
                                                    <w:bCs/>
                                                    <w:color w:val="000000"/>
                                                    <w:kern w:val="24"/>
                                                    <w:sz w:val="16"/>
                                                    <w:szCs w:val="16"/>
                                                  </w:rPr>
                                                  <w:t>Блок вивчення ефекту дії снаряда</w:t>
                                                </w:r>
                                              </w:p>
                                            </w:txbxContent>
                                          </wps:txbx>
                                          <wps:bodyPr rtlCol="0" anchor="ctr"/>
                                        </wps:wsp>
                                        <wps:wsp>
                                          <wps:cNvPr id="1900349095" name="Прямокутник 106340035"/>
                                          <wps:cNvSpPr/>
                                          <wps:spPr>
                                            <a:xfrm flipH="1">
                                              <a:off x="4168278" y="3677239"/>
                                              <a:ext cx="1175422" cy="690562"/>
                                            </a:xfrm>
                                            <a:prstGeom prst="rect">
                                              <a:avLst/>
                                            </a:prstGeom>
                                            <a:solidFill>
                                              <a:srgbClr val="E97132">
                                                <a:lumMod val="60000"/>
                                                <a:lumOff val="40000"/>
                                              </a:srgbClr>
                                            </a:solidFill>
                                            <a:ln>
                                              <a:noFill/>
                                            </a:ln>
                                            <a:effectLst>
                                              <a:outerShdw blurRad="57150" dist="19050" dir="5400000" algn="ctr" rotWithShape="0">
                                                <a:srgbClr val="000000">
                                                  <a:alpha val="63000"/>
                                                </a:srgbClr>
                                              </a:outerShdw>
                                            </a:effectLst>
                                          </wps:spPr>
                                          <wps:txbx>
                                            <w:txbxContent>
                                              <w:p w14:paraId="3556CB9C" w14:textId="77777777" w:rsidR="00F25FCF" w:rsidRPr="003B5892" w:rsidRDefault="00F25FCF" w:rsidP="00385184">
                                                <w:pPr>
                                                  <w:spacing w:line="240" w:lineRule="auto"/>
                                                  <w:jc w:val="center"/>
                                                  <w:rPr>
                                                    <w:rFonts w:ascii="Arial" w:hAnsi="Arial" w:cs="Arial"/>
                                                    <w:b/>
                                                    <w:bCs/>
                                                    <w:color w:val="000000"/>
                                                    <w:kern w:val="24"/>
                                                    <w:sz w:val="16"/>
                                                    <w:szCs w:val="16"/>
                                                    <w:lang w:val="ru-RU"/>
                                                  </w:rPr>
                                                </w:pPr>
                                                <w:r w:rsidRPr="003B5892">
                                                  <w:rPr>
                                                    <w:rFonts w:ascii="Arial" w:hAnsi="Arial" w:cs="Arial"/>
                                                    <w:b/>
                                                    <w:bCs/>
                                                    <w:color w:val="000000"/>
                                                    <w:kern w:val="24"/>
                                                    <w:sz w:val="16"/>
                                                    <w:szCs w:val="16"/>
                                                    <w:lang w:val="ru-RU"/>
                                                  </w:rPr>
                                                  <w:t>Вивчення очікува-ного ефекту дії снаряда</w:t>
                                                </w:r>
                                              </w:p>
                                            </w:txbxContent>
                                          </wps:txbx>
                                          <wps:bodyPr rtlCol="0" anchor="ctr"/>
                                        </wps:wsp>
                                        <wps:wsp>
                                          <wps:cNvPr id="620114817" name="Прямокутник 1053280957"/>
                                          <wps:cNvSpPr/>
                                          <wps:spPr>
                                            <a:xfrm>
                                              <a:off x="4989556" y="4655902"/>
                                              <a:ext cx="407017" cy="287449"/>
                                            </a:xfrm>
                                            <a:prstGeom prst="rect">
                                              <a:avLst/>
                                            </a:prstGeom>
                                            <a:solidFill>
                                              <a:sysClr val="window" lastClr="FFFFFF"/>
                                            </a:solidFill>
                                            <a:ln w="19050" cap="flat" cmpd="sng" algn="ctr">
                                              <a:solidFill>
                                                <a:sysClr val="windowText" lastClr="000000"/>
                                              </a:solidFill>
                                              <a:prstDash val="solid"/>
                                              <a:miter lim="800000"/>
                                            </a:ln>
                                            <a:effectLst/>
                                          </wps:spPr>
                                          <wps:txbx>
                                            <w:txbxContent>
                                              <w:p w14:paraId="5DCDE79A" w14:textId="77777777" w:rsidR="00F25FCF" w:rsidRPr="003B5892" w:rsidRDefault="00F25FCF" w:rsidP="00385184">
                                                <w:pPr>
                                                  <w:jc w:val="center"/>
                                                  <w:rPr>
                                                    <w:rFonts w:hAnsi="Aptos"/>
                                                    <w:color w:val="000000"/>
                                                    <w:kern w:val="24"/>
                                                  </w:rPr>
                                                </w:pPr>
                                                <w:r w:rsidRPr="003B5892">
                                                  <w:rPr>
                                                    <w:rFonts w:hAnsi="Aptos"/>
                                                    <w:color w:val="000000"/>
                                                    <w:kern w:val="24"/>
                                                  </w:rPr>
                                                  <w:t>5</w:t>
                                                </w:r>
                                              </w:p>
                                            </w:txbxContent>
                                          </wps:txbx>
                                          <wps:bodyPr rtlCol="0" anchor="ctr"/>
                                        </wps:wsp>
                                        <wps:wsp>
                                          <wps:cNvPr id="1138526634" name="Сполучна лінія уступом 85"/>
                                          <wps:cNvCnPr>
                                            <a:cxnSpLocks/>
                                          </wps:cNvCnPr>
                                          <wps:spPr>
                                            <a:xfrm rot="5400000" flipH="1" flipV="1">
                                              <a:off x="3994178" y="2937166"/>
                                              <a:ext cx="15157" cy="1523362"/>
                                            </a:xfrm>
                                            <a:prstGeom prst="bentConnector3">
                                              <a:avLst>
                                                <a:gd name="adj1" fmla="val 1800000"/>
                                              </a:avLst>
                                            </a:prstGeom>
                                            <a:noFill/>
                                            <a:ln w="19050" cap="flat" cmpd="sng" algn="ctr">
                                              <a:solidFill>
                                                <a:srgbClr val="156082"/>
                                              </a:solidFill>
                                              <a:prstDash val="solid"/>
                                              <a:miter lim="800000"/>
                                              <a:headEnd type="triangle"/>
                                              <a:tailEnd type="triangle"/>
                                            </a:ln>
                                            <a:effectLst/>
                                          </wps:spPr>
                                          <wps:bodyPr/>
                                        </wps:wsp>
                                        <wps:wsp>
                                          <wps:cNvPr id="178513878" name="Сполучна лінія уступом 86"/>
                                          <wps:cNvCnPr/>
                                          <wps:spPr>
                                            <a:xfrm rot="16200000" flipH="1">
                                              <a:off x="3994178" y="3606120"/>
                                              <a:ext cx="15157" cy="1523362"/>
                                            </a:xfrm>
                                            <a:prstGeom prst="bentConnector3">
                                              <a:avLst>
                                                <a:gd name="adj1" fmla="val 1800000"/>
                                              </a:avLst>
                                            </a:prstGeom>
                                            <a:noFill/>
                                            <a:ln w="19050" cap="flat" cmpd="sng" algn="ctr">
                                              <a:solidFill>
                                                <a:srgbClr val="156082"/>
                                              </a:solidFill>
                                              <a:prstDash val="solid"/>
                                              <a:miter lim="800000"/>
                                              <a:headEnd type="triangle"/>
                                              <a:tailEnd type="triangle"/>
                                            </a:ln>
                                            <a:effectLst/>
                                          </wps:spPr>
                                          <wps:bodyPr/>
                                        </wps:wsp>
                                        <wps:wsp>
                                          <wps:cNvPr id="1215711970" name="Пряма зі стрілкою 1874499233"/>
                                          <wps:cNvCnPr/>
                                          <wps:spPr>
                                            <a:xfrm>
                                              <a:off x="3839669" y="4022520"/>
                                              <a:ext cx="328610" cy="0"/>
                                            </a:xfrm>
                                            <a:prstGeom prst="straightConnector1">
                                              <a:avLst/>
                                            </a:prstGeom>
                                            <a:noFill/>
                                            <a:ln w="19050" cap="flat" cmpd="sng" algn="ctr">
                                              <a:solidFill>
                                                <a:srgbClr val="156082"/>
                                              </a:solidFill>
                                              <a:prstDash val="solid"/>
                                              <a:miter lim="800000"/>
                                              <a:tailEnd type="triangle"/>
                                            </a:ln>
                                            <a:effectLst/>
                                          </wps:spPr>
                                          <wps:bodyPr/>
                                        </wps:wsp>
                                      </wpg:grpSp>
                                      <wpg:grpSp>
                                        <wpg:cNvPr id="673891537" name="Групувати 1722661034"/>
                                        <wpg:cNvGrpSpPr/>
                                        <wpg:grpSpPr>
                                          <a:xfrm>
                                            <a:off x="25813" y="2980364"/>
                                            <a:ext cx="2430398" cy="2212591"/>
                                            <a:chOff x="25813" y="2980356"/>
                                            <a:chExt cx="2791555" cy="2463596"/>
                                          </a:xfrm>
                                        </wpg:grpSpPr>
                                        <wps:wsp>
                                          <wps:cNvPr id="99820609" name="Прямокутник 1498436848"/>
                                          <wps:cNvSpPr/>
                                          <wps:spPr>
                                            <a:xfrm flipH="1">
                                              <a:off x="168137" y="2980356"/>
                                              <a:ext cx="2481261" cy="489968"/>
                                            </a:xfrm>
                                            <a:prstGeom prst="rect">
                                              <a:avLst/>
                                            </a:prstGeom>
                                            <a:gradFill rotWithShape="1">
                                              <a:gsLst>
                                                <a:gs pos="0">
                                                  <a:srgbClr val="0F9ED5">
                                                    <a:satMod val="103000"/>
                                                    <a:lumMod val="102000"/>
                                                    <a:tint val="94000"/>
                                                  </a:srgbClr>
                                                </a:gs>
                                                <a:gs pos="50000">
                                                  <a:srgbClr val="0F9ED5">
                                                    <a:satMod val="110000"/>
                                                    <a:lumMod val="100000"/>
                                                    <a:shade val="100000"/>
                                                  </a:srgbClr>
                                                </a:gs>
                                                <a:gs pos="100000">
                                                  <a:srgbClr val="0F9ED5">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3F3AF58F" w14:textId="77777777" w:rsidR="00F25FCF" w:rsidRPr="003B5892" w:rsidRDefault="00F25FCF" w:rsidP="00385184">
                                                <w:pPr>
                                                  <w:jc w:val="center"/>
                                                  <w:rPr>
                                                    <w:rFonts w:hAnsi="Aptos"/>
                                                    <w:color w:val="FFFFFF"/>
                                                    <w:kern w:val="24"/>
                                                    <w:sz w:val="20"/>
                                                    <w:szCs w:val="20"/>
                                                    <w:lang w:val="ru-RU"/>
                                                  </w:rPr>
                                                </w:pPr>
                                                <w:r w:rsidRPr="003B5892">
                                                  <w:rPr>
                                                    <w:rFonts w:hAnsi="Aptos"/>
                                                    <w:color w:val="FFFFFF"/>
                                                    <w:kern w:val="24"/>
                                                    <w:sz w:val="20"/>
                                                    <w:szCs w:val="20"/>
                                                    <w:lang w:val="ru-RU"/>
                                                  </w:rPr>
                                                  <w:t>Наведення</w:t>
                                                </w:r>
                                                <w:r w:rsidRPr="003B5892">
                                                  <w:rPr>
                                                    <w:rFonts w:hAnsi="Aptos"/>
                                                    <w:color w:val="FFFFFF"/>
                                                    <w:kern w:val="24"/>
                                                    <w:sz w:val="20"/>
                                                    <w:szCs w:val="20"/>
                                                    <w:lang w:val="ru-RU"/>
                                                  </w:rPr>
                                                  <w:t xml:space="preserve"> </w:t>
                                                </w:r>
                                                <w:r w:rsidRPr="003B5892">
                                                  <w:rPr>
                                                    <w:rFonts w:hAnsi="Aptos"/>
                                                    <w:color w:val="FFFFFF"/>
                                                    <w:kern w:val="24"/>
                                                    <w:sz w:val="20"/>
                                                    <w:szCs w:val="20"/>
                                                    <w:lang w:val="ru-RU"/>
                                                  </w:rPr>
                                                  <w:t>прикладів</w:t>
                                                </w:r>
                                                <w:r w:rsidRPr="003B5892">
                                                  <w:rPr>
                                                    <w:rFonts w:hAnsi="Aptos"/>
                                                    <w:color w:val="FFFFFF"/>
                                                    <w:kern w:val="24"/>
                                                    <w:sz w:val="20"/>
                                                    <w:szCs w:val="20"/>
                                                    <w:lang w:val="ru-RU"/>
                                                  </w:rPr>
                                                  <w:t xml:space="preserve"> </w:t>
                                                </w:r>
                                                <w:r w:rsidRPr="003B5892">
                                                  <w:rPr>
                                                    <w:rFonts w:hAnsi="Aptos"/>
                                                    <w:color w:val="FFFFFF"/>
                                                    <w:kern w:val="24"/>
                                                    <w:sz w:val="20"/>
                                                    <w:szCs w:val="20"/>
                                                    <w:lang w:val="ru-RU"/>
                                                  </w:rPr>
                                                  <w:t>неправильних</w:t>
                                                </w:r>
                                                <w:r w:rsidRPr="003B5892">
                                                  <w:rPr>
                                                    <w:rFonts w:hAnsi="Aptos"/>
                                                    <w:color w:val="FFFFFF"/>
                                                    <w:kern w:val="24"/>
                                                    <w:sz w:val="20"/>
                                                    <w:szCs w:val="20"/>
                                                    <w:lang w:val="ru-RU"/>
                                                  </w:rPr>
                                                  <w:t xml:space="preserve"> </w:t>
                                                </w:r>
                                                <w:r w:rsidRPr="003B5892">
                                                  <w:rPr>
                                                    <w:rFonts w:hAnsi="Aptos"/>
                                                    <w:color w:val="FFFFFF"/>
                                                    <w:kern w:val="24"/>
                                                    <w:sz w:val="20"/>
                                                    <w:szCs w:val="20"/>
                                                    <w:lang w:val="ru-RU"/>
                                                  </w:rPr>
                                                  <w:t>дій</w:t>
                                                </w:r>
                                                <w:r w:rsidRPr="003B5892">
                                                  <w:rPr>
                                                    <w:rFonts w:hAnsi="Aptos"/>
                                                    <w:color w:val="FFFFFF"/>
                                                    <w:kern w:val="24"/>
                                                    <w:sz w:val="20"/>
                                                    <w:szCs w:val="20"/>
                                                    <w:lang w:val="ru-RU"/>
                                                  </w:rPr>
                                                  <w:t xml:space="preserve"> </w:t>
                                                </w:r>
                                                <w:r w:rsidRPr="003B5892">
                                                  <w:rPr>
                                                    <w:rFonts w:hAnsi="Aptos"/>
                                                    <w:color w:val="FFFFFF"/>
                                                    <w:kern w:val="24"/>
                                                    <w:sz w:val="20"/>
                                                    <w:szCs w:val="20"/>
                                                    <w:lang w:val="ru-RU"/>
                                                  </w:rPr>
                                                  <w:t>з</w:t>
                                                </w:r>
                                                <w:r w:rsidRPr="003B5892">
                                                  <w:rPr>
                                                    <w:rFonts w:hAnsi="Aptos"/>
                                                    <w:color w:val="FFFFFF"/>
                                                    <w:kern w:val="24"/>
                                                    <w:sz w:val="20"/>
                                                    <w:szCs w:val="20"/>
                                                    <w:lang w:val="ru-RU"/>
                                                  </w:rPr>
                                                  <w:t xml:space="preserve"> </w:t>
                                                </w:r>
                                                <w:r w:rsidRPr="003B5892">
                                                  <w:rPr>
                                                    <w:rFonts w:hAnsi="Aptos"/>
                                                    <w:color w:val="FFFFFF"/>
                                                    <w:kern w:val="24"/>
                                                    <w:sz w:val="20"/>
                                                    <w:szCs w:val="20"/>
                                                    <w:lang w:val="ru-RU"/>
                                                  </w:rPr>
                                                  <w:t>БП</w:t>
                                                </w:r>
                                              </w:p>
                                            </w:txbxContent>
                                          </wps:txbx>
                                          <wps:bodyPr rtlCol="0" anchor="ctr"/>
                                        </wps:wsp>
                                        <wps:wsp>
                                          <wps:cNvPr id="1374523079" name="Прямокутник 893304077"/>
                                          <wps:cNvSpPr/>
                                          <wps:spPr>
                                            <a:xfrm flipH="1">
                                              <a:off x="25813" y="3672290"/>
                                              <a:ext cx="1100140" cy="690562"/>
                                            </a:xfrm>
                                            <a:prstGeom prst="rect">
                                              <a:avLst/>
                                            </a:prstGeom>
                                            <a:solidFill>
                                              <a:srgbClr val="E97132">
                                                <a:lumMod val="60000"/>
                                                <a:lumOff val="40000"/>
                                              </a:srgbClr>
                                            </a:solidFill>
                                            <a:ln>
                                              <a:noFill/>
                                            </a:ln>
                                            <a:effectLst>
                                              <a:outerShdw blurRad="57150" dist="19050" dir="5400000" algn="ctr" rotWithShape="0">
                                                <a:srgbClr val="000000">
                                                  <a:alpha val="63000"/>
                                                </a:srgbClr>
                                              </a:outerShdw>
                                            </a:effectLst>
                                          </wps:spPr>
                                          <wps:txbx>
                                            <w:txbxContent>
                                              <w:p w14:paraId="53EB3708" w14:textId="77777777" w:rsidR="00F25FCF" w:rsidRPr="003B5892" w:rsidRDefault="00F25FCF" w:rsidP="00385184">
                                                <w:pPr>
                                                  <w:jc w:val="center"/>
                                                  <w:rPr>
                                                    <w:rFonts w:ascii="Arial" w:hAnsi="Arial" w:cs="Arial"/>
                                                    <w:b/>
                                                    <w:bCs/>
                                                    <w:color w:val="000000"/>
                                                    <w:kern w:val="24"/>
                                                    <w:sz w:val="16"/>
                                                    <w:szCs w:val="16"/>
                                                  </w:rPr>
                                                </w:pPr>
                                                <w:r w:rsidRPr="003B5892">
                                                  <w:rPr>
                                                    <w:rFonts w:ascii="Arial" w:hAnsi="Arial" w:cs="Arial"/>
                                                    <w:b/>
                                                    <w:bCs/>
                                                    <w:color w:val="000000"/>
                                                    <w:kern w:val="24"/>
                                                    <w:sz w:val="16"/>
                                                    <w:szCs w:val="16"/>
                                                  </w:rPr>
                                                  <w:t>Вивчення будови снарядів</w:t>
                                                </w:r>
                                              </w:p>
                                            </w:txbxContent>
                                          </wps:txbx>
                                          <wps:bodyPr rtlCol="0" anchor="ctr"/>
                                        </wps:wsp>
                                        <wps:wsp>
                                          <wps:cNvPr id="737235894" name="Прямокутник 1887278058"/>
                                          <wps:cNvSpPr/>
                                          <wps:spPr>
                                            <a:xfrm flipH="1">
                                              <a:off x="168570" y="4936620"/>
                                              <a:ext cx="2481263" cy="507332"/>
                                            </a:xfrm>
                                            <a:prstGeom prst="rect">
                                              <a:avLst/>
                                            </a:prstGeom>
                                            <a:solidFill>
                                              <a:srgbClr val="E5BDDC"/>
                                            </a:solidFill>
                                            <a:ln w="25400" cap="flat" cmpd="sng" algn="ctr">
                                              <a:solidFill>
                                                <a:sysClr val="window" lastClr="FFFFFF"/>
                                              </a:solidFill>
                                              <a:prstDash val="solid"/>
                                              <a:miter lim="800000"/>
                                            </a:ln>
                                            <a:effectLst/>
                                          </wps:spPr>
                                          <wps:txbx>
                                            <w:txbxContent>
                                              <w:p w14:paraId="01AAFDB6" w14:textId="77777777" w:rsidR="00F25FCF" w:rsidRPr="003B5892" w:rsidRDefault="00F25FCF" w:rsidP="00385184">
                                                <w:pPr>
                                                  <w:jc w:val="center"/>
                                                  <w:rPr>
                                                    <w:rFonts w:ascii="Arial" w:hAnsi="Arial" w:cs="Arial"/>
                                                    <w:b/>
                                                    <w:bCs/>
                                                    <w:color w:val="000000"/>
                                                    <w:kern w:val="24"/>
                                                    <w:sz w:val="16"/>
                                                    <w:szCs w:val="16"/>
                                                  </w:rPr>
                                                </w:pPr>
                                                <w:r w:rsidRPr="003B5892">
                                                  <w:rPr>
                                                    <w:rFonts w:ascii="Arial" w:hAnsi="Arial" w:cs="Arial"/>
                                                    <w:b/>
                                                    <w:bCs/>
                                                    <w:color w:val="000000"/>
                                                    <w:kern w:val="24"/>
                                                    <w:sz w:val="16"/>
                                                    <w:szCs w:val="16"/>
                                                  </w:rPr>
                                                  <w:t>Блок вивчення боєприпасів</w:t>
                                                </w:r>
                                              </w:p>
                                            </w:txbxContent>
                                          </wps:txbx>
                                          <wps:bodyPr rtlCol="0" anchor="ctr"/>
                                        </wps:wsp>
                                        <wps:wsp>
                                          <wps:cNvPr id="1601212427" name="Прямокутник 986208326"/>
                                          <wps:cNvSpPr/>
                                          <wps:spPr>
                                            <a:xfrm flipH="1">
                                              <a:off x="1446132" y="3672290"/>
                                              <a:ext cx="1371236" cy="690562"/>
                                            </a:xfrm>
                                            <a:prstGeom prst="rect">
                                              <a:avLst/>
                                            </a:prstGeom>
                                            <a:solidFill>
                                              <a:srgbClr val="E97132">
                                                <a:lumMod val="60000"/>
                                                <a:lumOff val="40000"/>
                                              </a:srgbClr>
                                            </a:solidFill>
                                            <a:ln>
                                              <a:noFill/>
                                            </a:ln>
                                            <a:effectLst>
                                              <a:outerShdw blurRad="57150" dist="19050" dir="5400000" algn="ctr" rotWithShape="0">
                                                <a:srgbClr val="000000">
                                                  <a:alpha val="63000"/>
                                                </a:srgbClr>
                                              </a:outerShdw>
                                            </a:effectLst>
                                          </wps:spPr>
                                          <wps:txbx>
                                            <w:txbxContent>
                                              <w:p w14:paraId="17D3CD64" w14:textId="77777777" w:rsidR="00F25FCF" w:rsidRPr="003B5892" w:rsidRDefault="00F25FCF" w:rsidP="00385184">
                                                <w:pPr>
                                                  <w:spacing w:line="240" w:lineRule="auto"/>
                                                  <w:jc w:val="center"/>
                                                  <w:rPr>
                                                    <w:rFonts w:ascii="Arial" w:hAnsi="Arial" w:cs="Arial"/>
                                                    <w:b/>
                                                    <w:bCs/>
                                                    <w:color w:val="000000"/>
                                                    <w:kern w:val="24"/>
                                                    <w:sz w:val="20"/>
                                                    <w:szCs w:val="20"/>
                                                    <w:lang w:val="ru-RU"/>
                                                  </w:rPr>
                                                </w:pPr>
                                                <w:r w:rsidRPr="003B5892">
                                                  <w:rPr>
                                                    <w:rFonts w:ascii="Arial" w:hAnsi="Arial" w:cs="Arial"/>
                                                    <w:b/>
                                                    <w:bCs/>
                                                    <w:color w:val="000000"/>
                                                    <w:kern w:val="24"/>
                                                    <w:sz w:val="16"/>
                                                    <w:szCs w:val="16"/>
                                                    <w:lang w:val="ru-RU"/>
                                                  </w:rPr>
                                                  <w:t xml:space="preserve">Заходи безпеки </w:t>
                                                </w:r>
                                                <w:r w:rsidRPr="003B5892">
                                                  <w:rPr>
                                                    <w:rFonts w:ascii="Arial" w:hAnsi="Arial" w:cs="Arial"/>
                                                    <w:color w:val="000000"/>
                                                    <w:kern w:val="24"/>
                                                    <w:sz w:val="16"/>
                                                    <w:szCs w:val="16"/>
                                                    <w:lang w:val="ru-RU"/>
                                                  </w:rPr>
                                                  <w:t>при</w:t>
                                                </w:r>
                                                <w:r w:rsidRPr="003B5892">
                                                  <w:rPr>
                                                    <w:rFonts w:ascii="Arial" w:hAnsi="Arial" w:cs="Arial"/>
                                                    <w:b/>
                                                    <w:bCs/>
                                                    <w:color w:val="000000"/>
                                                    <w:kern w:val="24"/>
                                                    <w:sz w:val="16"/>
                                                    <w:szCs w:val="16"/>
                                                    <w:lang w:val="ru-RU"/>
                                                  </w:rPr>
                                                  <w:t xml:space="preserve"> поводженні з</w:t>
                                                </w:r>
                                                <w:r w:rsidRPr="003B5892">
                                                  <w:rPr>
                                                    <w:rFonts w:ascii="Arial" w:hAnsi="Arial" w:cs="Arial"/>
                                                    <w:b/>
                                                    <w:bCs/>
                                                    <w:color w:val="000000"/>
                                                    <w:kern w:val="24"/>
                                                    <w:sz w:val="20"/>
                                                    <w:szCs w:val="20"/>
                                                    <w:lang w:val="ru-RU"/>
                                                  </w:rPr>
                                                  <w:t xml:space="preserve"> </w:t>
                                                </w:r>
                                                <w:r w:rsidRPr="003B5892">
                                                  <w:rPr>
                                                    <w:rFonts w:ascii="Arial" w:hAnsi="Arial" w:cs="Arial"/>
                                                    <w:b/>
                                                    <w:bCs/>
                                                    <w:color w:val="000000"/>
                                                    <w:kern w:val="24"/>
                                                    <w:sz w:val="16"/>
                                                    <w:szCs w:val="16"/>
                                                    <w:lang w:val="ru-RU"/>
                                                  </w:rPr>
                                                  <w:t>БП</w:t>
                                                </w:r>
                                              </w:p>
                                            </w:txbxContent>
                                          </wps:txbx>
                                          <wps:bodyPr rtlCol="0" anchor="ctr"/>
                                        </wps:wsp>
                                        <wps:wsp>
                                          <wps:cNvPr id="764505452" name="Сполучна лінія уступом 77"/>
                                          <wps:cNvCnPr/>
                                          <wps:spPr>
                                            <a:xfrm rot="5400000" flipH="1" flipV="1">
                                              <a:off x="1353768" y="2894357"/>
                                              <a:ext cx="16967" cy="1555867"/>
                                            </a:xfrm>
                                            <a:prstGeom prst="bentConnector3">
                                              <a:avLst>
                                                <a:gd name="adj1" fmla="val 1024499"/>
                                              </a:avLst>
                                            </a:prstGeom>
                                            <a:noFill/>
                                            <a:ln w="19050" cap="flat" cmpd="sng" algn="ctr">
                                              <a:solidFill>
                                                <a:srgbClr val="156082"/>
                                              </a:solidFill>
                                              <a:prstDash val="solid"/>
                                              <a:miter lim="800000"/>
                                              <a:headEnd type="triangle"/>
                                              <a:tailEnd type="triangle"/>
                                            </a:ln>
                                            <a:effectLst/>
                                          </wps:spPr>
                                          <wps:bodyPr/>
                                        </wps:wsp>
                                        <wps:wsp>
                                          <wps:cNvPr id="901168169" name="Сполучна лінія уступом 78"/>
                                          <wps:cNvCnPr/>
                                          <wps:spPr>
                                            <a:xfrm rot="16200000" flipH="1">
                                              <a:off x="1353768" y="3584919"/>
                                              <a:ext cx="16967" cy="1555867"/>
                                            </a:xfrm>
                                            <a:prstGeom prst="bentConnector3">
                                              <a:avLst>
                                                <a:gd name="adj1" fmla="val 1800000"/>
                                              </a:avLst>
                                            </a:prstGeom>
                                            <a:noFill/>
                                            <a:ln w="19050" cap="flat" cmpd="sng" algn="ctr">
                                              <a:solidFill>
                                                <a:srgbClr val="156082"/>
                                              </a:solidFill>
                                              <a:prstDash val="solid"/>
                                              <a:miter lim="800000"/>
                                              <a:headEnd type="triangle"/>
                                              <a:tailEnd type="triangle"/>
                                            </a:ln>
                                            <a:effectLst/>
                                          </wps:spPr>
                                          <wps:bodyPr/>
                                        </wps:wsp>
                                        <wps:wsp>
                                          <wps:cNvPr id="229329127" name="Пряма зі стрілкою 871562668"/>
                                          <wps:cNvCnPr/>
                                          <wps:spPr>
                                            <a:xfrm>
                                              <a:off x="1125953" y="4017572"/>
                                              <a:ext cx="320179" cy="0"/>
                                            </a:xfrm>
                                            <a:prstGeom prst="straightConnector1">
                                              <a:avLst/>
                                            </a:prstGeom>
                                            <a:noFill/>
                                            <a:ln w="19050" cap="flat" cmpd="sng" algn="ctr">
                                              <a:solidFill>
                                                <a:srgbClr val="156082"/>
                                              </a:solidFill>
                                              <a:prstDash val="solid"/>
                                              <a:miter lim="800000"/>
                                              <a:tailEnd type="triangle"/>
                                            </a:ln>
                                            <a:effectLst/>
                                          </wps:spPr>
                                          <wps:bodyPr/>
                                        </wps:wsp>
                                      </wpg:grpSp>
                                      <wpg:grpSp>
                                        <wpg:cNvPr id="871704923" name="Групувати 1031654394"/>
                                        <wpg:cNvGrpSpPr/>
                                        <wpg:grpSpPr>
                                          <a:xfrm>
                                            <a:off x="5076186" y="3011812"/>
                                            <a:ext cx="2666414" cy="2181232"/>
                                            <a:chOff x="5076188" y="3011815"/>
                                            <a:chExt cx="3062639" cy="2428680"/>
                                          </a:xfrm>
                                        </wpg:grpSpPr>
                                        <wps:wsp>
                                          <wps:cNvPr id="1045104001" name="Прямокутник 601030435"/>
                                          <wps:cNvSpPr/>
                                          <wps:spPr>
                                            <a:xfrm flipH="1">
                                              <a:off x="5338851" y="3011815"/>
                                              <a:ext cx="2481264" cy="285751"/>
                                            </a:xfrm>
                                            <a:prstGeom prst="rect">
                                              <a:avLst/>
                                            </a:prstGeom>
                                            <a:gradFill rotWithShape="1">
                                              <a:gsLst>
                                                <a:gs pos="0">
                                                  <a:srgbClr val="0F9ED5">
                                                    <a:satMod val="103000"/>
                                                    <a:lumMod val="102000"/>
                                                    <a:tint val="94000"/>
                                                  </a:srgbClr>
                                                </a:gs>
                                                <a:gs pos="50000">
                                                  <a:srgbClr val="0F9ED5">
                                                    <a:satMod val="110000"/>
                                                    <a:lumMod val="100000"/>
                                                    <a:shade val="100000"/>
                                                  </a:srgbClr>
                                                </a:gs>
                                                <a:gs pos="100000">
                                                  <a:srgbClr val="0F9ED5">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337B377E" w14:textId="77777777" w:rsidR="00F25FCF" w:rsidRPr="003B5892" w:rsidRDefault="00F25FCF" w:rsidP="00385184">
                                                <w:pPr>
                                                  <w:jc w:val="center"/>
                                                  <w:rPr>
                                                    <w:rFonts w:hAnsi="Aptos"/>
                                                    <w:color w:val="FFFFFF"/>
                                                    <w:kern w:val="24"/>
                                                    <w:sz w:val="20"/>
                                                    <w:szCs w:val="20"/>
                                                  </w:rPr>
                                                </w:pPr>
                                                <w:r w:rsidRPr="003B5892">
                                                  <w:rPr>
                                                    <w:rFonts w:hAnsi="Aptos"/>
                                                    <w:color w:val="FFFFFF"/>
                                                    <w:kern w:val="24"/>
                                                    <w:sz w:val="20"/>
                                                    <w:szCs w:val="20"/>
                                                  </w:rPr>
                                                  <w:t>Рекомендації</w:t>
                                                </w:r>
                                                <w:r w:rsidRPr="003B5892">
                                                  <w:rPr>
                                                    <w:rFonts w:hAnsi="Aptos"/>
                                                    <w:color w:val="FFFFFF"/>
                                                    <w:kern w:val="24"/>
                                                    <w:sz w:val="20"/>
                                                    <w:szCs w:val="20"/>
                                                  </w:rPr>
                                                  <w:t xml:space="preserve">, </w:t>
                                                </w:r>
                                                <w:r w:rsidRPr="003B5892">
                                                  <w:rPr>
                                                    <w:rFonts w:hAnsi="Aptos"/>
                                                    <w:color w:val="FFFFFF"/>
                                                    <w:kern w:val="24"/>
                                                    <w:sz w:val="20"/>
                                                    <w:szCs w:val="20"/>
                                                  </w:rPr>
                                                  <w:t>консультації</w:t>
                                                </w:r>
                                              </w:p>
                                            </w:txbxContent>
                                          </wps:txbx>
                                          <wps:bodyPr rtlCol="0" anchor="ctr"/>
                                        </wps:wsp>
                                        <wps:wsp>
                                          <wps:cNvPr id="1465831164" name="Прямокутник 1493526024"/>
                                          <wps:cNvSpPr/>
                                          <wps:spPr>
                                            <a:xfrm flipH="1">
                                              <a:off x="5076188" y="3664284"/>
                                              <a:ext cx="1362803" cy="690562"/>
                                            </a:xfrm>
                                            <a:prstGeom prst="rect">
                                              <a:avLst/>
                                            </a:prstGeom>
                                            <a:solidFill>
                                              <a:srgbClr val="E97132">
                                                <a:lumMod val="60000"/>
                                                <a:lumOff val="40000"/>
                                              </a:srgbClr>
                                            </a:solidFill>
                                            <a:ln>
                                              <a:noFill/>
                                            </a:ln>
                                            <a:effectLst>
                                              <a:outerShdw blurRad="57150" dist="19050" dir="5400000" algn="ctr" rotWithShape="0">
                                                <a:srgbClr val="000000">
                                                  <a:alpha val="63000"/>
                                                </a:srgbClr>
                                              </a:outerShdw>
                                            </a:effectLst>
                                          </wps:spPr>
                                          <wps:txbx>
                                            <w:txbxContent>
                                              <w:p w14:paraId="190CB62A" w14:textId="77777777" w:rsidR="00F25FCF" w:rsidRPr="003B5892" w:rsidRDefault="00F25FCF" w:rsidP="00385184">
                                                <w:pPr>
                                                  <w:spacing w:after="0" w:line="228" w:lineRule="auto"/>
                                                  <w:jc w:val="center"/>
                                                  <w:rPr>
                                                    <w:rFonts w:ascii="Arial" w:hAnsi="Arial" w:cs="Arial"/>
                                                    <w:b/>
                                                    <w:bCs/>
                                                    <w:color w:val="000000"/>
                                                    <w:kern w:val="24"/>
                                                    <w:sz w:val="20"/>
                                                    <w:szCs w:val="20"/>
                                                    <w:lang w:val="ru-RU"/>
                                                  </w:rPr>
                                                </w:pPr>
                                                <w:r w:rsidRPr="003B5892">
                                                  <w:rPr>
                                                    <w:rFonts w:ascii="Arial" w:hAnsi="Arial" w:cs="Arial"/>
                                                    <w:b/>
                                                    <w:bCs/>
                                                    <w:color w:val="000000"/>
                                                    <w:kern w:val="24"/>
                                                    <w:sz w:val="16"/>
                                                    <w:szCs w:val="16"/>
                                                    <w:lang w:val="ru-RU"/>
                                                  </w:rPr>
                                                  <w:t>Встановлення зкомандува-них</w:t>
                                                </w:r>
                                                <w:r w:rsidRPr="003B5892">
                                                  <w:rPr>
                                                    <w:rFonts w:ascii="Arial" w:hAnsi="Arial" w:cs="Arial"/>
                                                    <w:b/>
                                                    <w:bCs/>
                                                    <w:color w:val="000000"/>
                                                    <w:kern w:val="24"/>
                                                    <w:sz w:val="20"/>
                                                    <w:szCs w:val="20"/>
                                                    <w:lang w:val="ru-RU"/>
                                                  </w:rPr>
                                                  <w:t xml:space="preserve"> </w:t>
                                                </w:r>
                                                <w:r w:rsidRPr="003B5892">
                                                  <w:rPr>
                                                    <w:rFonts w:ascii="Arial" w:hAnsi="Arial" w:cs="Arial"/>
                                                    <w:b/>
                                                    <w:bCs/>
                                                    <w:color w:val="000000"/>
                                                    <w:kern w:val="24"/>
                                                    <w:sz w:val="16"/>
                                                    <w:szCs w:val="16"/>
                                                    <w:lang w:val="ru-RU"/>
                                                  </w:rPr>
                                                  <w:t xml:space="preserve">установок </w:t>
                                                </w:r>
                                                <w:r w:rsidRPr="003B5892">
                                                  <w:rPr>
                                                    <w:rFonts w:ascii="Arial" w:hAnsi="Arial" w:cs="Arial"/>
                                                    <w:b/>
                                                    <w:bCs/>
                                                    <w:color w:val="000000"/>
                                                    <w:kern w:val="24"/>
                                                    <w:sz w:val="20"/>
                                                    <w:szCs w:val="20"/>
                                                    <w:lang w:val="ru-RU"/>
                                                  </w:rPr>
                                                  <w:t>на підривниках</w:t>
                                                </w:r>
                                              </w:p>
                                            </w:txbxContent>
                                          </wps:txbx>
                                          <wps:bodyPr rtlCol="0" anchor="ctr"/>
                                        </wps:wsp>
                                        <wps:wsp>
                                          <wps:cNvPr id="1983905142" name="Прямокутник 1936744909"/>
                                          <wps:cNvSpPr/>
                                          <wps:spPr>
                                            <a:xfrm flipH="1">
                                              <a:off x="5338482" y="4932558"/>
                                              <a:ext cx="2481263" cy="507937"/>
                                            </a:xfrm>
                                            <a:prstGeom prst="rect">
                                              <a:avLst/>
                                            </a:prstGeom>
                                            <a:solidFill>
                                              <a:srgbClr val="E5BDDC"/>
                                            </a:solidFill>
                                            <a:ln w="25400" cap="flat" cmpd="sng" algn="ctr">
                                              <a:solidFill>
                                                <a:sysClr val="window" lastClr="FFFFFF"/>
                                              </a:solidFill>
                                              <a:prstDash val="solid"/>
                                              <a:miter lim="800000"/>
                                            </a:ln>
                                            <a:effectLst/>
                                          </wps:spPr>
                                          <wps:txbx>
                                            <w:txbxContent>
                                              <w:p w14:paraId="17B5377C" w14:textId="77777777" w:rsidR="00F25FCF" w:rsidRPr="003B5892" w:rsidRDefault="00F25FCF" w:rsidP="00385184">
                                                <w:pPr>
                                                  <w:jc w:val="center"/>
                                                  <w:rPr>
                                                    <w:rFonts w:ascii="Arial" w:hAnsi="Arial" w:cs="Arial"/>
                                                    <w:b/>
                                                    <w:bCs/>
                                                    <w:color w:val="000000"/>
                                                    <w:kern w:val="24"/>
                                                    <w:sz w:val="16"/>
                                                    <w:szCs w:val="16"/>
                                                  </w:rPr>
                                                </w:pPr>
                                                <w:r w:rsidRPr="003B5892">
                                                  <w:rPr>
                                                    <w:rFonts w:ascii="Arial" w:hAnsi="Arial" w:cs="Arial"/>
                                                    <w:b/>
                                                    <w:bCs/>
                                                    <w:color w:val="000000"/>
                                                    <w:kern w:val="24"/>
                                                    <w:sz w:val="16"/>
                                                    <w:szCs w:val="16"/>
                                                  </w:rPr>
                                                  <w:t>Блок бойової роботи на тренажерах</w:t>
                                                </w:r>
                                              </w:p>
                                            </w:txbxContent>
                                          </wps:txbx>
                                          <wps:bodyPr rtlCol="0" anchor="ctr"/>
                                        </wps:wsp>
                                        <wps:wsp>
                                          <wps:cNvPr id="1801092188" name="Прямокутник 353156011"/>
                                          <wps:cNvSpPr/>
                                          <wps:spPr>
                                            <a:xfrm flipH="1">
                                              <a:off x="6813424" y="3664284"/>
                                              <a:ext cx="1325403" cy="690562"/>
                                            </a:xfrm>
                                            <a:prstGeom prst="rect">
                                              <a:avLst/>
                                            </a:prstGeom>
                                            <a:solidFill>
                                              <a:srgbClr val="E97132">
                                                <a:lumMod val="60000"/>
                                                <a:lumOff val="40000"/>
                                              </a:srgbClr>
                                            </a:solidFill>
                                            <a:ln>
                                              <a:noFill/>
                                            </a:ln>
                                            <a:effectLst>
                                              <a:outerShdw blurRad="57150" dist="19050" dir="5400000" algn="ctr" rotWithShape="0">
                                                <a:srgbClr val="000000">
                                                  <a:alpha val="63000"/>
                                                </a:srgbClr>
                                              </a:outerShdw>
                                            </a:effectLst>
                                          </wps:spPr>
                                          <wps:txbx>
                                            <w:txbxContent>
                                              <w:p w14:paraId="1E1E5BCD" w14:textId="77777777" w:rsidR="00F25FCF" w:rsidRPr="003B5892" w:rsidRDefault="00F25FCF" w:rsidP="00385184">
                                                <w:pPr>
                                                  <w:jc w:val="center"/>
                                                  <w:rPr>
                                                    <w:rFonts w:ascii="Arial" w:hAnsi="Arial" w:cs="Arial"/>
                                                    <w:b/>
                                                    <w:bCs/>
                                                    <w:color w:val="000000"/>
                                                    <w:kern w:val="24"/>
                                                    <w:sz w:val="16"/>
                                                    <w:szCs w:val="16"/>
                                                  </w:rPr>
                                                </w:pPr>
                                                <w:r w:rsidRPr="003B5892">
                                                  <w:rPr>
                                                    <w:rFonts w:ascii="Arial" w:hAnsi="Arial" w:cs="Arial"/>
                                                    <w:b/>
                                                    <w:bCs/>
                                                    <w:color w:val="000000"/>
                                                    <w:kern w:val="24"/>
                                                    <w:sz w:val="16"/>
                                                    <w:szCs w:val="16"/>
                                                  </w:rPr>
                                                  <w:t>Робота з навчальни-ми БП</w:t>
                                                </w:r>
                                              </w:p>
                                            </w:txbxContent>
                                          </wps:txbx>
                                          <wps:bodyPr rtlCol="0" anchor="ctr"/>
                                        </wps:wsp>
                                        <wps:wsp>
                                          <wps:cNvPr id="417234243" name="Прямокутник 1527266108"/>
                                          <wps:cNvSpPr/>
                                          <wps:spPr>
                                            <a:xfrm>
                                              <a:off x="7603590" y="4634170"/>
                                              <a:ext cx="391298" cy="307667"/>
                                            </a:xfrm>
                                            <a:prstGeom prst="rect">
                                              <a:avLst/>
                                            </a:prstGeom>
                                            <a:solidFill>
                                              <a:sysClr val="window" lastClr="FFFFFF"/>
                                            </a:solidFill>
                                            <a:ln w="19050" cap="flat" cmpd="sng" algn="ctr">
                                              <a:solidFill>
                                                <a:sysClr val="windowText" lastClr="000000"/>
                                              </a:solidFill>
                                              <a:prstDash val="solid"/>
                                              <a:miter lim="800000"/>
                                            </a:ln>
                                            <a:effectLst/>
                                          </wps:spPr>
                                          <wps:txbx>
                                            <w:txbxContent>
                                              <w:p w14:paraId="0DB49374" w14:textId="77777777" w:rsidR="00F25FCF" w:rsidRPr="003B5892" w:rsidRDefault="00F25FCF" w:rsidP="00385184">
                                                <w:pPr>
                                                  <w:jc w:val="center"/>
                                                  <w:rPr>
                                                    <w:rFonts w:hAnsi="Aptos"/>
                                                    <w:color w:val="000000"/>
                                                    <w:kern w:val="24"/>
                                                  </w:rPr>
                                                </w:pPr>
                                                <w:r w:rsidRPr="003B5892">
                                                  <w:rPr>
                                                    <w:rFonts w:hAnsi="Aptos"/>
                                                    <w:color w:val="000000"/>
                                                    <w:kern w:val="24"/>
                                                  </w:rPr>
                                                  <w:t>6</w:t>
                                                </w:r>
                                              </w:p>
                                            </w:txbxContent>
                                          </wps:txbx>
                                          <wps:bodyPr rtlCol="0" anchor="ctr"/>
                                        </wps:wsp>
                                        <wps:wsp>
                                          <wps:cNvPr id="1630834518" name="Сполучна лінія уступом 69"/>
                                          <wps:cNvCnPr/>
                                          <wps:spPr>
                                            <a:xfrm rot="5400000" flipH="1" flipV="1">
                                              <a:off x="6616727" y="2805017"/>
                                              <a:ext cx="15157" cy="1718536"/>
                                            </a:xfrm>
                                            <a:prstGeom prst="bentConnector3">
                                              <a:avLst>
                                                <a:gd name="adj1" fmla="val 1800000"/>
                                              </a:avLst>
                                            </a:prstGeom>
                                            <a:noFill/>
                                            <a:ln w="19050" cap="flat" cmpd="sng" algn="ctr">
                                              <a:solidFill>
                                                <a:srgbClr val="156082"/>
                                              </a:solidFill>
                                              <a:prstDash val="solid"/>
                                              <a:miter lim="800000"/>
                                              <a:headEnd type="triangle"/>
                                              <a:tailEnd type="triangle"/>
                                            </a:ln>
                                            <a:effectLst/>
                                          </wps:spPr>
                                          <wps:bodyPr/>
                                        </wps:wsp>
                                        <wps:wsp>
                                          <wps:cNvPr id="239238003" name="Сполучна лінія уступом 70"/>
                                          <wps:cNvCnPr/>
                                          <wps:spPr>
                                            <a:xfrm rot="16200000" flipH="1">
                                              <a:off x="6616727" y="3495578"/>
                                              <a:ext cx="15157" cy="1718536"/>
                                            </a:xfrm>
                                            <a:prstGeom prst="bentConnector3">
                                              <a:avLst>
                                                <a:gd name="adj1" fmla="val 1800000"/>
                                              </a:avLst>
                                            </a:prstGeom>
                                            <a:noFill/>
                                            <a:ln w="19050" cap="flat" cmpd="sng" algn="ctr">
                                              <a:solidFill>
                                                <a:srgbClr val="156082"/>
                                              </a:solidFill>
                                              <a:prstDash val="solid"/>
                                              <a:miter lim="800000"/>
                                              <a:headEnd type="triangle"/>
                                              <a:tailEnd type="triangle"/>
                                            </a:ln>
                                            <a:effectLst/>
                                          </wps:spPr>
                                          <wps:bodyPr/>
                                        </wps:wsp>
                                        <wps:wsp>
                                          <wps:cNvPr id="490638381" name="Пряма зі стрілкою 1623639095"/>
                                          <wps:cNvCnPr/>
                                          <wps:spPr>
                                            <a:xfrm>
                                              <a:off x="6438991" y="4009565"/>
                                              <a:ext cx="374433" cy="0"/>
                                            </a:xfrm>
                                            <a:prstGeom prst="straightConnector1">
                                              <a:avLst/>
                                            </a:prstGeom>
                                            <a:noFill/>
                                            <a:ln w="19050" cap="flat" cmpd="sng" algn="ctr">
                                              <a:solidFill>
                                                <a:srgbClr val="156082"/>
                                              </a:solidFill>
                                              <a:prstDash val="solid"/>
                                              <a:miter lim="800000"/>
                                              <a:tailEnd type="triangle"/>
                                            </a:ln>
                                            <a:effectLst/>
                                          </wps:spPr>
                                          <wps:bodyPr/>
                                        </wps:wsp>
                                      </wpg:grpSp>
                                    </wpg:grpSp>
                                  </wpg:grpSp>
                                  <wps:wsp>
                                    <wps:cNvPr id="833847109" name="TextBox 25"/>
                                    <wps:cNvSpPr txBox="1"/>
                                    <wps:spPr>
                                      <a:xfrm>
                                        <a:off x="335216" y="1953003"/>
                                        <a:ext cx="1553862" cy="353954"/>
                                      </a:xfrm>
                                      <a:prstGeom prst="rect">
                                        <a:avLst/>
                                      </a:prstGeom>
                                      <a:noFill/>
                                    </wps:spPr>
                                    <wps:txbx>
                                      <w:txbxContent>
                                        <w:p w14:paraId="638983A8" w14:textId="77777777" w:rsidR="00F25FCF" w:rsidRPr="003B5892" w:rsidRDefault="00F25FCF" w:rsidP="00385184">
                                          <w:pPr>
                                            <w:spacing w:line="240" w:lineRule="auto"/>
                                            <w:jc w:val="center"/>
                                            <w:rPr>
                                              <w:rFonts w:ascii="Arial" w:hAnsi="Arial" w:cs="Arial"/>
                                              <w:b/>
                                              <w:bCs/>
                                              <w:color w:val="000000"/>
                                              <w:kern w:val="24"/>
                                              <w:sz w:val="20"/>
                                              <w:szCs w:val="20"/>
                                            </w:rPr>
                                          </w:pPr>
                                          <w:r w:rsidRPr="003B5892">
                                            <w:rPr>
                                              <w:rFonts w:ascii="Arial" w:hAnsi="Arial" w:cs="Arial"/>
                                              <w:b/>
                                              <w:bCs/>
                                              <w:color w:val="000000"/>
                                              <w:kern w:val="24"/>
                                              <w:sz w:val="20"/>
                                              <w:szCs w:val="20"/>
                                            </w:rPr>
                                            <w:t>Самостійна робота</w:t>
                                          </w:r>
                                        </w:p>
                                      </w:txbxContent>
                                    </wps:txbx>
                                    <wps:bodyPr wrap="square" rtlCol="0">
                                      <a:noAutofit/>
                                    </wps:bodyPr>
                                  </wps:wsp>
                                  <wps:wsp>
                                    <wps:cNvPr id="403149808" name="TextBox 92"/>
                                    <wps:cNvSpPr txBox="1"/>
                                    <wps:spPr>
                                      <a:xfrm>
                                        <a:off x="2803929" y="1960119"/>
                                        <a:ext cx="1146465" cy="353954"/>
                                      </a:xfrm>
                                      <a:prstGeom prst="rect">
                                        <a:avLst/>
                                      </a:prstGeom>
                                      <a:noFill/>
                                    </wps:spPr>
                                    <wps:txbx>
                                      <w:txbxContent>
                                        <w:p w14:paraId="2D8CBEEA" w14:textId="77777777" w:rsidR="00F25FCF" w:rsidRPr="003B5892" w:rsidRDefault="00F25FCF" w:rsidP="00385184">
                                          <w:pPr>
                                            <w:spacing w:line="240" w:lineRule="auto"/>
                                            <w:jc w:val="center"/>
                                            <w:rPr>
                                              <w:rFonts w:ascii="Arial" w:hAnsi="Arial" w:cs="Arial"/>
                                              <w:b/>
                                              <w:bCs/>
                                              <w:color w:val="000000"/>
                                              <w:kern w:val="24"/>
                                              <w:sz w:val="20"/>
                                              <w:szCs w:val="20"/>
                                            </w:rPr>
                                          </w:pPr>
                                          <w:r w:rsidRPr="003B5892">
                                            <w:rPr>
                                              <w:rFonts w:ascii="Arial" w:hAnsi="Arial" w:cs="Arial"/>
                                              <w:b/>
                                              <w:bCs/>
                                              <w:color w:val="000000"/>
                                              <w:kern w:val="24"/>
                                              <w:sz w:val="20"/>
                                              <w:szCs w:val="20"/>
                                            </w:rPr>
                                            <w:t>Тренування</w:t>
                                          </w:r>
                                        </w:p>
                                      </w:txbxContent>
                                    </wps:txbx>
                                    <wps:bodyPr wrap="square" rtlCol="0">
                                      <a:noAutofit/>
                                    </wps:bodyPr>
                                  </wps:wsp>
                                  <wps:wsp>
                                    <wps:cNvPr id="46406762" name="TextBox 120"/>
                                    <wps:cNvSpPr txBox="1"/>
                                    <wps:spPr>
                                      <a:xfrm>
                                        <a:off x="4706228" y="1954007"/>
                                        <a:ext cx="1553862" cy="353954"/>
                                      </a:xfrm>
                                      <a:prstGeom prst="rect">
                                        <a:avLst/>
                                      </a:prstGeom>
                                      <a:noFill/>
                                    </wps:spPr>
                                    <wps:txbx>
                                      <w:txbxContent>
                                        <w:p w14:paraId="0B84ECA8" w14:textId="77777777" w:rsidR="00F25FCF" w:rsidRPr="003B5892" w:rsidRDefault="00F25FCF" w:rsidP="00385184">
                                          <w:pPr>
                                            <w:spacing w:line="240" w:lineRule="auto"/>
                                            <w:jc w:val="center"/>
                                            <w:rPr>
                                              <w:rFonts w:ascii="Arial" w:hAnsi="Arial" w:cs="Arial"/>
                                              <w:b/>
                                              <w:bCs/>
                                              <w:color w:val="000000"/>
                                              <w:kern w:val="24"/>
                                              <w:sz w:val="20"/>
                                              <w:szCs w:val="20"/>
                                            </w:rPr>
                                          </w:pPr>
                                          <w:r w:rsidRPr="003B5892">
                                            <w:rPr>
                                              <w:rFonts w:ascii="Arial" w:hAnsi="Arial" w:cs="Arial"/>
                                              <w:b/>
                                              <w:bCs/>
                                              <w:color w:val="000000"/>
                                              <w:kern w:val="24"/>
                                              <w:sz w:val="20"/>
                                              <w:szCs w:val="20"/>
                                            </w:rPr>
                                            <w:t>Самостійна робота</w:t>
                                          </w:r>
                                        </w:p>
                                      </w:txbxContent>
                                    </wps:txbx>
                                    <wps:bodyPr wrap="square" rtlCol="0">
                                      <a:noAutofit/>
                                    </wps:bodyPr>
                                  </wps:wsp>
                                </wpg:grpSp>
                              </wpg:grpSp>
                            </wpg:grpSp>
                          </wpg:grpSp>
                        </wpg:grpSp>
                        <wps:wsp>
                          <wps:cNvPr id="1143233308" name="Прямокутник 70181297"/>
                          <wps:cNvSpPr/>
                          <wps:spPr>
                            <a:xfrm>
                              <a:off x="1816136" y="3852514"/>
                              <a:ext cx="307931" cy="233135"/>
                            </a:xfrm>
                            <a:prstGeom prst="rect">
                              <a:avLst/>
                            </a:prstGeom>
                            <a:solidFill>
                              <a:sysClr val="window" lastClr="FFFFFF"/>
                            </a:solidFill>
                            <a:ln w="19050" cap="flat" cmpd="sng" algn="ctr">
                              <a:solidFill>
                                <a:sysClr val="windowText" lastClr="000000"/>
                              </a:solidFill>
                              <a:prstDash val="solid"/>
                              <a:miter lim="800000"/>
                            </a:ln>
                            <a:effectLst/>
                          </wps:spPr>
                          <wps:txbx>
                            <w:txbxContent>
                              <w:p w14:paraId="05778DC0" w14:textId="77777777" w:rsidR="00F25FCF" w:rsidRPr="003B5892" w:rsidRDefault="00F25FCF" w:rsidP="00385184">
                                <w:pPr>
                                  <w:jc w:val="center"/>
                                  <w:rPr>
                                    <w:rFonts w:hAnsi="Aptos"/>
                                    <w:color w:val="000000"/>
                                    <w:kern w:val="24"/>
                                  </w:rPr>
                                </w:pPr>
                                <w:r w:rsidRPr="003B5892">
                                  <w:rPr>
                                    <w:rFonts w:hAnsi="Aptos"/>
                                    <w:color w:val="000000"/>
                                    <w:kern w:val="24"/>
                                  </w:rPr>
                                  <w:t>4</w:t>
                                </w:r>
                              </w:p>
                            </w:txbxContent>
                          </wps:txbx>
                          <wps:bodyPr rtlCol="0" anchor="ctr"/>
                        </wps:wsp>
                      </wpg:grpSp>
                      <wps:wsp>
                        <wps:cNvPr id="1214392923" name="TextBox 143"/>
                        <wps:cNvSpPr txBox="1"/>
                        <wps:spPr>
                          <a:xfrm>
                            <a:off x="335214" y="3827725"/>
                            <a:ext cx="1553862" cy="353954"/>
                          </a:xfrm>
                          <a:prstGeom prst="rect">
                            <a:avLst/>
                          </a:prstGeom>
                          <a:noFill/>
                        </wps:spPr>
                        <wps:txbx>
                          <w:txbxContent>
                            <w:p w14:paraId="5685B260" w14:textId="77777777" w:rsidR="00F25FCF" w:rsidRPr="003B5892" w:rsidRDefault="00F25FCF" w:rsidP="00385184">
                              <w:pPr>
                                <w:spacing w:line="240" w:lineRule="auto"/>
                                <w:jc w:val="center"/>
                                <w:rPr>
                                  <w:rFonts w:ascii="Arial" w:hAnsi="Arial" w:cs="Arial"/>
                                  <w:b/>
                                  <w:bCs/>
                                  <w:color w:val="000000"/>
                                  <w:kern w:val="24"/>
                                  <w:sz w:val="20"/>
                                  <w:szCs w:val="20"/>
                                </w:rPr>
                              </w:pPr>
                              <w:r w:rsidRPr="003B5892">
                                <w:rPr>
                                  <w:rFonts w:ascii="Arial" w:hAnsi="Arial" w:cs="Arial"/>
                                  <w:b/>
                                  <w:bCs/>
                                  <w:color w:val="000000"/>
                                  <w:kern w:val="24"/>
                                  <w:sz w:val="20"/>
                                  <w:szCs w:val="20"/>
                                </w:rPr>
                                <w:t>Самостійна робота</w:t>
                              </w:r>
                            </w:p>
                          </w:txbxContent>
                        </wps:txbx>
                        <wps:bodyPr wrap="square" rtlCol="0">
                          <a:noAutofit/>
                        </wps:bodyPr>
                      </wps:wsp>
                      <wps:wsp>
                        <wps:cNvPr id="1792216166" name="TextBox 144"/>
                        <wps:cNvSpPr txBox="1"/>
                        <wps:spPr>
                          <a:xfrm>
                            <a:off x="2536283" y="3809280"/>
                            <a:ext cx="1553862" cy="353954"/>
                          </a:xfrm>
                          <a:prstGeom prst="rect">
                            <a:avLst/>
                          </a:prstGeom>
                          <a:noFill/>
                        </wps:spPr>
                        <wps:txbx>
                          <w:txbxContent>
                            <w:p w14:paraId="6218EC7B" w14:textId="77777777" w:rsidR="00F25FCF" w:rsidRPr="003B5892" w:rsidRDefault="00F25FCF" w:rsidP="00385184">
                              <w:pPr>
                                <w:spacing w:line="240" w:lineRule="auto"/>
                                <w:jc w:val="center"/>
                                <w:rPr>
                                  <w:rFonts w:ascii="Arial" w:hAnsi="Arial" w:cs="Arial"/>
                                  <w:b/>
                                  <w:bCs/>
                                  <w:color w:val="000000"/>
                                  <w:kern w:val="24"/>
                                  <w:sz w:val="20"/>
                                  <w:szCs w:val="20"/>
                                </w:rPr>
                              </w:pPr>
                              <w:r w:rsidRPr="003B5892">
                                <w:rPr>
                                  <w:rFonts w:ascii="Arial" w:hAnsi="Arial" w:cs="Arial"/>
                                  <w:b/>
                                  <w:bCs/>
                                  <w:color w:val="000000"/>
                                  <w:kern w:val="24"/>
                                  <w:sz w:val="20"/>
                                  <w:szCs w:val="20"/>
                                </w:rPr>
                                <w:t>Самостійна робота</w:t>
                              </w:r>
                            </w:p>
                          </w:txbxContent>
                        </wps:txbx>
                        <wps:bodyPr wrap="square" rtlCol="0">
                          <a:noAutofit/>
                        </wps:bodyPr>
                      </wps:wsp>
                      <wps:wsp>
                        <wps:cNvPr id="741693987" name="TextBox 148"/>
                        <wps:cNvSpPr txBox="1"/>
                        <wps:spPr>
                          <a:xfrm>
                            <a:off x="5038561" y="3837213"/>
                            <a:ext cx="1162923" cy="353954"/>
                          </a:xfrm>
                          <a:prstGeom prst="rect">
                            <a:avLst/>
                          </a:prstGeom>
                          <a:noFill/>
                        </wps:spPr>
                        <wps:txbx>
                          <w:txbxContent>
                            <w:p w14:paraId="71352231" w14:textId="77777777" w:rsidR="00F25FCF" w:rsidRPr="003B5892" w:rsidRDefault="00F25FCF" w:rsidP="00385184">
                              <w:pPr>
                                <w:spacing w:line="240" w:lineRule="auto"/>
                                <w:jc w:val="center"/>
                                <w:rPr>
                                  <w:rFonts w:ascii="Arial" w:hAnsi="Arial" w:cs="Arial"/>
                                  <w:b/>
                                  <w:bCs/>
                                  <w:color w:val="000000"/>
                                  <w:kern w:val="24"/>
                                  <w:sz w:val="20"/>
                                  <w:szCs w:val="20"/>
                                </w:rPr>
                              </w:pPr>
                              <w:r w:rsidRPr="003B5892">
                                <w:rPr>
                                  <w:rFonts w:ascii="Arial" w:hAnsi="Arial" w:cs="Arial"/>
                                  <w:b/>
                                  <w:bCs/>
                                  <w:color w:val="000000"/>
                                  <w:kern w:val="24"/>
                                  <w:sz w:val="20"/>
                                  <w:szCs w:val="20"/>
                                </w:rPr>
                                <w:t>Тренування</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F256264" id="Групувати 302" o:spid="_x0000_s1165" style="position:absolute;left:0;text-align:left;margin-left:34.5pt;margin-top:-3.6pt;width:427.55pt;height:466.9pt;rotation:-90;z-index:251756544;mso-position-horizontal-relative:margin;mso-position-vertical-relative:text;mso-width-relative:margin;mso-height-relative:margin" coordsize="66947,445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">
                <v:group id="Групувати 1577462968" o:spid="_x0000_s1166" style="position:absolute;width:66947;height:44534" coordsize="66947,445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">
                  <v:group id="Групувати 1750934246" o:spid="_x0000_s1167" style="position:absolute;width:66947;height:44534" coordsize="66947,445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&#13;&#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получна лінія уступом 101" o:spid="_x0000_s1168" type="#_x0000_t34" style="position:absolute;left:30540;top:4773;width:5269;height:0;rotation:90;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" strokecolor="#156082" strokeweight="1.5pt">
                      <v:stroke endarrow="block"/>
                    </v:shape>
                    <v:group id="Групувати 811611134" o:spid="_x0000_s1169" style="position:absolute;width:66947;height:44534" coordsize="66947,445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">
                      <v:rect id="Прямокутник 1090261992" o:spid="_x0000_s1170" style="position:absolute;left:23836;width:18679;height:2138;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" fillcolor="#b4e5a2" stroked="f">
                        <v:shadow on="t" color="black" opacity="41287f" offset="0,1.5pt"/>
                        <v:textbox>
                          <w:txbxContent>
                            <w:p w14:paraId="4DEF5F2C" w14:textId="77777777" w:rsidR="00F25FCF" w:rsidRPr="003B5892" w:rsidRDefault="00F25FCF" w:rsidP="00385184">
                              <w:pPr>
                                <w:jc w:val="center"/>
                                <w:rPr>
                                  <w:rFonts w:ascii="Arial" w:hAnsi="Arial" w:cs="Arial"/>
                                  <w:b/>
                                  <w:bCs/>
                                  <w:color w:val="000000"/>
                                  <w:kern w:val="24"/>
                                </w:rPr>
                              </w:pPr>
                              <w:r w:rsidRPr="003B5892">
                                <w:rPr>
                                  <w:rFonts w:ascii="Arial" w:hAnsi="Arial" w:cs="Arial"/>
                                  <w:b/>
                                  <w:bCs/>
                                  <w:color w:val="000000"/>
                                  <w:kern w:val="24"/>
                                </w:rPr>
                                <w:t>Інструктор спеціаліст</w:t>
                              </w:r>
                            </w:p>
                          </w:txbxContent>
                        </v:textbox>
                      </v:rect>
                      <v:group id="Групувати 601323648" o:spid="_x0000_s1171" style="position:absolute;top:1069;width:66947;height:43465" coordorigin=",1069" coordsize="66947,43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">
                        <v:shape id="Сполучна лінія уступом 98" o:spid="_x0000_s1172" type="#_x0000_t34" style="position:absolute;left:41495;top:-6182;width:5394;height:22033;rotation: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" strokecolor="#156082" strokeweight="1.5pt">
                          <v:stroke endarrow="block"/>
                        </v:shape>
                        <v:group id="Групувати 186257769" o:spid="_x0000_s1173" style="position:absolute;top:1069;width:66947;height:43465" coordorigin=",1069" coordsize="66947,434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">
                          <v:shape id="Сполучна лінія уступом 93" o:spid="_x0000_s1174" type="#_x0000_t34" style="position:absolute;left:19191;top:-6419;width:5427;height:22541;rotation:90;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" strokecolor="#156082" strokeweight="1.5pt">
                            <v:stroke endarrow="block"/>
                          </v:shape>
                          <v:shape id="Сполучна лінія уступом 104" o:spid="_x0000_s1175" type="#_x0000_t34" style="position:absolute;left:1011;top:1069;width:22825;height:26030;rotation:180;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" adj="23763" strokecolor="#156082" strokeweight="1.5pt">
                            <v:stroke endarrow="block"/>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Сполучна лінія уступом 119" o:spid="_x0000_s1176" type="#_x0000_t35" style="position:absolute;left:33879;top:9244;width:25678;height:22033;rotation: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" adj="-475,23841" strokecolor="#156082" strokeweight="1.5pt">
                            <v:stroke endarrow="block"/>
                          </v:shape>
                          <v:group id="Групувати 1301527718" o:spid="_x0000_s1177" style="position:absolute;top:7532;width:66947;height:37002" coordorigin=",7532" coordsize="66947,370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">
                            <v:group id="Групувати 1382871608" o:spid="_x0000_s1178" style="position:absolute;top:7532;width:66947;height:37002" coordorigin=",7532" coordsize="77426,443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">
                              <v:group id="Групувати 264902963" o:spid="_x0000_s1179" style="position:absolute;top:7532;width:76172;height:22048" coordorigin=",7532" coordsize="76172,220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">
                                <v:group id="Групувати 60920769" o:spid="_x0000_s1180" style="position:absolute;left:25526;top:7616;width:26158;height:21729" coordorigin="25526,7616" coordsize="30044,241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">
                                  <v:rect id="Прямокутник 920453959" o:spid="_x0000_s1181" style="position:absolute;left:27503;top:7616;width:24813;height:2858;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" fillcolor="#8ed973" stroked="f">
                                    <v:shadow on="t" color="black" opacity="41287f" offset="0,1.5pt"/>
                                    <v:textbox>
                                      <w:txbxContent>
                                        <w:p w14:paraId="7322F87E" w14:textId="77777777" w:rsidR="00F25FCF" w:rsidRPr="003B5892" w:rsidRDefault="00F25FCF" w:rsidP="00385184">
                                          <w:pPr>
                                            <w:jc w:val="center"/>
                                            <w:rPr>
                                              <w:rFonts w:ascii="Arial" w:hAnsi="Arial" w:cs="Arial"/>
                                              <w:b/>
                                              <w:bCs/>
                                              <w:color w:val="000000"/>
                                              <w:kern w:val="24"/>
                                            </w:rPr>
                                          </w:pPr>
                                          <w:r w:rsidRPr="003B5892">
                                            <w:rPr>
                                              <w:rFonts w:ascii="Arial" w:hAnsi="Arial" w:cs="Arial"/>
                                              <w:b/>
                                              <w:bCs/>
                                              <w:color w:val="000000"/>
                                              <w:kern w:val="24"/>
                                            </w:rPr>
                                            <w:t>Рекомендація спеціаліста</w:t>
                                          </w:r>
                                        </w:p>
                                      </w:txbxContent>
                                    </v:textbox>
                                  </v:rect>
                                  <v:rect id="Прямокутник 131939838" o:spid="_x0000_s1182" style="position:absolute;left:25526;top:14176;width:13920;height:7306;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" fillcolor="#f2aa84" stroked="f">
                                    <v:shadow on="t" color="black" opacity="41287f" offset="0,1.5pt"/>
                                    <v:textbox>
                                      <w:txbxContent>
                                        <w:p w14:paraId="1FA3EDFD" w14:textId="77777777" w:rsidR="00F25FCF" w:rsidRPr="003B5892" w:rsidRDefault="00F25FCF" w:rsidP="00385184">
                                          <w:pPr>
                                            <w:jc w:val="center"/>
                                            <w:rPr>
                                              <w:rFonts w:ascii="Arial" w:hAnsi="Arial" w:cs="Arial"/>
                                              <w:b/>
                                              <w:bCs/>
                                              <w:color w:val="000000"/>
                                              <w:kern w:val="24"/>
                                              <w:sz w:val="14"/>
                                              <w:szCs w:val="14"/>
                                            </w:rPr>
                                          </w:pPr>
                                          <w:r w:rsidRPr="003B5892">
                                            <w:rPr>
                                              <w:rFonts w:ascii="Arial" w:hAnsi="Arial" w:cs="Arial"/>
                                              <w:b/>
                                              <w:bCs/>
                                              <w:color w:val="000000"/>
                                              <w:kern w:val="24"/>
                                              <w:sz w:val="14"/>
                                              <w:szCs w:val="14"/>
                                            </w:rPr>
                                            <w:t>Поняття про 3D моделювання</w:t>
                                          </w:r>
                                        </w:p>
                                      </w:txbxContent>
                                    </v:textbox>
                                  </v:rect>
                                  <v:rect id="Прямокутник 1191157695" o:spid="_x0000_s1183" style="position:absolute;left:27501;top:26963;width:24813;height:4847;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" fillcolor="#e5bddc" strokecolor="window" strokeweight="2pt">
                                    <v:textbox>
                                      <w:txbxContent>
                                        <w:p w14:paraId="6EEDD242" w14:textId="77777777" w:rsidR="00F25FCF" w:rsidRPr="003B5892" w:rsidRDefault="00F25FCF" w:rsidP="00385184">
                                          <w:pPr>
                                            <w:spacing w:line="240" w:lineRule="auto"/>
                                            <w:jc w:val="center"/>
                                            <w:rPr>
                                              <w:rFonts w:ascii="Arial" w:hAnsi="Arial" w:cs="Arial"/>
                                              <w:b/>
                                              <w:bCs/>
                                              <w:color w:val="000000"/>
                                              <w:kern w:val="24"/>
                                              <w:sz w:val="16"/>
                                              <w:szCs w:val="16"/>
                                            </w:rPr>
                                          </w:pPr>
                                          <w:r w:rsidRPr="003B5892">
                                            <w:rPr>
                                              <w:rFonts w:ascii="Arial" w:hAnsi="Arial" w:cs="Arial"/>
                                              <w:b/>
                                              <w:bCs/>
                                              <w:color w:val="000000"/>
                                              <w:kern w:val="24"/>
                                              <w:sz w:val="16"/>
                                              <w:szCs w:val="16"/>
                                            </w:rPr>
                                            <w:t>Блок вивчення конкретного зразка озброєння</w:t>
                                          </w:r>
                                        </w:p>
                                      </w:txbxContent>
                                    </v:textbox>
                                  </v:rect>
                                  <v:rect id="Прямокутник 1416830602" o:spid="_x0000_s1184" style="position:absolute;left:41791;top:14077;width:13780;height:7236;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" fillcolor="#f2aa84" stroked="f">
                                    <v:shadow on="t" color="black" opacity="41287f" offset="0,1.5pt"/>
                                    <v:textbox>
                                      <w:txbxContent>
                                        <w:p w14:paraId="34A81587" w14:textId="77777777" w:rsidR="00F25FCF" w:rsidRPr="003B5892" w:rsidRDefault="00F25FCF" w:rsidP="00385184">
                                          <w:pPr>
                                            <w:spacing w:line="240" w:lineRule="auto"/>
                                            <w:jc w:val="center"/>
                                            <w:rPr>
                                              <w:rFonts w:ascii="Arial" w:hAnsi="Arial" w:cs="Arial"/>
                                              <w:b/>
                                              <w:bCs/>
                                              <w:color w:val="000000"/>
                                              <w:kern w:val="24"/>
                                              <w:sz w:val="14"/>
                                              <w:szCs w:val="14"/>
                                              <w:lang w:val="ru-RU"/>
                                            </w:rPr>
                                          </w:pPr>
                                          <w:r w:rsidRPr="003B5892">
                                            <w:rPr>
                                              <w:rFonts w:ascii="Arial" w:hAnsi="Arial" w:cs="Arial"/>
                                              <w:b/>
                                              <w:bCs/>
                                              <w:color w:val="000000"/>
                                              <w:kern w:val="24"/>
                                              <w:sz w:val="14"/>
                                              <w:szCs w:val="14"/>
                                              <w:lang w:val="ru-RU"/>
                                            </w:rPr>
                                            <w:t>Робота з 3</w:t>
                                          </w:r>
                                          <w:r w:rsidRPr="003B5892">
                                            <w:rPr>
                                              <w:rFonts w:ascii="Arial" w:hAnsi="Arial" w:cs="Arial"/>
                                              <w:b/>
                                              <w:bCs/>
                                              <w:color w:val="000000"/>
                                              <w:kern w:val="24"/>
                                              <w:sz w:val="14"/>
                                              <w:szCs w:val="14"/>
                                            </w:rPr>
                                            <w:t>D</w:t>
                                          </w:r>
                                          <w:r w:rsidRPr="003B5892">
                                            <w:rPr>
                                              <w:rFonts w:ascii="Arial" w:hAnsi="Arial" w:cs="Arial"/>
                                              <w:b/>
                                              <w:bCs/>
                                              <w:color w:val="000000"/>
                                              <w:kern w:val="24"/>
                                              <w:sz w:val="14"/>
                                              <w:szCs w:val="14"/>
                                              <w:lang w:val="ru-RU"/>
                                            </w:rPr>
                                            <w:t xml:space="preserve"> моделями боєприпасів і відео фільмами</w:t>
                                          </w:r>
                                        </w:p>
                                      </w:txbxContent>
                                    </v:textbox>
                                  </v:rect>
                                  <v:rect id="Прямокутник 1854618510" o:spid="_x0000_s1185" style="position:absolute;left:51316;top:23646;width:4172;height:30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" fillcolor="window" strokecolor="windowText" strokeweight="1.5pt">
                                    <v:textbox>
                                      <w:txbxContent>
                                        <w:p w14:paraId="2F4EB715" w14:textId="77777777" w:rsidR="00F25FCF" w:rsidRPr="003B5892" w:rsidRDefault="00F25FCF" w:rsidP="00385184">
                                          <w:pPr>
                                            <w:jc w:val="center"/>
                                            <w:rPr>
                                              <w:rFonts w:hAnsi="Aptos"/>
                                              <w:color w:val="000000"/>
                                              <w:kern w:val="24"/>
                                            </w:rPr>
                                          </w:pPr>
                                          <w:r w:rsidRPr="003B5892">
                                            <w:rPr>
                                              <w:rFonts w:hAnsi="Aptos"/>
                                              <w:color w:val="000000"/>
                                              <w:kern w:val="24"/>
                                            </w:rPr>
                                            <w:t>2</w:t>
                                          </w:r>
                                        </w:p>
                                      </w:txbxContent>
                                    </v:textbox>
                                  </v:rect>
                                  <v:shape id="Сполучна лінія уступом 5" o:spid="_x0000_s1186" type="#_x0000_t34" style="position:absolute;left:40534;top:6029;width:99;height:16195;rotation:90;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" adj="617732" strokecolor="#156082" strokeweight="1.5pt">
                                    <v:stroke startarrow="block" endarrow="block"/>
                                  </v:shape>
                                  <v:shape id="Сполучна лінія уступом 19" o:spid="_x0000_s1187" type="#_x0000_t34" style="position:absolute;left:40499;top:13300;width:169;height:16195;rotation:90;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" adj="-347216" strokecolor="#156082" strokeweight="1.5pt">
                                    <v:stroke startarrow="block" endarrow="block"/>
                                  </v:shape>
                                  <v:shape id="Пряма зі стрілкою 1220636987" o:spid="_x0000_s1188" type="#_x0000_t32" style="position:absolute;left:39446;top:17695;width:2345;height:13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" strokecolor="#156082" strokeweight="1.5pt">
                                    <v:stroke endarrow="block" joinstyle="miter"/>
                                  </v:shape>
                                </v:group>
                                <v:group id="Групувати 592062084" o:spid="_x0000_s1189" style="position:absolute;top:7572;width:23797;height:21890" coordorigin=",7572" coordsize="27334,243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">
                                  <v:rect id="Прямокутник 1862694546" o:spid="_x0000_s1190" style="position:absolute;left:1720;top:7572;width:24812;height:2857;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" fillcolor="#8ed973" stroked="f">
                                    <v:shadow on="t" color="black" opacity="41287f" offset="0,1.5pt"/>
                                    <v:textbox>
                                      <w:txbxContent>
                                        <w:p w14:paraId="79D26EB3" w14:textId="77777777" w:rsidR="00F25FCF" w:rsidRPr="003B5892" w:rsidRDefault="00F25FCF" w:rsidP="00385184">
                                          <w:pPr>
                                            <w:jc w:val="center"/>
                                            <w:rPr>
                                              <w:rFonts w:ascii="Arial" w:hAnsi="Arial" w:cs="Arial"/>
                                              <w:b/>
                                              <w:bCs/>
                                              <w:color w:val="000000"/>
                                              <w:kern w:val="24"/>
                                            </w:rPr>
                                          </w:pPr>
                                          <w:r w:rsidRPr="003B5892">
                                            <w:rPr>
                                              <w:rFonts w:ascii="Arial" w:hAnsi="Arial" w:cs="Arial"/>
                                              <w:b/>
                                              <w:bCs/>
                                              <w:color w:val="000000"/>
                                              <w:kern w:val="24"/>
                                            </w:rPr>
                                            <w:t>Консультація спеціаліста</w:t>
                                          </w:r>
                                        </w:p>
                                      </w:txbxContent>
                                    </v:textbox>
                                  </v:rect>
                                  <v:rect id="Прямокутник 531999659" o:spid="_x0000_s1191" style="position:absolute;top:14096;width:10648;height:6906;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" fillcolor="#f2aa84" stroked="f">
                                    <v:shadow on="t" color="black" opacity="41287f" offset="0,1.5pt"/>
                                    <v:textbox>
                                      <w:txbxContent>
                                        <w:p w14:paraId="18EDD393" w14:textId="77777777" w:rsidR="00F25FCF" w:rsidRPr="003B5892" w:rsidRDefault="00F25FCF" w:rsidP="00385184">
                                          <w:pPr>
                                            <w:jc w:val="center"/>
                                            <w:rPr>
                                              <w:rFonts w:ascii="Arial" w:hAnsi="Arial" w:cs="Arial"/>
                                              <w:b/>
                                              <w:bCs/>
                                              <w:color w:val="000000"/>
                                              <w:kern w:val="24"/>
                                              <w:sz w:val="14"/>
                                              <w:szCs w:val="14"/>
                                            </w:rPr>
                                          </w:pPr>
                                          <w:r w:rsidRPr="003B5892">
                                            <w:rPr>
                                              <w:rFonts w:ascii="Arial" w:hAnsi="Arial" w:cs="Arial"/>
                                              <w:b/>
                                              <w:bCs/>
                                              <w:color w:val="000000"/>
                                              <w:kern w:val="24"/>
                                              <w:sz w:val="14"/>
                                              <w:szCs w:val="14"/>
                                            </w:rPr>
                                            <w:t>Вивчення структури</w:t>
                                          </w:r>
                                          <w:r w:rsidRPr="003B5892">
                                            <w:rPr>
                                              <w:rFonts w:ascii="Arial" w:hAnsi="Arial" w:cs="Arial"/>
                                              <w:b/>
                                              <w:bCs/>
                                              <w:color w:val="000000"/>
                                              <w:kern w:val="24"/>
                                              <w:sz w:val="20"/>
                                              <w:szCs w:val="20"/>
                                            </w:rPr>
                                            <w:t xml:space="preserve"> </w:t>
                                          </w:r>
                                          <w:r w:rsidRPr="003B5892">
                                            <w:rPr>
                                              <w:rFonts w:ascii="Arial" w:hAnsi="Arial" w:cs="Arial"/>
                                              <w:b/>
                                              <w:bCs/>
                                              <w:color w:val="000000"/>
                                              <w:kern w:val="24"/>
                                              <w:sz w:val="14"/>
                                              <w:szCs w:val="14"/>
                                            </w:rPr>
                                            <w:t>посібника</w:t>
                                          </w:r>
                                        </w:p>
                                      </w:txbxContent>
                                    </v:textbox>
                                  </v:rect>
                                  <v:rect id="Прямокутник 1082225446" o:spid="_x0000_s1192" style="position:absolute;left:1719;top:27220;width:24813;height:4725;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" fillcolor="#e5bddc" strokecolor="window" strokeweight="2pt">
                                    <v:textbox>
                                      <w:txbxContent>
                                        <w:p w14:paraId="76DA5C55" w14:textId="77777777" w:rsidR="00F25FCF" w:rsidRPr="003B5892" w:rsidRDefault="00F25FCF" w:rsidP="00385184">
                                          <w:pPr>
                                            <w:jc w:val="center"/>
                                            <w:rPr>
                                              <w:rFonts w:ascii="Arial" w:hAnsi="Arial" w:cs="Arial"/>
                                              <w:b/>
                                              <w:bCs/>
                                              <w:color w:val="000000"/>
                                              <w:kern w:val="24"/>
                                              <w:sz w:val="18"/>
                                              <w:szCs w:val="18"/>
                                            </w:rPr>
                                          </w:pPr>
                                          <w:r w:rsidRPr="003B5892">
                                            <w:rPr>
                                              <w:rFonts w:ascii="Arial" w:hAnsi="Arial" w:cs="Arial"/>
                                              <w:b/>
                                              <w:bCs/>
                                              <w:color w:val="000000"/>
                                              <w:kern w:val="24"/>
                                              <w:sz w:val="18"/>
                                              <w:szCs w:val="18"/>
                                            </w:rPr>
                                            <w:t>Блок вивчення зразків озброєння</w:t>
                                          </w:r>
                                        </w:p>
                                      </w:txbxContent>
                                    </v:textbox>
                                  </v:rect>
                                  <v:rect id="Прямокутник 2121601430" o:spid="_x0000_s1193" style="position:absolute;left:13934;top:14096;width:13040;height:6906;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" fillcolor="#f2aa84" stroked="f">
                                    <v:shadow on="t" color="black" opacity="41287f" offset="0,1.5pt"/>
                                    <v:textbox>
                                      <w:txbxContent>
                                        <w:p w14:paraId="32150FFB" w14:textId="77777777" w:rsidR="00F25FCF" w:rsidRPr="003B5892" w:rsidRDefault="00F25FCF" w:rsidP="00385184">
                                          <w:pPr>
                                            <w:jc w:val="center"/>
                                            <w:rPr>
                                              <w:rFonts w:ascii="Arial" w:hAnsi="Arial" w:cs="Arial"/>
                                              <w:b/>
                                              <w:bCs/>
                                              <w:color w:val="000000"/>
                                              <w:kern w:val="24"/>
                                              <w:sz w:val="14"/>
                                              <w:szCs w:val="14"/>
                                            </w:rPr>
                                          </w:pPr>
                                          <w:r w:rsidRPr="003B5892">
                                            <w:rPr>
                                              <w:rFonts w:ascii="Arial" w:hAnsi="Arial" w:cs="Arial"/>
                                              <w:b/>
                                              <w:bCs/>
                                              <w:color w:val="000000"/>
                                              <w:kern w:val="24"/>
                                              <w:sz w:val="14"/>
                                              <w:szCs w:val="14"/>
                                            </w:rPr>
                                            <w:t>Тренінг користування посібником</w:t>
                                          </w:r>
                                        </w:p>
                                      </w:txbxContent>
                                    </v:textbox>
                                  </v:rect>
                                  <v:rect id="Прямокутник 1007891838" o:spid="_x0000_s1194" style="position:absolute;left:23494;top:24022;width:3840;height:29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" fillcolor="window" strokecolor="windowText" strokeweight="1.5pt">
                                    <v:textbox>
                                      <w:txbxContent>
                                        <w:p w14:paraId="6D12E79F" w14:textId="77777777" w:rsidR="00F25FCF" w:rsidRPr="003B5892" w:rsidRDefault="00F25FCF" w:rsidP="00385184">
                                          <w:pPr>
                                            <w:jc w:val="center"/>
                                            <w:rPr>
                                              <w:rFonts w:hAnsi="Aptos"/>
                                              <w:color w:val="000000"/>
                                              <w:kern w:val="24"/>
                                            </w:rPr>
                                          </w:pPr>
                                          <w:r w:rsidRPr="003B5892">
                                            <w:rPr>
                                              <w:rFonts w:hAnsi="Aptos"/>
                                              <w:color w:val="000000"/>
                                              <w:kern w:val="24"/>
                                            </w:rPr>
                                            <w:t>1</w:t>
                                          </w:r>
                                        </w:p>
                                      </w:txbxContent>
                                    </v:textbox>
                                  </v:rect>
                                  <v:shape id="Сполучна лінія уступом 45" o:spid="_x0000_s1195" type="#_x0000_t34" style="position:absolute;left:12888;top:6531;width:151;height:15131;rotation:90;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" adj="388800" strokecolor="#156082" strokeweight="1.5pt">
                                    <v:stroke startarrow="block" endarrow="block"/>
                                  </v:shape>
                                  <v:shape id="Сполучна лінія уступом 46" o:spid="_x0000_s1196" type="#_x0000_t34" style="position:absolute;left:12888;top:13436;width:152;height:15131;rotation: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" adj="388800" strokecolor="#156082" strokeweight="1.5pt">
                                    <v:stroke startarrow="block" endarrow="block"/>
                                  </v:shape>
                                  <v:shape id="Пряма зі стрілкою 255999750" o:spid="_x0000_s1197" type="#_x0000_t32" style="position:absolute;left:10648;top:17549;width:328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" strokecolor="#156082" strokeweight="1.5pt">
                                    <v:stroke endarrow="block" joinstyle="miter"/>
                                  </v:shape>
                                </v:group>
                                <v:group id="Групувати 112070202" o:spid="_x0000_s1198" style="position:absolute;left:53047;top:7532;width:23125;height:22048" coordorigin="53047,7532" coordsize="26560,245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">
                                  <v:rect id="Прямокутник 2058709674" o:spid="_x0000_s1199" style="position:absolute;left:53048;top:7532;width:24813;height:2857;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" fillcolor="#8ed973" stroked="f">
                                    <v:shadow on="t" color="black" opacity="41287f" offset="0,1.5pt"/>
                                    <v:textbox>
                                      <w:txbxContent>
                                        <w:p w14:paraId="094CBDFE" w14:textId="77777777" w:rsidR="00F25FCF" w:rsidRPr="003B5892" w:rsidRDefault="00F25FCF" w:rsidP="00385184">
                                          <w:pPr>
                                            <w:jc w:val="center"/>
                                            <w:rPr>
                                              <w:rFonts w:ascii="Arial" w:hAnsi="Arial" w:cs="Arial"/>
                                              <w:b/>
                                              <w:bCs/>
                                              <w:color w:val="000000"/>
                                              <w:kern w:val="24"/>
                                            </w:rPr>
                                          </w:pPr>
                                          <w:r w:rsidRPr="003B5892">
                                            <w:rPr>
                                              <w:rFonts w:ascii="Arial" w:hAnsi="Arial" w:cs="Arial"/>
                                              <w:b/>
                                              <w:bCs/>
                                              <w:color w:val="000000"/>
                                              <w:kern w:val="24"/>
                                            </w:rPr>
                                            <w:t>Поради спеціаліста</w:t>
                                          </w:r>
                                        </w:p>
                                      </w:txbxContent>
                                    </v:textbox>
                                  </v:rect>
                                  <v:rect id="Прямокутник 529397658" o:spid="_x0000_s1200" style="position:absolute;left:53048;top:14056;width:11002;height:7572;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" fillcolor="#f2aa84" stroked="f">
                                    <v:shadow on="t" color="black" opacity="41287f" offset="0,1.5pt"/>
                                    <v:textbox>
                                      <w:txbxContent>
                                        <w:p w14:paraId="60217D3B" w14:textId="77777777" w:rsidR="00F25FCF" w:rsidRPr="003B5892" w:rsidRDefault="00F25FCF" w:rsidP="00385184">
                                          <w:pPr>
                                            <w:spacing w:line="240" w:lineRule="auto"/>
                                            <w:ind w:right="-62"/>
                                            <w:jc w:val="center"/>
                                            <w:rPr>
                                              <w:rFonts w:ascii="Arial" w:hAnsi="Arial" w:cs="Arial"/>
                                              <w:b/>
                                              <w:bCs/>
                                              <w:color w:val="000000"/>
                                              <w:kern w:val="24"/>
                                              <w:sz w:val="20"/>
                                              <w:szCs w:val="20"/>
                                            </w:rPr>
                                          </w:pPr>
                                          <w:r w:rsidRPr="003B5892">
                                            <w:rPr>
                                              <w:rFonts w:ascii="Arial" w:hAnsi="Arial" w:cs="Arial"/>
                                              <w:b/>
                                              <w:bCs/>
                                              <w:color w:val="000000"/>
                                              <w:kern w:val="24"/>
                                              <w:sz w:val="16"/>
                                              <w:szCs w:val="16"/>
                                            </w:rPr>
                                            <w:t xml:space="preserve">Загальні </w:t>
                                          </w:r>
                                          <w:r w:rsidRPr="003B5892">
                                            <w:rPr>
                                              <w:rFonts w:ascii="Arial" w:hAnsi="Arial" w:cs="Arial"/>
                                              <w:b/>
                                              <w:bCs/>
                                              <w:color w:val="000000"/>
                                              <w:kern w:val="24"/>
                                              <w:sz w:val="14"/>
                                              <w:szCs w:val="14"/>
                                            </w:rPr>
                                            <w:t>відомості про штатні підривники</w:t>
                                          </w:r>
                                        </w:p>
                                      </w:txbxContent>
                                    </v:textbox>
                                  </v:rect>
                                  <v:rect id="Прямокутник 1529878365" o:spid="_x0000_s1201" style="position:absolute;left:53047;top:27193;width:24813;height:4888;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" fillcolor="#e5bddc" strokecolor="window" strokeweight="2pt">
                                    <v:textbox>
                                      <w:txbxContent>
                                        <w:p w14:paraId="7FCE36F7" w14:textId="77777777" w:rsidR="00F25FCF" w:rsidRPr="003B5892" w:rsidRDefault="00F25FCF" w:rsidP="00385184">
                                          <w:pPr>
                                            <w:jc w:val="center"/>
                                            <w:rPr>
                                              <w:rFonts w:ascii="Arial" w:hAnsi="Arial" w:cs="Arial"/>
                                              <w:b/>
                                              <w:bCs/>
                                              <w:color w:val="000000"/>
                                              <w:kern w:val="24"/>
                                              <w:sz w:val="18"/>
                                              <w:szCs w:val="18"/>
                                            </w:rPr>
                                          </w:pPr>
                                          <w:r w:rsidRPr="003B5892">
                                            <w:rPr>
                                              <w:rFonts w:ascii="Arial" w:hAnsi="Arial" w:cs="Arial"/>
                                              <w:b/>
                                              <w:bCs/>
                                              <w:color w:val="000000"/>
                                              <w:kern w:val="24"/>
                                              <w:sz w:val="18"/>
                                              <w:szCs w:val="18"/>
                                            </w:rPr>
                                            <w:t>Блок вивчення підривників</w:t>
                                          </w:r>
                                        </w:p>
                                      </w:txbxContent>
                                    </v:textbox>
                                  </v:rect>
                                  <v:rect id="Прямокутник 695613724" o:spid="_x0000_s1202" style="position:absolute;left:67336;top:14056;width:12272;height:7572;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" fillcolor="#f2aa84" stroked="f">
                                    <v:shadow on="t" color="black" opacity="41287f" offset="0,1.5pt"/>
                                    <v:textbox>
                                      <w:txbxContent>
                                        <w:p w14:paraId="251FAF92" w14:textId="77777777" w:rsidR="00F25FCF" w:rsidRPr="003B5892" w:rsidRDefault="00F25FCF" w:rsidP="00385184">
                                          <w:pPr>
                                            <w:spacing w:line="240" w:lineRule="auto"/>
                                            <w:ind w:hanging="142"/>
                                            <w:jc w:val="center"/>
                                            <w:rPr>
                                              <w:rFonts w:ascii="Arial" w:hAnsi="Arial" w:cs="Arial"/>
                                              <w:b/>
                                              <w:bCs/>
                                              <w:color w:val="000000"/>
                                              <w:kern w:val="24"/>
                                              <w:sz w:val="14"/>
                                              <w:szCs w:val="14"/>
                                            </w:rPr>
                                          </w:pPr>
                                          <w:r w:rsidRPr="003B5892">
                                            <w:rPr>
                                              <w:rFonts w:ascii="Arial" w:hAnsi="Arial" w:cs="Arial"/>
                                              <w:b/>
                                              <w:bCs/>
                                              <w:color w:val="000000"/>
                                              <w:kern w:val="24"/>
                                              <w:sz w:val="14"/>
                                              <w:szCs w:val="14"/>
                                            </w:rPr>
                                            <w:t>Користування ключами і шкалами підривників</w:t>
                                          </w:r>
                                        </w:p>
                                      </w:txbxContent>
                                    </v:textbox>
                                  </v:rect>
                                  <v:rect id="Прямокутник 306015580" o:spid="_x0000_s1203" style="position:absolute;left:74736;top:23700;width:4642;height:33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" fillcolor="window" strokecolor="windowText" strokeweight="1.5pt">
                                    <v:textbox>
                                      <w:txbxContent>
                                        <w:p w14:paraId="4B9F4809" w14:textId="77777777" w:rsidR="00F25FCF" w:rsidRPr="003B5892" w:rsidRDefault="00F25FCF" w:rsidP="00385184">
                                          <w:pPr>
                                            <w:jc w:val="center"/>
                                            <w:rPr>
                                              <w:rFonts w:hAnsi="Aptos"/>
                                              <w:color w:val="000000"/>
                                              <w:kern w:val="24"/>
                                            </w:rPr>
                                          </w:pPr>
                                          <w:r w:rsidRPr="003B5892">
                                            <w:rPr>
                                              <w:rFonts w:hAnsi="Aptos"/>
                                              <w:color w:val="000000"/>
                                              <w:kern w:val="24"/>
                                            </w:rPr>
                                            <w:t>3</w:t>
                                          </w:r>
                                        </w:p>
                                      </w:txbxContent>
                                    </v:textbox>
                                  </v:rect>
                                  <v:shape id="Сполучна лінія уступом 54" o:spid="_x0000_s1204" type="#_x0000_t34" style="position:absolute;left:66010;top:6595;width:169;height:14923;rotation:90;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" adj="388800" strokecolor="#156082" strokeweight="1.5pt">
                                    <v:stroke startarrow="block" endarrow="block"/>
                                  </v:shape>
                                  <v:shape id="Сполучна лінія уступом 55" o:spid="_x0000_s1205" type="#_x0000_t34" style="position:absolute;left:66010;top:14166;width:170;height:14923;rotation: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" adj="323993" strokecolor="#156082" strokeweight="1.5pt">
                                    <v:stroke startarrow="block" endarrow="block"/>
                                  </v:shape>
                                  <v:shape id="Пряма зі стрілкою 1289678779" o:spid="_x0000_s1206" type="#_x0000_t32" style="position:absolute;left:64050;top:17842;width:328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" strokecolor="#156082" strokeweight="1.5pt">
                                    <v:stroke endarrow="block" joinstyle="miter"/>
                                  </v:shape>
                                </v:group>
                              </v:group>
                              <v:group id="Групувати 1584614818" o:spid="_x0000_s1207" style="position:absolute;left:258;top:29803;width:77168;height:22127" coordorigin="258,29803" coordsize="77167,221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">
                                <v:group id="Групувати 210637650" o:spid="_x0000_s1208" style="position:absolute;left:26255;top:29804;width:24125;height:22125" coordorigin="26255,29804" coordsize="27709,246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">
                                  <v:rect id="Прямокутник 213003929" o:spid="_x0000_s1209" style="position:absolute;left:27393;top:29804;width:24813;height:4427;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" fillcolor="#47aadf" stroked="f">
                                    <v:fill color2="#0094ce" rotate="t" colors="0 #47aadf;.5 #05a2df;1 #0094ce" focus="100%" type="gradient">
                                      <o:fill v:ext="view" type="gradientUnscaled"/>
                                    </v:fill>
                                    <v:shadow on="t" color="black" opacity="41287f" offset="0,1.5pt"/>
                                    <v:textbox>
                                      <w:txbxContent>
                                        <w:p w14:paraId="389B4C80" w14:textId="77777777" w:rsidR="00F25FCF" w:rsidRPr="003B5892" w:rsidRDefault="00F25FCF" w:rsidP="00385184">
                                          <w:pPr>
                                            <w:jc w:val="center"/>
                                            <w:rPr>
                                              <w:rFonts w:hAnsi="Aptos"/>
                                              <w:color w:val="FFFFFF"/>
                                              <w:kern w:val="24"/>
                                              <w:sz w:val="20"/>
                                              <w:szCs w:val="20"/>
                                            </w:rPr>
                                          </w:pPr>
                                          <w:r w:rsidRPr="003B5892">
                                            <w:rPr>
                                              <w:rFonts w:hAnsi="Aptos"/>
                                              <w:color w:val="FFFFFF"/>
                                              <w:kern w:val="24"/>
                                              <w:sz w:val="20"/>
                                              <w:szCs w:val="20"/>
                                            </w:rPr>
                                            <w:t>Поради</w:t>
                                          </w:r>
                                          <w:r w:rsidRPr="003B5892">
                                            <w:rPr>
                                              <w:rFonts w:hAnsi="Aptos"/>
                                              <w:color w:val="FFFFFF"/>
                                              <w:kern w:val="24"/>
                                              <w:sz w:val="20"/>
                                              <w:szCs w:val="20"/>
                                            </w:rPr>
                                            <w:t xml:space="preserve"> </w:t>
                                          </w:r>
                                          <w:r w:rsidRPr="003B5892">
                                            <w:rPr>
                                              <w:rFonts w:hAnsi="Aptos"/>
                                              <w:color w:val="FFFFFF"/>
                                              <w:kern w:val="24"/>
                                              <w:sz w:val="20"/>
                                              <w:szCs w:val="20"/>
                                            </w:rPr>
                                            <w:t>спеціаліста</w:t>
                                          </w:r>
                                          <w:r w:rsidRPr="003B5892">
                                            <w:rPr>
                                              <w:rFonts w:hAnsi="Aptos"/>
                                              <w:color w:val="FFFFFF"/>
                                              <w:kern w:val="24"/>
                                              <w:sz w:val="20"/>
                                              <w:szCs w:val="20"/>
                                            </w:rPr>
                                            <w:t xml:space="preserve">, </w:t>
                                          </w:r>
                                          <w:r w:rsidRPr="003B5892">
                                            <w:rPr>
                                              <w:rFonts w:hAnsi="Aptos"/>
                                              <w:color w:val="FFFFFF"/>
                                              <w:kern w:val="24"/>
                                              <w:sz w:val="20"/>
                                              <w:szCs w:val="20"/>
                                            </w:rPr>
                                            <w:t>консультації</w:t>
                                          </w:r>
                                        </w:p>
                                      </w:txbxContent>
                                    </v:textbox>
                                  </v:rect>
                                  <v:rect id="Прямокутник 2084407737" o:spid="_x0000_s1210" style="position:absolute;left:26255;top:36772;width:12141;height:6906;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" fillcolor="#f2aa84" stroked="f">
                                    <v:shadow on="t" color="black" opacity="41287f" offset="0,1.5pt"/>
                                    <v:textbox>
                                      <w:txbxContent>
                                        <w:p w14:paraId="38D28C10" w14:textId="77777777" w:rsidR="00F25FCF" w:rsidRPr="003B5892" w:rsidRDefault="00F25FCF" w:rsidP="00385184">
                                          <w:pPr>
                                            <w:spacing w:line="240" w:lineRule="auto"/>
                                            <w:jc w:val="center"/>
                                            <w:rPr>
                                              <w:rFonts w:ascii="Arial" w:hAnsi="Arial" w:cs="Arial"/>
                                              <w:b/>
                                              <w:bCs/>
                                              <w:color w:val="000000"/>
                                              <w:kern w:val="24"/>
                                              <w:sz w:val="20"/>
                                              <w:szCs w:val="20"/>
                                              <w:lang w:val="ru-RU"/>
                                            </w:rPr>
                                          </w:pPr>
                                          <w:r w:rsidRPr="003B5892">
                                            <w:rPr>
                                              <w:rFonts w:ascii="Arial" w:hAnsi="Arial" w:cs="Arial"/>
                                              <w:b/>
                                              <w:bCs/>
                                              <w:color w:val="000000"/>
                                              <w:kern w:val="24"/>
                                              <w:sz w:val="16"/>
                                              <w:szCs w:val="16"/>
                                              <w:lang w:val="ru-RU"/>
                                            </w:rPr>
                                            <w:t>Вивчення маркуван-ня і тавруван-ня</w:t>
                                          </w:r>
                                          <w:r w:rsidRPr="003B5892">
                                            <w:rPr>
                                              <w:rFonts w:ascii="Arial" w:hAnsi="Arial" w:cs="Arial"/>
                                              <w:b/>
                                              <w:bCs/>
                                              <w:color w:val="000000"/>
                                              <w:kern w:val="24"/>
                                              <w:sz w:val="20"/>
                                              <w:szCs w:val="20"/>
                                              <w:lang w:val="ru-RU"/>
                                            </w:rPr>
                                            <w:t xml:space="preserve"> боєприпасів</w:t>
                                          </w:r>
                                        </w:p>
                                      </w:txbxContent>
                                    </v:textbox>
                                  </v:rect>
                                  <v:rect id="Прямокутник 479739095" o:spid="_x0000_s1211" style="position:absolute;left:27393;top:49365;width:24813;height:5074;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" fillcolor="#e5bddc" strokecolor="window" strokeweight="2pt">
                                    <v:textbox>
                                      <w:txbxContent>
                                        <w:p w14:paraId="0054192F" w14:textId="77777777" w:rsidR="00F25FCF" w:rsidRPr="003B5892" w:rsidRDefault="00F25FCF" w:rsidP="00385184">
                                          <w:pPr>
                                            <w:jc w:val="center"/>
                                            <w:rPr>
                                              <w:rFonts w:ascii="Arial" w:hAnsi="Arial" w:cs="Arial"/>
                                              <w:b/>
                                              <w:bCs/>
                                              <w:color w:val="000000"/>
                                              <w:kern w:val="24"/>
                                              <w:sz w:val="16"/>
                                              <w:szCs w:val="16"/>
                                            </w:rPr>
                                          </w:pPr>
                                          <w:r w:rsidRPr="003B5892">
                                            <w:rPr>
                                              <w:rFonts w:ascii="Arial" w:hAnsi="Arial" w:cs="Arial"/>
                                              <w:b/>
                                              <w:bCs/>
                                              <w:color w:val="000000"/>
                                              <w:kern w:val="24"/>
                                              <w:sz w:val="16"/>
                                              <w:szCs w:val="16"/>
                                            </w:rPr>
                                            <w:t>Блок вивчення ефекту дії снаряда</w:t>
                                          </w:r>
                                        </w:p>
                                      </w:txbxContent>
                                    </v:textbox>
                                  </v:rect>
                                  <v:rect id="Прямокутник 106340035" o:spid="_x0000_s1212" style="position:absolute;left:41682;top:36772;width:11755;height:6906;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" fillcolor="#f2aa84" stroked="f">
                                    <v:shadow on="t" color="black" opacity="41287f" offset="0,1.5pt"/>
                                    <v:textbox>
                                      <w:txbxContent>
                                        <w:p w14:paraId="3556CB9C" w14:textId="77777777" w:rsidR="00F25FCF" w:rsidRPr="003B5892" w:rsidRDefault="00F25FCF" w:rsidP="00385184">
                                          <w:pPr>
                                            <w:spacing w:line="240" w:lineRule="auto"/>
                                            <w:jc w:val="center"/>
                                            <w:rPr>
                                              <w:rFonts w:ascii="Arial" w:hAnsi="Arial" w:cs="Arial"/>
                                              <w:b/>
                                              <w:bCs/>
                                              <w:color w:val="000000"/>
                                              <w:kern w:val="24"/>
                                              <w:sz w:val="16"/>
                                              <w:szCs w:val="16"/>
                                              <w:lang w:val="ru-RU"/>
                                            </w:rPr>
                                          </w:pPr>
                                          <w:r w:rsidRPr="003B5892">
                                            <w:rPr>
                                              <w:rFonts w:ascii="Arial" w:hAnsi="Arial" w:cs="Arial"/>
                                              <w:b/>
                                              <w:bCs/>
                                              <w:color w:val="000000"/>
                                              <w:kern w:val="24"/>
                                              <w:sz w:val="16"/>
                                              <w:szCs w:val="16"/>
                                              <w:lang w:val="ru-RU"/>
                                            </w:rPr>
                                            <w:t>Вивчення очікува-ного ефекту дії снаряда</w:t>
                                          </w:r>
                                        </w:p>
                                      </w:txbxContent>
                                    </v:textbox>
                                  </v:rect>
                                  <v:rect id="Прямокутник 1053280957" o:spid="_x0000_s1213" style="position:absolute;left:49895;top:46559;width:4070;height:287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" fillcolor="window" strokecolor="windowText" strokeweight="1.5pt">
                                    <v:textbox>
                                      <w:txbxContent>
                                        <w:p w14:paraId="5DCDE79A" w14:textId="77777777" w:rsidR="00F25FCF" w:rsidRPr="003B5892" w:rsidRDefault="00F25FCF" w:rsidP="00385184">
                                          <w:pPr>
                                            <w:jc w:val="center"/>
                                            <w:rPr>
                                              <w:rFonts w:hAnsi="Aptos"/>
                                              <w:color w:val="000000"/>
                                              <w:kern w:val="24"/>
                                            </w:rPr>
                                          </w:pPr>
                                          <w:r w:rsidRPr="003B5892">
                                            <w:rPr>
                                              <w:rFonts w:hAnsi="Aptos"/>
                                              <w:color w:val="000000"/>
                                              <w:kern w:val="24"/>
                                            </w:rPr>
                                            <w:t>5</w:t>
                                          </w:r>
                                        </w:p>
                                      </w:txbxContent>
                                    </v:textbox>
                                  </v:rect>
                                  <v:shape id="Сполучна лінія уступом 85" o:spid="_x0000_s1214" type="#_x0000_t34" style="position:absolute;left:39941;top:29371;width:152;height:15234;rotation:90;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" adj="388800" strokecolor="#156082" strokeweight="1.5pt">
                                    <v:stroke startarrow="block" endarrow="block"/>
                                    <o:lock v:ext="edit" shapetype="f"/>
                                  </v:shape>
                                  <v:shape id="Сполучна лінія уступом 86" o:spid="_x0000_s1215" type="#_x0000_t34" style="position:absolute;left:39941;top:36061;width:151;height:15234;rotation: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" adj="388800" strokecolor="#156082" strokeweight="1.5pt">
                                    <v:stroke startarrow="block" endarrow="block"/>
                                  </v:shape>
                                  <v:shape id="Пряма зі стрілкою 1874499233" o:spid="_x0000_s1216" type="#_x0000_t32" style="position:absolute;left:38396;top:40225;width:328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" strokecolor="#156082" strokeweight="1.5pt">
                                    <v:stroke endarrow="block" joinstyle="miter"/>
                                  </v:shape>
                                </v:group>
                                <v:group id="Групувати 1722661034" o:spid="_x0000_s1217" style="position:absolute;left:258;top:29803;width:24304;height:22126" coordorigin="258,29803" coordsize="27915,246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">
                                  <v:rect id="Прямокутник 1498436848" o:spid="_x0000_s1218" style="position:absolute;left:1681;top:29803;width:24812;height:490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" fillcolor="#47aadf" stroked="f">
                                    <v:fill color2="#0094ce" rotate="t" colors="0 #47aadf;.5 #05a2df;1 #0094ce" focus="100%" type="gradient">
                                      <o:fill v:ext="view" type="gradientUnscaled"/>
                                    </v:fill>
                                    <v:shadow on="t" color="black" opacity="41287f" offset="0,1.5pt"/>
                                    <v:textbox>
                                      <w:txbxContent>
                                        <w:p w14:paraId="3F3AF58F" w14:textId="77777777" w:rsidR="00F25FCF" w:rsidRPr="003B5892" w:rsidRDefault="00F25FCF" w:rsidP="00385184">
                                          <w:pPr>
                                            <w:jc w:val="center"/>
                                            <w:rPr>
                                              <w:rFonts w:hAnsi="Aptos"/>
                                              <w:color w:val="FFFFFF"/>
                                              <w:kern w:val="24"/>
                                              <w:sz w:val="20"/>
                                              <w:szCs w:val="20"/>
                                              <w:lang w:val="ru-RU"/>
                                            </w:rPr>
                                          </w:pPr>
                                          <w:r w:rsidRPr="003B5892">
                                            <w:rPr>
                                              <w:rFonts w:hAnsi="Aptos"/>
                                              <w:color w:val="FFFFFF"/>
                                              <w:kern w:val="24"/>
                                              <w:sz w:val="20"/>
                                              <w:szCs w:val="20"/>
                                              <w:lang w:val="ru-RU"/>
                                            </w:rPr>
                                            <w:t>Наведення</w:t>
                                          </w:r>
                                          <w:r w:rsidRPr="003B5892">
                                            <w:rPr>
                                              <w:rFonts w:hAnsi="Aptos"/>
                                              <w:color w:val="FFFFFF"/>
                                              <w:kern w:val="24"/>
                                              <w:sz w:val="20"/>
                                              <w:szCs w:val="20"/>
                                              <w:lang w:val="ru-RU"/>
                                            </w:rPr>
                                            <w:t xml:space="preserve"> </w:t>
                                          </w:r>
                                          <w:r w:rsidRPr="003B5892">
                                            <w:rPr>
                                              <w:rFonts w:hAnsi="Aptos"/>
                                              <w:color w:val="FFFFFF"/>
                                              <w:kern w:val="24"/>
                                              <w:sz w:val="20"/>
                                              <w:szCs w:val="20"/>
                                              <w:lang w:val="ru-RU"/>
                                            </w:rPr>
                                            <w:t>прикладів</w:t>
                                          </w:r>
                                          <w:r w:rsidRPr="003B5892">
                                            <w:rPr>
                                              <w:rFonts w:hAnsi="Aptos"/>
                                              <w:color w:val="FFFFFF"/>
                                              <w:kern w:val="24"/>
                                              <w:sz w:val="20"/>
                                              <w:szCs w:val="20"/>
                                              <w:lang w:val="ru-RU"/>
                                            </w:rPr>
                                            <w:t xml:space="preserve"> </w:t>
                                          </w:r>
                                          <w:r w:rsidRPr="003B5892">
                                            <w:rPr>
                                              <w:rFonts w:hAnsi="Aptos"/>
                                              <w:color w:val="FFFFFF"/>
                                              <w:kern w:val="24"/>
                                              <w:sz w:val="20"/>
                                              <w:szCs w:val="20"/>
                                              <w:lang w:val="ru-RU"/>
                                            </w:rPr>
                                            <w:t>неправильних</w:t>
                                          </w:r>
                                          <w:r w:rsidRPr="003B5892">
                                            <w:rPr>
                                              <w:rFonts w:hAnsi="Aptos"/>
                                              <w:color w:val="FFFFFF"/>
                                              <w:kern w:val="24"/>
                                              <w:sz w:val="20"/>
                                              <w:szCs w:val="20"/>
                                              <w:lang w:val="ru-RU"/>
                                            </w:rPr>
                                            <w:t xml:space="preserve"> </w:t>
                                          </w:r>
                                          <w:r w:rsidRPr="003B5892">
                                            <w:rPr>
                                              <w:rFonts w:hAnsi="Aptos"/>
                                              <w:color w:val="FFFFFF"/>
                                              <w:kern w:val="24"/>
                                              <w:sz w:val="20"/>
                                              <w:szCs w:val="20"/>
                                              <w:lang w:val="ru-RU"/>
                                            </w:rPr>
                                            <w:t>дій</w:t>
                                          </w:r>
                                          <w:r w:rsidRPr="003B5892">
                                            <w:rPr>
                                              <w:rFonts w:hAnsi="Aptos"/>
                                              <w:color w:val="FFFFFF"/>
                                              <w:kern w:val="24"/>
                                              <w:sz w:val="20"/>
                                              <w:szCs w:val="20"/>
                                              <w:lang w:val="ru-RU"/>
                                            </w:rPr>
                                            <w:t xml:space="preserve"> </w:t>
                                          </w:r>
                                          <w:r w:rsidRPr="003B5892">
                                            <w:rPr>
                                              <w:rFonts w:hAnsi="Aptos"/>
                                              <w:color w:val="FFFFFF"/>
                                              <w:kern w:val="24"/>
                                              <w:sz w:val="20"/>
                                              <w:szCs w:val="20"/>
                                              <w:lang w:val="ru-RU"/>
                                            </w:rPr>
                                            <w:t>з</w:t>
                                          </w:r>
                                          <w:r w:rsidRPr="003B5892">
                                            <w:rPr>
                                              <w:rFonts w:hAnsi="Aptos"/>
                                              <w:color w:val="FFFFFF"/>
                                              <w:kern w:val="24"/>
                                              <w:sz w:val="20"/>
                                              <w:szCs w:val="20"/>
                                              <w:lang w:val="ru-RU"/>
                                            </w:rPr>
                                            <w:t xml:space="preserve"> </w:t>
                                          </w:r>
                                          <w:r w:rsidRPr="003B5892">
                                            <w:rPr>
                                              <w:rFonts w:hAnsi="Aptos"/>
                                              <w:color w:val="FFFFFF"/>
                                              <w:kern w:val="24"/>
                                              <w:sz w:val="20"/>
                                              <w:szCs w:val="20"/>
                                              <w:lang w:val="ru-RU"/>
                                            </w:rPr>
                                            <w:t>БП</w:t>
                                          </w:r>
                                        </w:p>
                                      </w:txbxContent>
                                    </v:textbox>
                                  </v:rect>
                                  <v:rect id="Прямокутник 893304077" o:spid="_x0000_s1219" style="position:absolute;left:258;top:36722;width:11001;height:6906;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" fillcolor="#f2aa84" stroked="f">
                                    <v:shadow on="t" color="black" opacity="41287f" offset="0,1.5pt"/>
                                    <v:textbox>
                                      <w:txbxContent>
                                        <w:p w14:paraId="53EB3708" w14:textId="77777777" w:rsidR="00F25FCF" w:rsidRPr="003B5892" w:rsidRDefault="00F25FCF" w:rsidP="00385184">
                                          <w:pPr>
                                            <w:jc w:val="center"/>
                                            <w:rPr>
                                              <w:rFonts w:ascii="Arial" w:hAnsi="Arial" w:cs="Arial"/>
                                              <w:b/>
                                              <w:bCs/>
                                              <w:color w:val="000000"/>
                                              <w:kern w:val="24"/>
                                              <w:sz w:val="16"/>
                                              <w:szCs w:val="16"/>
                                            </w:rPr>
                                          </w:pPr>
                                          <w:r w:rsidRPr="003B5892">
                                            <w:rPr>
                                              <w:rFonts w:ascii="Arial" w:hAnsi="Arial" w:cs="Arial"/>
                                              <w:b/>
                                              <w:bCs/>
                                              <w:color w:val="000000"/>
                                              <w:kern w:val="24"/>
                                              <w:sz w:val="16"/>
                                              <w:szCs w:val="16"/>
                                            </w:rPr>
                                            <w:t>Вивчення будови снарядів</w:t>
                                          </w:r>
                                        </w:p>
                                      </w:txbxContent>
                                    </v:textbox>
                                  </v:rect>
                                  <v:rect id="Прямокутник 1887278058" o:spid="_x0000_s1220" style="position:absolute;left:1685;top:49366;width:24813;height:5073;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" fillcolor="#e5bddc" strokecolor="window" strokeweight="2pt">
                                    <v:textbox>
                                      <w:txbxContent>
                                        <w:p w14:paraId="01AAFDB6" w14:textId="77777777" w:rsidR="00F25FCF" w:rsidRPr="003B5892" w:rsidRDefault="00F25FCF" w:rsidP="00385184">
                                          <w:pPr>
                                            <w:jc w:val="center"/>
                                            <w:rPr>
                                              <w:rFonts w:ascii="Arial" w:hAnsi="Arial" w:cs="Arial"/>
                                              <w:b/>
                                              <w:bCs/>
                                              <w:color w:val="000000"/>
                                              <w:kern w:val="24"/>
                                              <w:sz w:val="16"/>
                                              <w:szCs w:val="16"/>
                                            </w:rPr>
                                          </w:pPr>
                                          <w:r w:rsidRPr="003B5892">
                                            <w:rPr>
                                              <w:rFonts w:ascii="Arial" w:hAnsi="Arial" w:cs="Arial"/>
                                              <w:b/>
                                              <w:bCs/>
                                              <w:color w:val="000000"/>
                                              <w:kern w:val="24"/>
                                              <w:sz w:val="16"/>
                                              <w:szCs w:val="16"/>
                                            </w:rPr>
                                            <w:t>Блок вивчення боєприпасів</w:t>
                                          </w:r>
                                        </w:p>
                                      </w:txbxContent>
                                    </v:textbox>
                                  </v:rect>
                                  <v:rect id="Прямокутник 986208326" o:spid="_x0000_s1221" style="position:absolute;left:14461;top:36722;width:13712;height:6906;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" fillcolor="#f2aa84" stroked="f">
                                    <v:shadow on="t" color="black" opacity="41287f" offset="0,1.5pt"/>
                                    <v:textbox>
                                      <w:txbxContent>
                                        <w:p w14:paraId="17D3CD64" w14:textId="77777777" w:rsidR="00F25FCF" w:rsidRPr="003B5892" w:rsidRDefault="00F25FCF" w:rsidP="00385184">
                                          <w:pPr>
                                            <w:spacing w:line="240" w:lineRule="auto"/>
                                            <w:jc w:val="center"/>
                                            <w:rPr>
                                              <w:rFonts w:ascii="Arial" w:hAnsi="Arial" w:cs="Arial"/>
                                              <w:b/>
                                              <w:bCs/>
                                              <w:color w:val="000000"/>
                                              <w:kern w:val="24"/>
                                              <w:sz w:val="20"/>
                                              <w:szCs w:val="20"/>
                                              <w:lang w:val="ru-RU"/>
                                            </w:rPr>
                                          </w:pPr>
                                          <w:r w:rsidRPr="003B5892">
                                            <w:rPr>
                                              <w:rFonts w:ascii="Arial" w:hAnsi="Arial" w:cs="Arial"/>
                                              <w:b/>
                                              <w:bCs/>
                                              <w:color w:val="000000"/>
                                              <w:kern w:val="24"/>
                                              <w:sz w:val="16"/>
                                              <w:szCs w:val="16"/>
                                              <w:lang w:val="ru-RU"/>
                                            </w:rPr>
                                            <w:t xml:space="preserve">Заходи безпеки </w:t>
                                          </w:r>
                                          <w:r w:rsidRPr="003B5892">
                                            <w:rPr>
                                              <w:rFonts w:ascii="Arial" w:hAnsi="Arial" w:cs="Arial"/>
                                              <w:color w:val="000000"/>
                                              <w:kern w:val="24"/>
                                              <w:sz w:val="16"/>
                                              <w:szCs w:val="16"/>
                                              <w:lang w:val="ru-RU"/>
                                            </w:rPr>
                                            <w:t>при</w:t>
                                          </w:r>
                                          <w:r w:rsidRPr="003B5892">
                                            <w:rPr>
                                              <w:rFonts w:ascii="Arial" w:hAnsi="Arial" w:cs="Arial"/>
                                              <w:b/>
                                              <w:bCs/>
                                              <w:color w:val="000000"/>
                                              <w:kern w:val="24"/>
                                              <w:sz w:val="16"/>
                                              <w:szCs w:val="16"/>
                                              <w:lang w:val="ru-RU"/>
                                            </w:rPr>
                                            <w:t xml:space="preserve"> поводженні з</w:t>
                                          </w:r>
                                          <w:r w:rsidRPr="003B5892">
                                            <w:rPr>
                                              <w:rFonts w:ascii="Arial" w:hAnsi="Arial" w:cs="Arial"/>
                                              <w:b/>
                                              <w:bCs/>
                                              <w:color w:val="000000"/>
                                              <w:kern w:val="24"/>
                                              <w:sz w:val="20"/>
                                              <w:szCs w:val="20"/>
                                              <w:lang w:val="ru-RU"/>
                                            </w:rPr>
                                            <w:t xml:space="preserve"> </w:t>
                                          </w:r>
                                          <w:r w:rsidRPr="003B5892">
                                            <w:rPr>
                                              <w:rFonts w:ascii="Arial" w:hAnsi="Arial" w:cs="Arial"/>
                                              <w:b/>
                                              <w:bCs/>
                                              <w:color w:val="000000"/>
                                              <w:kern w:val="24"/>
                                              <w:sz w:val="16"/>
                                              <w:szCs w:val="16"/>
                                              <w:lang w:val="ru-RU"/>
                                            </w:rPr>
                                            <w:t>БП</w:t>
                                          </w:r>
                                        </w:p>
                                      </w:txbxContent>
                                    </v:textbox>
                                  </v:rect>
                                  <v:shape id="Сполучна лінія уступом 77" o:spid="_x0000_s1222" type="#_x0000_t34" style="position:absolute;left:13537;top:28944;width:169;height:15558;rotation:90;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" adj="221292" strokecolor="#156082" strokeweight="1.5pt">
                                    <v:stroke startarrow="block" endarrow="block"/>
                                  </v:shape>
                                  <v:shape id="Сполучна лінія уступом 78" o:spid="_x0000_s1223" type="#_x0000_t34" style="position:absolute;left:13537;top:35849;width:170;height:15558;rotation: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" adj="388800" strokecolor="#156082" strokeweight="1.5pt">
                                    <v:stroke startarrow="block" endarrow="block"/>
                                  </v:shape>
                                  <v:shape id="Пряма зі стрілкою 871562668" o:spid="_x0000_s1224" type="#_x0000_t32" style="position:absolute;left:11259;top:40175;width:320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" strokecolor="#156082" strokeweight="1.5pt">
                                    <v:stroke endarrow="block" joinstyle="miter"/>
                                  </v:shape>
                                </v:group>
                                <v:group id="Групувати 1031654394" o:spid="_x0000_s1225" style="position:absolute;left:50761;top:30118;width:26665;height:21812" coordorigin="50761,30118" coordsize="30626,242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">
                                  <v:rect id="Прямокутник 601030435" o:spid="_x0000_s1226" style="position:absolute;left:53388;top:30118;width:24813;height:2857;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" fillcolor="#47aadf" stroked="f">
                                    <v:fill color2="#0094ce" rotate="t" colors="0 #47aadf;.5 #05a2df;1 #0094ce" focus="100%" type="gradient">
                                      <o:fill v:ext="view" type="gradientUnscaled"/>
                                    </v:fill>
                                    <v:shadow on="t" color="black" opacity="41287f" offset="0,1.5pt"/>
                                    <v:textbox>
                                      <w:txbxContent>
                                        <w:p w14:paraId="337B377E" w14:textId="77777777" w:rsidR="00F25FCF" w:rsidRPr="003B5892" w:rsidRDefault="00F25FCF" w:rsidP="00385184">
                                          <w:pPr>
                                            <w:jc w:val="center"/>
                                            <w:rPr>
                                              <w:rFonts w:hAnsi="Aptos"/>
                                              <w:color w:val="FFFFFF"/>
                                              <w:kern w:val="24"/>
                                              <w:sz w:val="20"/>
                                              <w:szCs w:val="20"/>
                                            </w:rPr>
                                          </w:pPr>
                                          <w:r w:rsidRPr="003B5892">
                                            <w:rPr>
                                              <w:rFonts w:hAnsi="Aptos"/>
                                              <w:color w:val="FFFFFF"/>
                                              <w:kern w:val="24"/>
                                              <w:sz w:val="20"/>
                                              <w:szCs w:val="20"/>
                                            </w:rPr>
                                            <w:t>Рекомендації</w:t>
                                          </w:r>
                                          <w:r w:rsidRPr="003B5892">
                                            <w:rPr>
                                              <w:rFonts w:hAnsi="Aptos"/>
                                              <w:color w:val="FFFFFF"/>
                                              <w:kern w:val="24"/>
                                              <w:sz w:val="20"/>
                                              <w:szCs w:val="20"/>
                                            </w:rPr>
                                            <w:t xml:space="preserve">, </w:t>
                                          </w:r>
                                          <w:r w:rsidRPr="003B5892">
                                            <w:rPr>
                                              <w:rFonts w:hAnsi="Aptos"/>
                                              <w:color w:val="FFFFFF"/>
                                              <w:kern w:val="24"/>
                                              <w:sz w:val="20"/>
                                              <w:szCs w:val="20"/>
                                            </w:rPr>
                                            <w:t>консультації</w:t>
                                          </w:r>
                                        </w:p>
                                      </w:txbxContent>
                                    </v:textbox>
                                  </v:rect>
                                  <v:rect id="Прямокутник 1493526024" o:spid="_x0000_s1227" style="position:absolute;left:50761;top:36642;width:13628;height:6906;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" fillcolor="#f2aa84" stroked="f">
                                    <v:shadow on="t" color="black" opacity="41287f" offset="0,1.5pt"/>
                                    <v:textbox>
                                      <w:txbxContent>
                                        <w:p w14:paraId="190CB62A" w14:textId="77777777" w:rsidR="00F25FCF" w:rsidRPr="003B5892" w:rsidRDefault="00F25FCF" w:rsidP="00385184">
                                          <w:pPr>
                                            <w:spacing w:after="0" w:line="228" w:lineRule="auto"/>
                                            <w:jc w:val="center"/>
                                            <w:rPr>
                                              <w:rFonts w:ascii="Arial" w:hAnsi="Arial" w:cs="Arial"/>
                                              <w:b/>
                                              <w:bCs/>
                                              <w:color w:val="000000"/>
                                              <w:kern w:val="24"/>
                                              <w:sz w:val="20"/>
                                              <w:szCs w:val="20"/>
                                              <w:lang w:val="ru-RU"/>
                                            </w:rPr>
                                          </w:pPr>
                                          <w:r w:rsidRPr="003B5892">
                                            <w:rPr>
                                              <w:rFonts w:ascii="Arial" w:hAnsi="Arial" w:cs="Arial"/>
                                              <w:b/>
                                              <w:bCs/>
                                              <w:color w:val="000000"/>
                                              <w:kern w:val="24"/>
                                              <w:sz w:val="16"/>
                                              <w:szCs w:val="16"/>
                                              <w:lang w:val="ru-RU"/>
                                            </w:rPr>
                                            <w:t>Встановлення зкомандува-них</w:t>
                                          </w:r>
                                          <w:r w:rsidRPr="003B5892">
                                            <w:rPr>
                                              <w:rFonts w:ascii="Arial" w:hAnsi="Arial" w:cs="Arial"/>
                                              <w:b/>
                                              <w:bCs/>
                                              <w:color w:val="000000"/>
                                              <w:kern w:val="24"/>
                                              <w:sz w:val="20"/>
                                              <w:szCs w:val="20"/>
                                              <w:lang w:val="ru-RU"/>
                                            </w:rPr>
                                            <w:t xml:space="preserve"> </w:t>
                                          </w:r>
                                          <w:r w:rsidRPr="003B5892">
                                            <w:rPr>
                                              <w:rFonts w:ascii="Arial" w:hAnsi="Arial" w:cs="Arial"/>
                                              <w:b/>
                                              <w:bCs/>
                                              <w:color w:val="000000"/>
                                              <w:kern w:val="24"/>
                                              <w:sz w:val="16"/>
                                              <w:szCs w:val="16"/>
                                              <w:lang w:val="ru-RU"/>
                                            </w:rPr>
                                            <w:t xml:space="preserve">установок </w:t>
                                          </w:r>
                                          <w:r w:rsidRPr="003B5892">
                                            <w:rPr>
                                              <w:rFonts w:ascii="Arial" w:hAnsi="Arial" w:cs="Arial"/>
                                              <w:b/>
                                              <w:bCs/>
                                              <w:color w:val="000000"/>
                                              <w:kern w:val="24"/>
                                              <w:sz w:val="20"/>
                                              <w:szCs w:val="20"/>
                                              <w:lang w:val="ru-RU"/>
                                            </w:rPr>
                                            <w:t>на підривниках</w:t>
                                          </w:r>
                                        </w:p>
                                      </w:txbxContent>
                                    </v:textbox>
                                  </v:rect>
                                  <v:rect id="Прямокутник 1936744909" o:spid="_x0000_s1228" style="position:absolute;left:53384;top:49325;width:24813;height:5079;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" fillcolor="#e5bddc" strokecolor="window" strokeweight="2pt">
                                    <v:textbox>
                                      <w:txbxContent>
                                        <w:p w14:paraId="17B5377C" w14:textId="77777777" w:rsidR="00F25FCF" w:rsidRPr="003B5892" w:rsidRDefault="00F25FCF" w:rsidP="00385184">
                                          <w:pPr>
                                            <w:jc w:val="center"/>
                                            <w:rPr>
                                              <w:rFonts w:ascii="Arial" w:hAnsi="Arial" w:cs="Arial"/>
                                              <w:b/>
                                              <w:bCs/>
                                              <w:color w:val="000000"/>
                                              <w:kern w:val="24"/>
                                              <w:sz w:val="16"/>
                                              <w:szCs w:val="16"/>
                                            </w:rPr>
                                          </w:pPr>
                                          <w:r w:rsidRPr="003B5892">
                                            <w:rPr>
                                              <w:rFonts w:ascii="Arial" w:hAnsi="Arial" w:cs="Arial"/>
                                              <w:b/>
                                              <w:bCs/>
                                              <w:color w:val="000000"/>
                                              <w:kern w:val="24"/>
                                              <w:sz w:val="16"/>
                                              <w:szCs w:val="16"/>
                                            </w:rPr>
                                            <w:t>Блок бойової роботи на тренажерах</w:t>
                                          </w:r>
                                        </w:p>
                                      </w:txbxContent>
                                    </v:textbox>
                                  </v:rect>
                                  <v:rect id="Прямокутник 353156011" o:spid="_x0000_s1229" style="position:absolute;left:68134;top:36642;width:13254;height:6906;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" fillcolor="#f2aa84" stroked="f">
                                    <v:shadow on="t" color="black" opacity="41287f" offset="0,1.5pt"/>
                                    <v:textbox>
                                      <w:txbxContent>
                                        <w:p w14:paraId="1E1E5BCD" w14:textId="77777777" w:rsidR="00F25FCF" w:rsidRPr="003B5892" w:rsidRDefault="00F25FCF" w:rsidP="00385184">
                                          <w:pPr>
                                            <w:jc w:val="center"/>
                                            <w:rPr>
                                              <w:rFonts w:ascii="Arial" w:hAnsi="Arial" w:cs="Arial"/>
                                              <w:b/>
                                              <w:bCs/>
                                              <w:color w:val="000000"/>
                                              <w:kern w:val="24"/>
                                              <w:sz w:val="16"/>
                                              <w:szCs w:val="16"/>
                                            </w:rPr>
                                          </w:pPr>
                                          <w:r w:rsidRPr="003B5892">
                                            <w:rPr>
                                              <w:rFonts w:ascii="Arial" w:hAnsi="Arial" w:cs="Arial"/>
                                              <w:b/>
                                              <w:bCs/>
                                              <w:color w:val="000000"/>
                                              <w:kern w:val="24"/>
                                              <w:sz w:val="16"/>
                                              <w:szCs w:val="16"/>
                                            </w:rPr>
                                            <w:t>Робота з навчальни-ми БП</w:t>
                                          </w:r>
                                        </w:p>
                                      </w:txbxContent>
                                    </v:textbox>
                                  </v:rect>
                                  <v:rect id="Прямокутник 1527266108" o:spid="_x0000_s1230" style="position:absolute;left:76035;top:46341;width:3913;height:30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" fillcolor="window" strokecolor="windowText" strokeweight="1.5pt">
                                    <v:textbox>
                                      <w:txbxContent>
                                        <w:p w14:paraId="0DB49374" w14:textId="77777777" w:rsidR="00F25FCF" w:rsidRPr="003B5892" w:rsidRDefault="00F25FCF" w:rsidP="00385184">
                                          <w:pPr>
                                            <w:jc w:val="center"/>
                                            <w:rPr>
                                              <w:rFonts w:hAnsi="Aptos"/>
                                              <w:color w:val="000000"/>
                                              <w:kern w:val="24"/>
                                            </w:rPr>
                                          </w:pPr>
                                          <w:r w:rsidRPr="003B5892">
                                            <w:rPr>
                                              <w:rFonts w:hAnsi="Aptos"/>
                                              <w:color w:val="000000"/>
                                              <w:kern w:val="24"/>
                                            </w:rPr>
                                            <w:t>6</w:t>
                                          </w:r>
                                        </w:p>
                                      </w:txbxContent>
                                    </v:textbox>
                                  </v:rect>
                                  <v:shape id="Сполучна лінія уступом 69" o:spid="_x0000_s1231" type="#_x0000_t34" style="position:absolute;left:66167;top:28050;width:151;height:17185;rotation:90;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" adj="388800" strokecolor="#156082" strokeweight="1.5pt">
                                    <v:stroke startarrow="block" endarrow="block"/>
                                  </v:shape>
                                  <v:shape id="Сполучна лінія уступом 70" o:spid="_x0000_s1232" type="#_x0000_t34" style="position:absolute;left:66167;top:34955;width:152;height:17185;rotation: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" adj="388800" strokecolor="#156082" strokeweight="1.5pt">
                                    <v:stroke startarrow="block" endarrow="block"/>
                                  </v:shape>
                                  <v:shape id="Пряма зі стрілкою 1623639095" o:spid="_x0000_s1233" type="#_x0000_t32" style="position:absolute;left:64389;top:40095;width:3745;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" strokecolor="#156082" strokeweight="1.5pt">
                                    <v:stroke endarrow="block" joinstyle="miter"/>
                                  </v:shape>
                                </v:group>
                              </v:group>
                            </v:group>
                            <v:shape id="TextBox 25" o:spid="_x0000_s1234" type="#_x0000_t202" style="position:absolute;left:3352;top:19530;width:15538;height:3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" filled="f" stroked="f">
                              <v:textbox>
                                <w:txbxContent>
                                  <w:p w14:paraId="638983A8" w14:textId="77777777" w:rsidR="00F25FCF" w:rsidRPr="003B5892" w:rsidRDefault="00F25FCF" w:rsidP="00385184">
                                    <w:pPr>
                                      <w:spacing w:line="240" w:lineRule="auto"/>
                                      <w:jc w:val="center"/>
                                      <w:rPr>
                                        <w:rFonts w:ascii="Arial" w:hAnsi="Arial" w:cs="Arial"/>
                                        <w:b/>
                                        <w:bCs/>
                                        <w:color w:val="000000"/>
                                        <w:kern w:val="24"/>
                                        <w:sz w:val="20"/>
                                        <w:szCs w:val="20"/>
                                      </w:rPr>
                                    </w:pPr>
                                    <w:r w:rsidRPr="003B5892">
                                      <w:rPr>
                                        <w:rFonts w:ascii="Arial" w:hAnsi="Arial" w:cs="Arial"/>
                                        <w:b/>
                                        <w:bCs/>
                                        <w:color w:val="000000"/>
                                        <w:kern w:val="24"/>
                                        <w:sz w:val="20"/>
                                        <w:szCs w:val="20"/>
                                      </w:rPr>
                                      <w:t>Самостійна робота</w:t>
                                    </w:r>
                                  </w:p>
                                </w:txbxContent>
                              </v:textbox>
                            </v:shape>
                            <v:shape id="TextBox 92" o:spid="_x0000_s1235" type="#_x0000_t202" style="position:absolute;left:28039;top:19601;width:11464;height:3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" filled="f" stroked="f">
                              <v:textbox>
                                <w:txbxContent>
                                  <w:p w14:paraId="2D8CBEEA" w14:textId="77777777" w:rsidR="00F25FCF" w:rsidRPr="003B5892" w:rsidRDefault="00F25FCF" w:rsidP="00385184">
                                    <w:pPr>
                                      <w:spacing w:line="240" w:lineRule="auto"/>
                                      <w:jc w:val="center"/>
                                      <w:rPr>
                                        <w:rFonts w:ascii="Arial" w:hAnsi="Arial" w:cs="Arial"/>
                                        <w:b/>
                                        <w:bCs/>
                                        <w:color w:val="000000"/>
                                        <w:kern w:val="24"/>
                                        <w:sz w:val="20"/>
                                        <w:szCs w:val="20"/>
                                      </w:rPr>
                                    </w:pPr>
                                    <w:r w:rsidRPr="003B5892">
                                      <w:rPr>
                                        <w:rFonts w:ascii="Arial" w:hAnsi="Arial" w:cs="Arial"/>
                                        <w:b/>
                                        <w:bCs/>
                                        <w:color w:val="000000"/>
                                        <w:kern w:val="24"/>
                                        <w:sz w:val="20"/>
                                        <w:szCs w:val="20"/>
                                      </w:rPr>
                                      <w:t>Тренування</w:t>
                                    </w:r>
                                  </w:p>
                                </w:txbxContent>
                              </v:textbox>
                            </v:shape>
                            <v:shape id="TextBox 120" o:spid="_x0000_s1236" type="#_x0000_t202" style="position:absolute;left:47062;top:19540;width:15538;height:3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" filled="f" stroked="f">
                              <v:textbox>
                                <w:txbxContent>
                                  <w:p w14:paraId="0B84ECA8" w14:textId="77777777" w:rsidR="00F25FCF" w:rsidRPr="003B5892" w:rsidRDefault="00F25FCF" w:rsidP="00385184">
                                    <w:pPr>
                                      <w:spacing w:line="240" w:lineRule="auto"/>
                                      <w:jc w:val="center"/>
                                      <w:rPr>
                                        <w:rFonts w:ascii="Arial" w:hAnsi="Arial" w:cs="Arial"/>
                                        <w:b/>
                                        <w:bCs/>
                                        <w:color w:val="000000"/>
                                        <w:kern w:val="24"/>
                                        <w:sz w:val="20"/>
                                        <w:szCs w:val="20"/>
                                      </w:rPr>
                                    </w:pPr>
                                    <w:r w:rsidRPr="003B5892">
                                      <w:rPr>
                                        <w:rFonts w:ascii="Arial" w:hAnsi="Arial" w:cs="Arial"/>
                                        <w:b/>
                                        <w:bCs/>
                                        <w:color w:val="000000"/>
                                        <w:kern w:val="24"/>
                                        <w:sz w:val="20"/>
                                        <w:szCs w:val="20"/>
                                      </w:rPr>
                                      <w:t>Самостійна робота</w:t>
                                    </w:r>
                                  </w:p>
                                </w:txbxContent>
                              </v:textbox>
                            </v:shape>
                          </v:group>
                        </v:group>
                      </v:group>
                    </v:group>
                  </v:group>
                  <v:rect id="Прямокутник 70181297" o:spid="_x0000_s1237" style="position:absolute;left:18161;top:38525;width:3079;height:233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" fillcolor="window" strokecolor="windowText" strokeweight="1.5pt">
                    <v:textbox>
                      <w:txbxContent>
                        <w:p w14:paraId="05778DC0" w14:textId="77777777" w:rsidR="00F25FCF" w:rsidRPr="003B5892" w:rsidRDefault="00F25FCF" w:rsidP="00385184">
                          <w:pPr>
                            <w:jc w:val="center"/>
                            <w:rPr>
                              <w:rFonts w:hAnsi="Aptos"/>
                              <w:color w:val="000000"/>
                              <w:kern w:val="24"/>
                            </w:rPr>
                          </w:pPr>
                          <w:r w:rsidRPr="003B5892">
                            <w:rPr>
                              <w:rFonts w:hAnsi="Aptos"/>
                              <w:color w:val="000000"/>
                              <w:kern w:val="24"/>
                            </w:rPr>
                            <w:t>4</w:t>
                          </w:r>
                        </w:p>
                      </w:txbxContent>
                    </v:textbox>
                  </v:rect>
                </v:group>
                <v:shape id="TextBox 143" o:spid="_x0000_s1238" type="#_x0000_t202" style="position:absolute;left:3352;top:38277;width:15538;height:3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" filled="f" stroked="f">
                  <v:textbox>
                    <w:txbxContent>
                      <w:p w14:paraId="5685B260" w14:textId="77777777" w:rsidR="00F25FCF" w:rsidRPr="003B5892" w:rsidRDefault="00F25FCF" w:rsidP="00385184">
                        <w:pPr>
                          <w:spacing w:line="240" w:lineRule="auto"/>
                          <w:jc w:val="center"/>
                          <w:rPr>
                            <w:rFonts w:ascii="Arial" w:hAnsi="Arial" w:cs="Arial"/>
                            <w:b/>
                            <w:bCs/>
                            <w:color w:val="000000"/>
                            <w:kern w:val="24"/>
                            <w:sz w:val="20"/>
                            <w:szCs w:val="20"/>
                          </w:rPr>
                        </w:pPr>
                        <w:r w:rsidRPr="003B5892">
                          <w:rPr>
                            <w:rFonts w:ascii="Arial" w:hAnsi="Arial" w:cs="Arial"/>
                            <w:b/>
                            <w:bCs/>
                            <w:color w:val="000000"/>
                            <w:kern w:val="24"/>
                            <w:sz w:val="20"/>
                            <w:szCs w:val="20"/>
                          </w:rPr>
                          <w:t>Самостійна робота</w:t>
                        </w:r>
                      </w:p>
                    </w:txbxContent>
                  </v:textbox>
                </v:shape>
                <v:shape id="TextBox 144" o:spid="_x0000_s1239" type="#_x0000_t202" style="position:absolute;left:25362;top:38092;width:15539;height:35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" filled="f" stroked="f">
                  <v:textbox>
                    <w:txbxContent>
                      <w:p w14:paraId="6218EC7B" w14:textId="77777777" w:rsidR="00F25FCF" w:rsidRPr="003B5892" w:rsidRDefault="00F25FCF" w:rsidP="00385184">
                        <w:pPr>
                          <w:spacing w:line="240" w:lineRule="auto"/>
                          <w:jc w:val="center"/>
                          <w:rPr>
                            <w:rFonts w:ascii="Arial" w:hAnsi="Arial" w:cs="Arial"/>
                            <w:b/>
                            <w:bCs/>
                            <w:color w:val="000000"/>
                            <w:kern w:val="24"/>
                            <w:sz w:val="20"/>
                            <w:szCs w:val="20"/>
                          </w:rPr>
                        </w:pPr>
                        <w:r w:rsidRPr="003B5892">
                          <w:rPr>
                            <w:rFonts w:ascii="Arial" w:hAnsi="Arial" w:cs="Arial"/>
                            <w:b/>
                            <w:bCs/>
                            <w:color w:val="000000"/>
                            <w:kern w:val="24"/>
                            <w:sz w:val="20"/>
                            <w:szCs w:val="20"/>
                          </w:rPr>
                          <w:t>Самостійна робота</w:t>
                        </w:r>
                      </w:p>
                    </w:txbxContent>
                  </v:textbox>
                </v:shape>
                <v:shape id="TextBox 148" o:spid="_x0000_s1240" type="#_x0000_t202" style="position:absolute;left:50385;top:38372;width:11629;height:35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" filled="f" stroked="f">
                  <v:textbox>
                    <w:txbxContent>
                      <w:p w14:paraId="71352231" w14:textId="77777777" w:rsidR="00F25FCF" w:rsidRPr="003B5892" w:rsidRDefault="00F25FCF" w:rsidP="00385184">
                        <w:pPr>
                          <w:spacing w:line="240" w:lineRule="auto"/>
                          <w:jc w:val="center"/>
                          <w:rPr>
                            <w:rFonts w:ascii="Arial" w:hAnsi="Arial" w:cs="Arial"/>
                            <w:b/>
                            <w:bCs/>
                            <w:color w:val="000000"/>
                            <w:kern w:val="24"/>
                            <w:sz w:val="20"/>
                            <w:szCs w:val="20"/>
                          </w:rPr>
                        </w:pPr>
                        <w:r w:rsidRPr="003B5892">
                          <w:rPr>
                            <w:rFonts w:ascii="Arial" w:hAnsi="Arial" w:cs="Arial"/>
                            <w:b/>
                            <w:bCs/>
                            <w:color w:val="000000"/>
                            <w:kern w:val="24"/>
                            <w:sz w:val="20"/>
                            <w:szCs w:val="20"/>
                          </w:rPr>
                          <w:t>Тренування</w:t>
                        </w:r>
                      </w:p>
                    </w:txbxContent>
                  </v:textbox>
                </v:shape>
                <w10:wrap anchorx="margin"/>
              </v:group>
            </w:pict>
          </mc:Fallback>
        </mc:AlternateContent>
      </w:r>
    </w:p>
    <w:p w14:paraId="4B8F995E" w14:textId="77777777" w:rsidR="006025B7" w:rsidRDefault="006025B7"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70E1FE53" w14:textId="77777777" w:rsidR="006025B7" w:rsidRDefault="006025B7"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3187C581" w14:textId="77777777" w:rsidR="006025B7" w:rsidRDefault="006025B7"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53927DC8" w14:textId="77777777" w:rsidR="006025B7" w:rsidRDefault="006025B7"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5FC1FF4B" w14:textId="0EA036C7" w:rsidR="006025B7" w:rsidRPr="00096C2E" w:rsidRDefault="006025B7"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4F22953F" w14:textId="77777777" w:rsidR="00096C2E" w:rsidRPr="00096C2E" w:rsidRDefault="00096C2E"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04EBEF8D" w14:textId="77777777" w:rsidR="00F30816" w:rsidRDefault="00F30816"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6A5199FC" w14:textId="77777777" w:rsidR="00F30816" w:rsidRDefault="00F30816"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578D52DE" w14:textId="77777777" w:rsidR="00F30816" w:rsidRDefault="00F30816"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5A66C5B6" w14:textId="77777777" w:rsidR="000D3136" w:rsidRDefault="000D3136" w:rsidP="000D3136">
      <w:pPr>
        <w:tabs>
          <w:tab w:val="left" w:pos="9638"/>
        </w:tabs>
        <w:spacing w:after="0" w:line="240" w:lineRule="auto"/>
        <w:ind w:firstLine="709"/>
        <w:jc w:val="both"/>
        <w:rPr>
          <w:rFonts w:ascii="Times New Roman" w:eastAsia="Aptos" w:hAnsi="Times New Roman" w:cs="Times New Roman"/>
          <w:sz w:val="28"/>
          <w:szCs w:val="28"/>
          <w:lang w:val="uk-UA"/>
        </w:rPr>
      </w:pPr>
    </w:p>
    <w:p w14:paraId="63B0E99C" w14:textId="77777777" w:rsidR="00F30816" w:rsidRDefault="00F30816"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14FEF325" w14:textId="77777777" w:rsidR="00F30816" w:rsidRDefault="00F30816"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13C29462" w14:textId="77777777" w:rsidR="00F30816" w:rsidRDefault="00F30816"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2AC32116" w14:textId="4C0E984C" w:rsidR="00F30816" w:rsidRDefault="00F30816"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3D16D36E" w14:textId="77777777" w:rsidR="00F30816" w:rsidRDefault="00F30816"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2FB9F60F" w14:textId="0D4E66EB" w:rsidR="00F30816" w:rsidRDefault="00F30816"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0C2161CA" w14:textId="77777777" w:rsidR="00F30816" w:rsidRDefault="00F30816"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77B128AB" w14:textId="77777777" w:rsidR="00F30816" w:rsidRDefault="00F30816"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6272215A" w14:textId="77777777" w:rsidR="00F30816" w:rsidRDefault="00F30816"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4F7675DA" w14:textId="77777777" w:rsidR="00F30816" w:rsidRDefault="00F30816"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0E940537" w14:textId="77777777" w:rsidR="00F30816" w:rsidRDefault="00F30816"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5F98BA5D" w14:textId="77777777" w:rsidR="00F30816" w:rsidRDefault="00F30816" w:rsidP="00023291">
      <w:pPr>
        <w:tabs>
          <w:tab w:val="left" w:pos="9638"/>
        </w:tabs>
        <w:spacing w:after="0" w:line="240" w:lineRule="auto"/>
        <w:ind w:firstLine="709"/>
        <w:jc w:val="both"/>
        <w:rPr>
          <w:rFonts w:ascii="Times New Roman" w:eastAsia="Aptos" w:hAnsi="Times New Roman" w:cs="Times New Roman"/>
          <w:sz w:val="28"/>
          <w:szCs w:val="28"/>
          <w:lang w:val="uk-UA"/>
        </w:rPr>
      </w:pPr>
    </w:p>
    <w:p w14:paraId="01326226" w14:textId="77777777" w:rsidR="00F30816" w:rsidRPr="003B5892" w:rsidRDefault="00F30816" w:rsidP="00023291">
      <w:pPr>
        <w:tabs>
          <w:tab w:val="left" w:pos="9638"/>
        </w:tabs>
        <w:spacing w:after="0" w:line="240" w:lineRule="auto"/>
        <w:ind w:firstLine="709"/>
        <w:jc w:val="both"/>
        <w:rPr>
          <w:rFonts w:ascii="Times New Roman" w:eastAsia="Aptos" w:hAnsi="Times New Roman" w:cs="Times New Roman"/>
          <w:b/>
          <w:bCs/>
          <w:sz w:val="28"/>
          <w:szCs w:val="28"/>
          <w:lang w:val="uk-UA"/>
        </w:rPr>
      </w:pPr>
    </w:p>
    <w:p w14:paraId="65963832"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b/>
          <w:bCs/>
          <w:sz w:val="28"/>
          <w:szCs w:val="28"/>
          <w:lang w:val="uk-UA"/>
        </w:rPr>
      </w:pPr>
    </w:p>
    <w:p w14:paraId="4EF6C3A2"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b/>
          <w:bCs/>
          <w:sz w:val="28"/>
          <w:szCs w:val="28"/>
          <w:lang w:val="uk-UA"/>
        </w:rPr>
      </w:pPr>
    </w:p>
    <w:p w14:paraId="6BBC0626" w14:textId="77777777" w:rsidR="00385184" w:rsidRPr="003B5892" w:rsidRDefault="00385184" w:rsidP="00023291">
      <w:pPr>
        <w:tabs>
          <w:tab w:val="left" w:pos="9638"/>
        </w:tabs>
        <w:spacing w:line="278" w:lineRule="auto"/>
        <w:ind w:firstLine="709"/>
        <w:rPr>
          <w:rFonts w:ascii="Aptos" w:eastAsia="Aptos" w:hAnsi="Aptos" w:cs="Times New Roman"/>
          <w:b/>
          <w:bCs/>
          <w:sz w:val="24"/>
          <w:szCs w:val="24"/>
          <w:lang w:val="uk-UA"/>
        </w:rPr>
      </w:pPr>
    </w:p>
    <w:p w14:paraId="2744DA04" w14:textId="77777777" w:rsidR="00385184" w:rsidRPr="003B5892" w:rsidRDefault="00385184" w:rsidP="00023291">
      <w:pPr>
        <w:tabs>
          <w:tab w:val="left" w:pos="9638"/>
        </w:tabs>
        <w:spacing w:line="278" w:lineRule="auto"/>
        <w:ind w:firstLine="709"/>
        <w:rPr>
          <w:rFonts w:ascii="Aptos" w:eastAsia="Aptos" w:hAnsi="Aptos" w:cs="Times New Roman"/>
          <w:b/>
          <w:bCs/>
          <w:sz w:val="24"/>
          <w:szCs w:val="24"/>
          <w:lang w:val="uk-UA"/>
        </w:rPr>
      </w:pPr>
    </w:p>
    <w:p w14:paraId="40D738A3" w14:textId="77777777" w:rsidR="00063105" w:rsidRPr="0045241F" w:rsidRDefault="00063105" w:rsidP="00023291">
      <w:pPr>
        <w:tabs>
          <w:tab w:val="left" w:pos="9638"/>
        </w:tabs>
        <w:ind w:firstLine="567"/>
        <w:rPr>
          <w:rFonts w:ascii="Times New Roman" w:hAnsi="Times New Roman" w:cs="Times New Roman"/>
          <w:sz w:val="28"/>
          <w:szCs w:val="28"/>
          <w:lang w:val="ru-RU"/>
        </w:rPr>
      </w:pPr>
      <w:r w:rsidRPr="0045241F">
        <w:rPr>
          <w:rFonts w:ascii="Times New Roman" w:hAnsi="Times New Roman" w:cs="Times New Roman"/>
          <w:sz w:val="28"/>
          <w:szCs w:val="28"/>
          <w:lang w:val="ru-RU"/>
        </w:rPr>
        <w:t xml:space="preserve">Рис. </w:t>
      </w:r>
      <w:r>
        <w:rPr>
          <w:rFonts w:ascii="Times New Roman" w:hAnsi="Times New Roman" w:cs="Times New Roman"/>
          <w:sz w:val="28"/>
          <w:szCs w:val="28"/>
          <w:lang w:val="ru-RU"/>
        </w:rPr>
        <w:t>2.</w:t>
      </w:r>
      <w:r w:rsidRPr="0045241F">
        <w:rPr>
          <w:rFonts w:ascii="Times New Roman" w:hAnsi="Times New Roman" w:cs="Times New Roman"/>
          <w:sz w:val="28"/>
          <w:szCs w:val="28"/>
          <w:lang w:val="ru-RU"/>
        </w:rPr>
        <w:t xml:space="preserve">  Структурно-логічна схема навчальної модел</w:t>
      </w:r>
      <w:r w:rsidRPr="0045241F">
        <w:rPr>
          <w:rFonts w:ascii="Times New Roman" w:hAnsi="Times New Roman" w:cs="Times New Roman"/>
          <w:color w:val="000000"/>
          <w:sz w:val="28"/>
          <w:szCs w:val="28"/>
          <w:lang w:val="ru-RU"/>
          <w14:textFill>
            <w14:solidFill>
              <w14:srgbClr w14:val="000000">
                <w14:alpha w14:val="1000"/>
              </w14:srgbClr>
            </w14:solidFill>
          </w14:textFill>
        </w:rPr>
        <w:t>і</w:t>
      </w:r>
      <w:r>
        <w:rPr>
          <w:rFonts w:ascii="Times New Roman" w:hAnsi="Times New Roman" w:cs="Times New Roman"/>
          <w:sz w:val="28"/>
          <w:szCs w:val="28"/>
          <w:lang w:val="ru-RU"/>
        </w:rPr>
        <w:t>.</w:t>
      </w:r>
    </w:p>
    <w:p w14:paraId="4334D652" w14:textId="77777777" w:rsidR="006025B7" w:rsidRPr="003B5892" w:rsidRDefault="006025B7" w:rsidP="006025B7">
      <w:pPr>
        <w:tabs>
          <w:tab w:val="left" w:pos="9638"/>
        </w:tabs>
        <w:spacing w:after="0" w:line="320" w:lineRule="exact"/>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Науково</w:t>
      </w:r>
      <w:r w:rsidRPr="003B5892">
        <w:rPr>
          <w:rFonts w:ascii="Times New Roman" w:eastAsia="Aptos" w:hAnsi="Times New Roman" w:cs="Times New Roman"/>
          <w:sz w:val="28"/>
          <w:szCs w:val="28"/>
          <w:lang w:val="uk-UA"/>
        </w:rPr>
        <w:noBreakHyphen/>
        <w:t>педагогічні працівники зробили такі висновки:</w:t>
      </w:r>
      <w:r w:rsidRPr="003B5892">
        <w:rPr>
          <w:rFonts w:ascii="Times New Roman" w:eastAsia="Times New Roman" w:hAnsi="Times New Roman" w:cs="Times New Roman"/>
          <w:kern w:val="0"/>
          <w:sz w:val="24"/>
          <w:szCs w:val="24"/>
          <w:lang w:val="uk-UA" w:eastAsia="en-GB"/>
          <w14:ligatures w14:val="none"/>
        </w:rPr>
        <w:t xml:space="preserve"> </w:t>
      </w:r>
      <w:r w:rsidRPr="003B5892">
        <w:rPr>
          <w:rFonts w:ascii="Times New Roman" w:eastAsia="Aptos" w:hAnsi="Times New Roman" w:cs="Times New Roman"/>
          <w:sz w:val="28"/>
          <w:szCs w:val="28"/>
          <w:lang w:val="uk-UA"/>
        </w:rPr>
        <w:t>модель забезпечує логічну послідовність навчання; алгоритм вибору підривника є методично коректним; структура з шести блоків дозволяє інтегрувати модель у навчальні програми; підвищується дисциплінованість і відповідальність слухачів під час роботи з боєприпасами.</w:t>
      </w:r>
    </w:p>
    <w:p w14:paraId="6EA66707" w14:textId="77777777" w:rsidR="00385184" w:rsidRPr="003B5892" w:rsidRDefault="00385184" w:rsidP="00023291">
      <w:pPr>
        <w:tabs>
          <w:tab w:val="left" w:pos="9638"/>
        </w:tabs>
        <w:spacing w:after="0" w:line="320" w:lineRule="exact"/>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Військові фахівці, бойовий досвід яких складав від 6 місяців до 2 років роботи з артилерією у бойових умовах зробили такі висновки: алгоритм відповідає реальним умовам застосування боєприпасів; модель враховує типові помилки, які допускають молоді фахівці; практичні блоки (5 і 6) є найбільш цінними;  модель може бути інтегрована у тренажерні комплекси.</w:t>
      </w:r>
    </w:p>
    <w:p w14:paraId="00CB6C49" w14:textId="77777777" w:rsidR="00385184" w:rsidRPr="002A5031" w:rsidRDefault="00385184" w:rsidP="00023291">
      <w:pPr>
        <w:tabs>
          <w:tab w:val="left" w:pos="9638"/>
        </w:tabs>
        <w:spacing w:after="0" w:line="320" w:lineRule="exact"/>
        <w:ind w:firstLine="709"/>
        <w:rPr>
          <w:rFonts w:ascii="Times New Roman" w:eastAsia="Aptos" w:hAnsi="Times New Roman" w:cs="Times New Roman"/>
          <w:sz w:val="28"/>
          <w:szCs w:val="28"/>
          <w:lang w:val="ru-RU"/>
        </w:rPr>
      </w:pPr>
      <w:r w:rsidRPr="003B5892">
        <w:rPr>
          <w:rFonts w:ascii="Times New Roman" w:eastAsia="Aptos" w:hAnsi="Times New Roman" w:cs="Times New Roman"/>
          <w:sz w:val="28"/>
          <w:szCs w:val="28"/>
          <w:lang w:val="uk-UA"/>
        </w:rPr>
        <w:t xml:space="preserve">Результати експерименту наводяться в таблиці 1. </w:t>
      </w:r>
    </w:p>
    <w:p w14:paraId="42019ED0" w14:textId="77777777" w:rsidR="00191739" w:rsidRPr="002A5031" w:rsidRDefault="00096C2E" w:rsidP="00191739">
      <w:pPr>
        <w:tabs>
          <w:tab w:val="left" w:pos="9638"/>
        </w:tabs>
        <w:spacing w:after="0" w:line="320" w:lineRule="exact"/>
        <w:ind w:firstLine="709"/>
        <w:jc w:val="both"/>
        <w:rPr>
          <w:rFonts w:ascii="Times New Roman" w:eastAsia="Aptos" w:hAnsi="Times New Roman" w:cs="Times New Roman"/>
          <w:sz w:val="28"/>
          <w:szCs w:val="28"/>
          <w:lang w:val="ru-RU"/>
        </w:rPr>
      </w:pPr>
      <w:r w:rsidRPr="003B5892">
        <w:rPr>
          <w:rFonts w:ascii="Times New Roman" w:eastAsia="Aptos" w:hAnsi="Times New Roman" w:cs="Times New Roman"/>
          <w:sz w:val="28"/>
          <w:szCs w:val="28"/>
          <w:lang w:val="uk-UA"/>
        </w:rPr>
        <w:lastRenderedPageBreak/>
        <w:t>Показник “100%” у контрольній групі відображає базовий рівень помилок, допущених слухачами під час виконання тренажерних вправ за традиційною методикою. Цей рівень прийнято за 100% для зручності порівняння. У експериментальній групі кількість помилок становила 58% від базового значення, що свідчить про їх зменшення на 42% після впровадження інтегрованої навчальної моделі.</w:t>
      </w:r>
      <w:r w:rsidR="00191739" w:rsidRPr="00191739">
        <w:rPr>
          <w:rFonts w:ascii="Times New Roman" w:eastAsia="Aptos" w:hAnsi="Times New Roman" w:cs="Times New Roman"/>
          <w:sz w:val="28"/>
          <w:szCs w:val="28"/>
          <w:lang w:val="ru-RU"/>
        </w:rPr>
        <w:t xml:space="preserve"> </w:t>
      </w:r>
    </w:p>
    <w:p w14:paraId="010A2C0D" w14:textId="0562FFF2" w:rsidR="00096C2E" w:rsidRPr="00191739" w:rsidRDefault="00191739" w:rsidP="00191739">
      <w:pPr>
        <w:tabs>
          <w:tab w:val="left" w:pos="9638"/>
        </w:tabs>
        <w:spacing w:after="0" w:line="320" w:lineRule="exact"/>
        <w:ind w:firstLine="709"/>
        <w:jc w:val="both"/>
        <w:rPr>
          <w:rFonts w:ascii="Times New Roman" w:eastAsia="Aptos" w:hAnsi="Times New Roman" w:cs="Times New Roman"/>
          <w:sz w:val="28"/>
          <w:szCs w:val="28"/>
          <w:lang w:val="ru-RU"/>
        </w:rPr>
      </w:pPr>
      <w:r w:rsidRPr="003B5892">
        <w:rPr>
          <w:rFonts w:ascii="Times New Roman" w:eastAsia="Aptos" w:hAnsi="Times New Roman" w:cs="Times New Roman"/>
          <w:sz w:val="28"/>
          <w:szCs w:val="28"/>
          <w:lang w:val="uk-UA"/>
        </w:rPr>
        <w:t>Загальна ефективність навчання визначалась за інтегральним показником, що включав правильність вибору підривника, точність установок, швидкість</w:t>
      </w:r>
    </w:p>
    <w:p w14:paraId="1705EB63" w14:textId="77777777" w:rsidR="00385184" w:rsidRPr="003B5892" w:rsidRDefault="00385184" w:rsidP="00023291">
      <w:pPr>
        <w:tabs>
          <w:tab w:val="left" w:pos="9638"/>
        </w:tabs>
        <w:spacing w:after="0" w:line="320" w:lineRule="exact"/>
        <w:ind w:firstLine="709"/>
        <w:jc w:val="right"/>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 xml:space="preserve">Таблиця 1 </w:t>
      </w:r>
    </w:p>
    <w:p w14:paraId="5923F7A7" w14:textId="77777777" w:rsidR="00385184" w:rsidRPr="003B5892" w:rsidRDefault="00385184" w:rsidP="00023291">
      <w:pPr>
        <w:tabs>
          <w:tab w:val="left" w:pos="9638"/>
        </w:tabs>
        <w:spacing w:after="0" w:line="320" w:lineRule="exact"/>
        <w:ind w:firstLine="709"/>
        <w:jc w:val="center"/>
        <w:rPr>
          <w:rFonts w:ascii="Times New Roman" w:eastAsia="Aptos" w:hAnsi="Times New Roman" w:cs="Times New Roman"/>
          <w:bCs/>
          <w:sz w:val="28"/>
          <w:szCs w:val="28"/>
          <w:lang w:val="uk-UA"/>
        </w:rPr>
      </w:pPr>
      <w:r w:rsidRPr="003B5892">
        <w:rPr>
          <w:rFonts w:ascii="Times New Roman" w:eastAsia="Aptos" w:hAnsi="Times New Roman" w:cs="Times New Roman"/>
          <w:b/>
          <w:sz w:val="28"/>
          <w:szCs w:val="28"/>
          <w:lang w:val="uk-UA"/>
        </w:rPr>
        <w:t xml:space="preserve"> </w:t>
      </w:r>
      <w:r w:rsidRPr="003B5892">
        <w:rPr>
          <w:rFonts w:ascii="Times New Roman" w:eastAsia="Aptos" w:hAnsi="Times New Roman" w:cs="Times New Roman"/>
          <w:bCs/>
          <w:sz w:val="28"/>
          <w:szCs w:val="28"/>
          <w:lang w:val="uk-UA"/>
        </w:rPr>
        <w:t>Порівняльні результати підготовки контрольної та експериментальної груп</w:t>
      </w:r>
    </w:p>
    <w:tbl>
      <w:tblPr>
        <w:tblStyle w:val="132"/>
        <w:tblW w:w="0" w:type="auto"/>
        <w:tblLook w:val="04A0" w:firstRow="1" w:lastRow="0" w:firstColumn="1" w:lastColumn="0" w:noHBand="0" w:noVBand="1"/>
      </w:tblPr>
      <w:tblGrid>
        <w:gridCol w:w="3370"/>
        <w:gridCol w:w="2726"/>
        <w:gridCol w:w="2462"/>
        <w:gridCol w:w="1439"/>
      </w:tblGrid>
      <w:tr w:rsidR="00385184" w:rsidRPr="003B5892" w14:paraId="14497ADF" w14:textId="77777777" w:rsidTr="00F918EC">
        <w:tc>
          <w:tcPr>
            <w:tcW w:w="0" w:type="auto"/>
            <w:hideMark/>
          </w:tcPr>
          <w:p w14:paraId="53E099F8" w14:textId="77777777" w:rsidR="00385184" w:rsidRPr="003B5892" w:rsidRDefault="00385184" w:rsidP="006025B7">
            <w:pPr>
              <w:tabs>
                <w:tab w:val="left" w:pos="9638"/>
              </w:tabs>
              <w:jc w:val="center"/>
              <w:rPr>
                <w:rFonts w:ascii="Times New Roman" w:eastAsia="Aptos" w:hAnsi="Times New Roman" w:cs="Times New Roman"/>
                <w:szCs w:val="28"/>
              </w:rPr>
            </w:pPr>
            <w:r w:rsidRPr="003B5892">
              <w:rPr>
                <w:rFonts w:ascii="Times New Roman" w:eastAsia="Aptos" w:hAnsi="Times New Roman" w:cs="Times New Roman"/>
                <w:szCs w:val="28"/>
              </w:rPr>
              <w:t>Показник</w:t>
            </w:r>
          </w:p>
        </w:tc>
        <w:tc>
          <w:tcPr>
            <w:tcW w:w="0" w:type="auto"/>
            <w:hideMark/>
          </w:tcPr>
          <w:p w14:paraId="6A7FAE96" w14:textId="77777777" w:rsidR="00385184" w:rsidRPr="003B5892" w:rsidRDefault="00385184" w:rsidP="006025B7">
            <w:pPr>
              <w:tabs>
                <w:tab w:val="left" w:pos="9638"/>
              </w:tabs>
              <w:jc w:val="center"/>
              <w:rPr>
                <w:rFonts w:ascii="Times New Roman" w:eastAsia="Aptos" w:hAnsi="Times New Roman" w:cs="Times New Roman"/>
                <w:szCs w:val="28"/>
              </w:rPr>
            </w:pPr>
            <w:r w:rsidRPr="003B5892">
              <w:rPr>
                <w:rFonts w:ascii="Times New Roman" w:eastAsia="Aptos" w:hAnsi="Times New Roman" w:cs="Times New Roman"/>
                <w:szCs w:val="28"/>
              </w:rPr>
              <w:t>Контрольна група (базовий рівень)</w:t>
            </w:r>
          </w:p>
        </w:tc>
        <w:tc>
          <w:tcPr>
            <w:tcW w:w="0" w:type="auto"/>
            <w:hideMark/>
          </w:tcPr>
          <w:p w14:paraId="3F59951F" w14:textId="77777777" w:rsidR="00385184" w:rsidRPr="003B5892" w:rsidRDefault="00385184" w:rsidP="006025B7">
            <w:pPr>
              <w:tabs>
                <w:tab w:val="left" w:pos="9638"/>
              </w:tabs>
              <w:ind w:hanging="2"/>
              <w:jc w:val="center"/>
              <w:rPr>
                <w:rFonts w:ascii="Times New Roman" w:eastAsia="Aptos" w:hAnsi="Times New Roman" w:cs="Times New Roman"/>
                <w:szCs w:val="28"/>
              </w:rPr>
            </w:pPr>
            <w:r w:rsidRPr="003B5892">
              <w:rPr>
                <w:rFonts w:ascii="Times New Roman" w:eastAsia="Aptos" w:hAnsi="Times New Roman" w:cs="Times New Roman"/>
                <w:szCs w:val="28"/>
              </w:rPr>
              <w:t>Експериментальна група</w:t>
            </w:r>
          </w:p>
        </w:tc>
        <w:tc>
          <w:tcPr>
            <w:tcW w:w="0" w:type="auto"/>
            <w:hideMark/>
          </w:tcPr>
          <w:p w14:paraId="6ABA9DED" w14:textId="77777777" w:rsidR="00385184" w:rsidRPr="003B5892" w:rsidRDefault="00385184" w:rsidP="006025B7">
            <w:pPr>
              <w:tabs>
                <w:tab w:val="left" w:pos="9638"/>
              </w:tabs>
              <w:jc w:val="center"/>
              <w:rPr>
                <w:rFonts w:ascii="Times New Roman" w:eastAsia="Aptos" w:hAnsi="Times New Roman" w:cs="Times New Roman"/>
                <w:szCs w:val="28"/>
              </w:rPr>
            </w:pPr>
            <w:r w:rsidRPr="003B5892">
              <w:rPr>
                <w:rFonts w:ascii="Times New Roman" w:eastAsia="Aptos" w:hAnsi="Times New Roman" w:cs="Times New Roman"/>
                <w:szCs w:val="28"/>
              </w:rPr>
              <w:t>Зміна / Приріст</w:t>
            </w:r>
          </w:p>
        </w:tc>
      </w:tr>
      <w:tr w:rsidR="00385184" w:rsidRPr="003B5892" w14:paraId="2E4A064F" w14:textId="77777777" w:rsidTr="00F918EC">
        <w:tc>
          <w:tcPr>
            <w:tcW w:w="0" w:type="auto"/>
            <w:hideMark/>
          </w:tcPr>
          <w:p w14:paraId="61FB7475" w14:textId="77777777" w:rsidR="00385184" w:rsidRPr="003B5892" w:rsidRDefault="00385184" w:rsidP="006025B7">
            <w:pPr>
              <w:tabs>
                <w:tab w:val="left" w:pos="9638"/>
              </w:tabs>
              <w:jc w:val="center"/>
              <w:rPr>
                <w:rFonts w:ascii="Times New Roman" w:eastAsia="Aptos" w:hAnsi="Times New Roman" w:cs="Times New Roman"/>
                <w:szCs w:val="28"/>
              </w:rPr>
            </w:pPr>
            <w:r w:rsidRPr="003B5892">
              <w:rPr>
                <w:rFonts w:ascii="Times New Roman" w:eastAsia="Aptos" w:hAnsi="Times New Roman" w:cs="Times New Roman"/>
                <w:szCs w:val="28"/>
              </w:rPr>
              <w:t>Правильність вибору підривника</w:t>
            </w:r>
          </w:p>
        </w:tc>
        <w:tc>
          <w:tcPr>
            <w:tcW w:w="0" w:type="auto"/>
            <w:hideMark/>
          </w:tcPr>
          <w:p w14:paraId="06AF963B" w14:textId="77777777" w:rsidR="00385184" w:rsidRPr="003B5892" w:rsidRDefault="00385184" w:rsidP="006025B7">
            <w:pPr>
              <w:tabs>
                <w:tab w:val="left" w:pos="9638"/>
              </w:tabs>
              <w:jc w:val="center"/>
              <w:rPr>
                <w:rFonts w:ascii="Times New Roman" w:eastAsia="Aptos" w:hAnsi="Times New Roman" w:cs="Times New Roman"/>
                <w:szCs w:val="28"/>
              </w:rPr>
            </w:pPr>
            <w:r w:rsidRPr="003B5892">
              <w:rPr>
                <w:rFonts w:ascii="Times New Roman" w:eastAsia="Aptos" w:hAnsi="Times New Roman" w:cs="Times New Roman"/>
                <w:szCs w:val="28"/>
              </w:rPr>
              <w:t>63%</w:t>
            </w:r>
          </w:p>
        </w:tc>
        <w:tc>
          <w:tcPr>
            <w:tcW w:w="0" w:type="auto"/>
            <w:hideMark/>
          </w:tcPr>
          <w:p w14:paraId="1923143A" w14:textId="77777777" w:rsidR="00385184" w:rsidRPr="003B5892" w:rsidRDefault="00385184" w:rsidP="006025B7">
            <w:pPr>
              <w:tabs>
                <w:tab w:val="left" w:pos="9638"/>
              </w:tabs>
              <w:ind w:hanging="2"/>
              <w:jc w:val="center"/>
              <w:rPr>
                <w:rFonts w:ascii="Times New Roman" w:eastAsia="Aptos" w:hAnsi="Times New Roman" w:cs="Times New Roman"/>
                <w:szCs w:val="28"/>
              </w:rPr>
            </w:pPr>
            <w:r w:rsidRPr="003B5892">
              <w:rPr>
                <w:rFonts w:ascii="Times New Roman" w:eastAsia="Aptos" w:hAnsi="Times New Roman" w:cs="Times New Roman"/>
                <w:szCs w:val="28"/>
              </w:rPr>
              <w:t>87%</w:t>
            </w:r>
          </w:p>
        </w:tc>
        <w:tc>
          <w:tcPr>
            <w:tcW w:w="0" w:type="auto"/>
            <w:hideMark/>
          </w:tcPr>
          <w:p w14:paraId="71CBB0C9" w14:textId="77777777" w:rsidR="00385184" w:rsidRPr="003B5892" w:rsidRDefault="00385184" w:rsidP="006025B7">
            <w:pPr>
              <w:tabs>
                <w:tab w:val="left" w:pos="9638"/>
              </w:tabs>
              <w:jc w:val="center"/>
              <w:rPr>
                <w:rFonts w:ascii="Times New Roman" w:eastAsia="Aptos" w:hAnsi="Times New Roman" w:cs="Times New Roman"/>
                <w:szCs w:val="28"/>
              </w:rPr>
            </w:pPr>
            <w:r w:rsidRPr="003B5892">
              <w:rPr>
                <w:rFonts w:ascii="Times New Roman" w:eastAsia="Aptos" w:hAnsi="Times New Roman" w:cs="Times New Roman"/>
                <w:szCs w:val="28"/>
              </w:rPr>
              <w:t>+24%</w:t>
            </w:r>
          </w:p>
        </w:tc>
      </w:tr>
      <w:tr w:rsidR="00385184" w:rsidRPr="003B5892" w14:paraId="454ECEE8" w14:textId="77777777" w:rsidTr="00F918EC">
        <w:tc>
          <w:tcPr>
            <w:tcW w:w="0" w:type="auto"/>
            <w:hideMark/>
          </w:tcPr>
          <w:p w14:paraId="68E0BEC4" w14:textId="77777777" w:rsidR="00385184" w:rsidRPr="003B5892" w:rsidRDefault="00385184" w:rsidP="006025B7">
            <w:pPr>
              <w:tabs>
                <w:tab w:val="left" w:pos="9638"/>
              </w:tabs>
              <w:jc w:val="center"/>
              <w:rPr>
                <w:rFonts w:ascii="Times New Roman" w:eastAsia="Aptos" w:hAnsi="Times New Roman" w:cs="Times New Roman"/>
                <w:szCs w:val="28"/>
              </w:rPr>
            </w:pPr>
            <w:r w:rsidRPr="003B5892">
              <w:rPr>
                <w:rFonts w:ascii="Times New Roman" w:eastAsia="Aptos" w:hAnsi="Times New Roman" w:cs="Times New Roman"/>
                <w:szCs w:val="28"/>
              </w:rPr>
              <w:t>Точність встановлення параметрів підривника</w:t>
            </w:r>
          </w:p>
        </w:tc>
        <w:tc>
          <w:tcPr>
            <w:tcW w:w="0" w:type="auto"/>
            <w:hideMark/>
          </w:tcPr>
          <w:p w14:paraId="11035CA4" w14:textId="77777777" w:rsidR="00385184" w:rsidRPr="003B5892" w:rsidRDefault="00385184" w:rsidP="006025B7">
            <w:pPr>
              <w:tabs>
                <w:tab w:val="left" w:pos="9638"/>
              </w:tabs>
              <w:jc w:val="center"/>
              <w:rPr>
                <w:rFonts w:ascii="Times New Roman" w:eastAsia="Aptos" w:hAnsi="Times New Roman" w:cs="Times New Roman"/>
                <w:szCs w:val="28"/>
              </w:rPr>
            </w:pPr>
            <w:r w:rsidRPr="003B5892">
              <w:rPr>
                <w:rFonts w:ascii="Times New Roman" w:eastAsia="Aptos" w:hAnsi="Times New Roman" w:cs="Times New Roman"/>
                <w:szCs w:val="28"/>
              </w:rPr>
              <w:t>68%</w:t>
            </w:r>
          </w:p>
        </w:tc>
        <w:tc>
          <w:tcPr>
            <w:tcW w:w="0" w:type="auto"/>
            <w:hideMark/>
          </w:tcPr>
          <w:p w14:paraId="4905C796" w14:textId="77777777" w:rsidR="00385184" w:rsidRPr="003B5892" w:rsidRDefault="00385184" w:rsidP="006025B7">
            <w:pPr>
              <w:tabs>
                <w:tab w:val="left" w:pos="9638"/>
              </w:tabs>
              <w:ind w:hanging="2"/>
              <w:jc w:val="center"/>
              <w:rPr>
                <w:rFonts w:ascii="Times New Roman" w:eastAsia="Aptos" w:hAnsi="Times New Roman" w:cs="Times New Roman"/>
                <w:szCs w:val="28"/>
              </w:rPr>
            </w:pPr>
            <w:r w:rsidRPr="003B5892">
              <w:rPr>
                <w:rFonts w:ascii="Times New Roman" w:eastAsia="Aptos" w:hAnsi="Times New Roman" w:cs="Times New Roman"/>
                <w:szCs w:val="28"/>
              </w:rPr>
              <w:t>90%</w:t>
            </w:r>
          </w:p>
        </w:tc>
        <w:tc>
          <w:tcPr>
            <w:tcW w:w="0" w:type="auto"/>
            <w:hideMark/>
          </w:tcPr>
          <w:p w14:paraId="7DC68E52" w14:textId="77777777" w:rsidR="00385184" w:rsidRPr="003B5892" w:rsidRDefault="00385184" w:rsidP="006025B7">
            <w:pPr>
              <w:tabs>
                <w:tab w:val="left" w:pos="9638"/>
              </w:tabs>
              <w:jc w:val="center"/>
              <w:rPr>
                <w:rFonts w:ascii="Times New Roman" w:eastAsia="Aptos" w:hAnsi="Times New Roman" w:cs="Times New Roman"/>
                <w:szCs w:val="28"/>
              </w:rPr>
            </w:pPr>
            <w:r w:rsidRPr="003B5892">
              <w:rPr>
                <w:rFonts w:ascii="Times New Roman" w:eastAsia="Aptos" w:hAnsi="Times New Roman" w:cs="Times New Roman"/>
                <w:szCs w:val="28"/>
              </w:rPr>
              <w:t>+22%</w:t>
            </w:r>
          </w:p>
        </w:tc>
      </w:tr>
      <w:tr w:rsidR="00385184" w:rsidRPr="003B5892" w14:paraId="189DEFA3" w14:textId="77777777" w:rsidTr="00F918EC">
        <w:tc>
          <w:tcPr>
            <w:tcW w:w="0" w:type="auto"/>
            <w:hideMark/>
          </w:tcPr>
          <w:p w14:paraId="7B648281" w14:textId="77777777" w:rsidR="00385184" w:rsidRPr="003B5892" w:rsidRDefault="00385184" w:rsidP="006025B7">
            <w:pPr>
              <w:tabs>
                <w:tab w:val="left" w:pos="9638"/>
              </w:tabs>
              <w:jc w:val="center"/>
              <w:rPr>
                <w:rFonts w:ascii="Times New Roman" w:eastAsia="Aptos" w:hAnsi="Times New Roman" w:cs="Times New Roman"/>
                <w:szCs w:val="28"/>
              </w:rPr>
            </w:pPr>
            <w:r w:rsidRPr="003B5892">
              <w:rPr>
                <w:rFonts w:ascii="Times New Roman" w:eastAsia="Aptos" w:hAnsi="Times New Roman" w:cs="Times New Roman"/>
                <w:szCs w:val="28"/>
              </w:rPr>
              <w:t>Швидкість прийняття рішення</w:t>
            </w:r>
          </w:p>
        </w:tc>
        <w:tc>
          <w:tcPr>
            <w:tcW w:w="0" w:type="auto"/>
            <w:hideMark/>
          </w:tcPr>
          <w:p w14:paraId="59EF821A" w14:textId="77777777" w:rsidR="00385184" w:rsidRPr="003B5892" w:rsidRDefault="00385184" w:rsidP="006025B7">
            <w:pPr>
              <w:tabs>
                <w:tab w:val="left" w:pos="9638"/>
              </w:tabs>
              <w:jc w:val="center"/>
              <w:rPr>
                <w:rFonts w:ascii="Times New Roman" w:eastAsia="Aptos" w:hAnsi="Times New Roman" w:cs="Times New Roman"/>
                <w:szCs w:val="28"/>
              </w:rPr>
            </w:pPr>
            <w:r w:rsidRPr="003B5892">
              <w:rPr>
                <w:rFonts w:ascii="Times New Roman" w:eastAsia="Aptos" w:hAnsi="Times New Roman" w:cs="Times New Roman"/>
                <w:szCs w:val="28"/>
              </w:rPr>
              <w:t>1,00 (умовна одиниця)</w:t>
            </w:r>
          </w:p>
        </w:tc>
        <w:tc>
          <w:tcPr>
            <w:tcW w:w="0" w:type="auto"/>
            <w:hideMark/>
          </w:tcPr>
          <w:p w14:paraId="545F075F" w14:textId="77777777" w:rsidR="00385184" w:rsidRPr="003B5892" w:rsidRDefault="00385184" w:rsidP="006025B7">
            <w:pPr>
              <w:tabs>
                <w:tab w:val="left" w:pos="9638"/>
              </w:tabs>
              <w:ind w:hanging="2"/>
              <w:jc w:val="center"/>
              <w:rPr>
                <w:rFonts w:ascii="Times New Roman" w:eastAsia="Aptos" w:hAnsi="Times New Roman" w:cs="Times New Roman"/>
                <w:szCs w:val="28"/>
              </w:rPr>
            </w:pPr>
            <w:r w:rsidRPr="003B5892">
              <w:rPr>
                <w:rFonts w:ascii="Times New Roman" w:eastAsia="Aptos" w:hAnsi="Times New Roman" w:cs="Times New Roman"/>
                <w:szCs w:val="28"/>
              </w:rPr>
              <w:t>1,32</w:t>
            </w:r>
          </w:p>
        </w:tc>
        <w:tc>
          <w:tcPr>
            <w:tcW w:w="0" w:type="auto"/>
            <w:hideMark/>
          </w:tcPr>
          <w:p w14:paraId="5CAA9EE0" w14:textId="77777777" w:rsidR="00385184" w:rsidRPr="003B5892" w:rsidRDefault="00385184" w:rsidP="006025B7">
            <w:pPr>
              <w:tabs>
                <w:tab w:val="left" w:pos="9638"/>
              </w:tabs>
              <w:jc w:val="center"/>
              <w:rPr>
                <w:rFonts w:ascii="Times New Roman" w:eastAsia="Aptos" w:hAnsi="Times New Roman" w:cs="Times New Roman"/>
                <w:szCs w:val="28"/>
              </w:rPr>
            </w:pPr>
            <w:r w:rsidRPr="003B5892">
              <w:rPr>
                <w:rFonts w:ascii="Times New Roman" w:eastAsia="Aptos" w:hAnsi="Times New Roman" w:cs="Times New Roman"/>
                <w:szCs w:val="28"/>
              </w:rPr>
              <w:t>+32%</w:t>
            </w:r>
          </w:p>
        </w:tc>
      </w:tr>
      <w:tr w:rsidR="00385184" w:rsidRPr="003B5892" w14:paraId="77F18ED3" w14:textId="77777777" w:rsidTr="00F918EC">
        <w:tc>
          <w:tcPr>
            <w:tcW w:w="0" w:type="auto"/>
            <w:hideMark/>
          </w:tcPr>
          <w:p w14:paraId="7DFF0824" w14:textId="77777777" w:rsidR="00385184" w:rsidRPr="003B5892" w:rsidRDefault="00385184" w:rsidP="006025B7">
            <w:pPr>
              <w:tabs>
                <w:tab w:val="left" w:pos="9638"/>
              </w:tabs>
              <w:jc w:val="center"/>
              <w:rPr>
                <w:rFonts w:ascii="Times New Roman" w:eastAsia="Aptos" w:hAnsi="Times New Roman" w:cs="Times New Roman"/>
                <w:szCs w:val="28"/>
              </w:rPr>
            </w:pPr>
            <w:r w:rsidRPr="003B5892">
              <w:rPr>
                <w:rFonts w:ascii="Times New Roman" w:eastAsia="Aptos" w:hAnsi="Times New Roman" w:cs="Times New Roman"/>
                <w:szCs w:val="28"/>
              </w:rPr>
              <w:t>Кількість помилок на тренажері</w:t>
            </w:r>
          </w:p>
        </w:tc>
        <w:tc>
          <w:tcPr>
            <w:tcW w:w="0" w:type="auto"/>
            <w:hideMark/>
          </w:tcPr>
          <w:p w14:paraId="3BE85BAB" w14:textId="77777777" w:rsidR="00385184" w:rsidRPr="003B5892" w:rsidRDefault="00385184" w:rsidP="006025B7">
            <w:pPr>
              <w:tabs>
                <w:tab w:val="left" w:pos="9638"/>
              </w:tabs>
              <w:jc w:val="center"/>
              <w:rPr>
                <w:rFonts w:ascii="Times New Roman" w:eastAsia="Aptos" w:hAnsi="Times New Roman" w:cs="Times New Roman"/>
                <w:szCs w:val="28"/>
              </w:rPr>
            </w:pPr>
            <w:r w:rsidRPr="003B5892">
              <w:rPr>
                <w:rFonts w:ascii="Times New Roman" w:eastAsia="Aptos" w:hAnsi="Times New Roman" w:cs="Times New Roman"/>
                <w:szCs w:val="28"/>
              </w:rPr>
              <w:t>1,00 (нормований показник)</w:t>
            </w:r>
          </w:p>
        </w:tc>
        <w:tc>
          <w:tcPr>
            <w:tcW w:w="0" w:type="auto"/>
            <w:hideMark/>
          </w:tcPr>
          <w:p w14:paraId="5C117C12" w14:textId="77777777" w:rsidR="00385184" w:rsidRPr="003B5892" w:rsidRDefault="00385184" w:rsidP="006025B7">
            <w:pPr>
              <w:tabs>
                <w:tab w:val="left" w:pos="9638"/>
              </w:tabs>
              <w:ind w:hanging="2"/>
              <w:jc w:val="center"/>
              <w:rPr>
                <w:rFonts w:ascii="Times New Roman" w:eastAsia="Aptos" w:hAnsi="Times New Roman" w:cs="Times New Roman"/>
                <w:szCs w:val="28"/>
              </w:rPr>
            </w:pPr>
            <w:r w:rsidRPr="003B5892">
              <w:rPr>
                <w:rFonts w:ascii="Times New Roman" w:eastAsia="Aptos" w:hAnsi="Times New Roman" w:cs="Times New Roman"/>
                <w:szCs w:val="28"/>
              </w:rPr>
              <w:t>0,58</w:t>
            </w:r>
          </w:p>
        </w:tc>
        <w:tc>
          <w:tcPr>
            <w:tcW w:w="0" w:type="auto"/>
            <w:hideMark/>
          </w:tcPr>
          <w:p w14:paraId="25D1AD49" w14:textId="77777777" w:rsidR="00385184" w:rsidRPr="003B5892" w:rsidRDefault="00385184" w:rsidP="006025B7">
            <w:pPr>
              <w:tabs>
                <w:tab w:val="left" w:pos="9638"/>
              </w:tabs>
              <w:jc w:val="center"/>
              <w:rPr>
                <w:rFonts w:ascii="Times New Roman" w:eastAsia="Aptos" w:hAnsi="Times New Roman" w:cs="Times New Roman"/>
                <w:szCs w:val="28"/>
              </w:rPr>
            </w:pPr>
            <w:r w:rsidRPr="003B5892">
              <w:rPr>
                <w:rFonts w:ascii="Times New Roman" w:eastAsia="Aptos" w:hAnsi="Times New Roman" w:cs="Times New Roman"/>
                <w:szCs w:val="28"/>
              </w:rPr>
              <w:t>–42%</w:t>
            </w:r>
          </w:p>
        </w:tc>
      </w:tr>
      <w:tr w:rsidR="00385184" w:rsidRPr="003B5892" w14:paraId="431C24D0" w14:textId="77777777" w:rsidTr="00F918EC">
        <w:tc>
          <w:tcPr>
            <w:tcW w:w="0" w:type="auto"/>
            <w:hideMark/>
          </w:tcPr>
          <w:p w14:paraId="09013588" w14:textId="77777777" w:rsidR="00385184" w:rsidRPr="003B5892" w:rsidRDefault="00385184" w:rsidP="006025B7">
            <w:pPr>
              <w:tabs>
                <w:tab w:val="left" w:pos="9638"/>
              </w:tabs>
              <w:jc w:val="center"/>
              <w:rPr>
                <w:rFonts w:ascii="Times New Roman" w:eastAsia="Aptos" w:hAnsi="Times New Roman" w:cs="Times New Roman"/>
                <w:szCs w:val="28"/>
              </w:rPr>
            </w:pPr>
            <w:r w:rsidRPr="003B5892">
              <w:rPr>
                <w:rFonts w:ascii="Times New Roman" w:eastAsia="Aptos" w:hAnsi="Times New Roman" w:cs="Times New Roman"/>
                <w:szCs w:val="28"/>
              </w:rPr>
              <w:t>Загальна ефективність навчання</w:t>
            </w:r>
          </w:p>
        </w:tc>
        <w:tc>
          <w:tcPr>
            <w:tcW w:w="0" w:type="auto"/>
            <w:hideMark/>
          </w:tcPr>
          <w:p w14:paraId="0E6F6612" w14:textId="77777777" w:rsidR="00385184" w:rsidRPr="003B5892" w:rsidRDefault="00385184" w:rsidP="006025B7">
            <w:pPr>
              <w:tabs>
                <w:tab w:val="left" w:pos="9638"/>
              </w:tabs>
              <w:jc w:val="center"/>
              <w:rPr>
                <w:rFonts w:ascii="Times New Roman" w:eastAsia="Aptos" w:hAnsi="Times New Roman" w:cs="Times New Roman"/>
                <w:szCs w:val="28"/>
              </w:rPr>
            </w:pPr>
            <w:r w:rsidRPr="003B5892">
              <w:rPr>
                <w:rFonts w:ascii="Times New Roman" w:eastAsia="Aptos" w:hAnsi="Times New Roman" w:cs="Times New Roman"/>
                <w:szCs w:val="28"/>
              </w:rPr>
              <w:t>—</w:t>
            </w:r>
          </w:p>
        </w:tc>
        <w:tc>
          <w:tcPr>
            <w:tcW w:w="0" w:type="auto"/>
            <w:hideMark/>
          </w:tcPr>
          <w:p w14:paraId="62AB74D6" w14:textId="77777777" w:rsidR="00385184" w:rsidRPr="003B5892" w:rsidRDefault="00385184" w:rsidP="006025B7">
            <w:pPr>
              <w:tabs>
                <w:tab w:val="left" w:pos="9638"/>
              </w:tabs>
              <w:ind w:hanging="2"/>
              <w:jc w:val="center"/>
              <w:rPr>
                <w:rFonts w:ascii="Times New Roman" w:eastAsia="Aptos" w:hAnsi="Times New Roman" w:cs="Times New Roman"/>
                <w:szCs w:val="28"/>
              </w:rPr>
            </w:pPr>
            <w:r w:rsidRPr="003B5892">
              <w:rPr>
                <w:rFonts w:ascii="Times New Roman" w:eastAsia="Aptos" w:hAnsi="Times New Roman" w:cs="Times New Roman"/>
                <w:szCs w:val="28"/>
              </w:rPr>
              <w:t>—</w:t>
            </w:r>
          </w:p>
        </w:tc>
        <w:tc>
          <w:tcPr>
            <w:tcW w:w="0" w:type="auto"/>
            <w:hideMark/>
          </w:tcPr>
          <w:p w14:paraId="66AE2DB3" w14:textId="77777777" w:rsidR="00385184" w:rsidRPr="003B5892" w:rsidRDefault="00385184" w:rsidP="006025B7">
            <w:pPr>
              <w:tabs>
                <w:tab w:val="left" w:pos="9638"/>
              </w:tabs>
              <w:jc w:val="center"/>
              <w:rPr>
                <w:rFonts w:ascii="Times New Roman" w:eastAsia="Aptos" w:hAnsi="Times New Roman" w:cs="Times New Roman"/>
                <w:szCs w:val="28"/>
              </w:rPr>
            </w:pPr>
            <w:r w:rsidRPr="003B5892">
              <w:rPr>
                <w:rFonts w:ascii="Times New Roman" w:eastAsia="Aptos" w:hAnsi="Times New Roman" w:cs="Times New Roman"/>
                <w:szCs w:val="28"/>
              </w:rPr>
              <w:t>+18–27%</w:t>
            </w:r>
          </w:p>
        </w:tc>
      </w:tr>
    </w:tbl>
    <w:p w14:paraId="29BD11E9" w14:textId="77777777" w:rsidR="00385184" w:rsidRPr="003B5892" w:rsidRDefault="00385184" w:rsidP="00E2227E">
      <w:pPr>
        <w:tabs>
          <w:tab w:val="left" w:pos="9638"/>
        </w:tabs>
        <w:spacing w:after="0" w:line="320" w:lineRule="exact"/>
        <w:jc w:val="center"/>
        <w:rPr>
          <w:rFonts w:ascii="Times New Roman" w:eastAsia="Aptos" w:hAnsi="Times New Roman" w:cs="Times New Roman"/>
          <w:sz w:val="28"/>
          <w:szCs w:val="28"/>
          <w:lang w:val="uk-UA"/>
        </w:rPr>
      </w:pPr>
    </w:p>
    <w:p w14:paraId="5564E305" w14:textId="31EC479C" w:rsidR="00385184" w:rsidRPr="003B5892" w:rsidRDefault="00385184" w:rsidP="00E2227E">
      <w:pPr>
        <w:tabs>
          <w:tab w:val="left" w:pos="9638"/>
        </w:tabs>
        <w:spacing w:after="0" w:line="320" w:lineRule="exact"/>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прийняття рішень та кількість помилок. За результатами експерименту ефективність підготовки зросла на 18–27%, що підтверджує результативність запропонованої моделі.</w:t>
      </w:r>
    </w:p>
    <w:p w14:paraId="1A662CAE" w14:textId="77777777" w:rsidR="00385184" w:rsidRPr="003B5892" w:rsidRDefault="00385184" w:rsidP="00023291">
      <w:pPr>
        <w:tabs>
          <w:tab w:val="left" w:pos="9638"/>
        </w:tabs>
        <w:spacing w:after="0" w:line="320" w:lineRule="exact"/>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b/>
          <w:bCs/>
          <w:sz w:val="28"/>
          <w:szCs w:val="28"/>
          <w:lang w:val="uk-UA"/>
        </w:rPr>
        <w:t>Висновки та перспективи подальших досліджень.</w:t>
      </w:r>
      <w:r w:rsidRPr="003B5892">
        <w:rPr>
          <w:rFonts w:ascii="Times New Roman" w:eastAsia="Aptos" w:hAnsi="Times New Roman" w:cs="Times New Roman"/>
          <w:sz w:val="28"/>
          <w:szCs w:val="28"/>
          <w:lang w:val="uk-UA"/>
        </w:rPr>
        <w:t xml:space="preserve"> У результаті проведеного дослідження розроблено та науково обґрунтовано навчальну модель підготовки військовослужбовців до бойової роботи з артилерійськими боєприпасами. Розроблена модель забезпечує систематизацію знань, формалізацію алгоритмів прийняття рішень і поетапне формування професійних компетентностей військовослужбовців з підготовки артилерійських боєприпасів до бойового застосування. Однією з найважливіших складових моделі є алгоритм вибору підривника, який гарантує  чітку послідовність дій розрахунку, що критично важливо для зменшення кількості помилок членів розрахунку у стресових ситуаціях і підвищення їх безпеки.</w:t>
      </w:r>
    </w:p>
    <w:p w14:paraId="5CCCDE55" w14:textId="77777777" w:rsidR="00385184" w:rsidRPr="003B5892" w:rsidRDefault="00385184" w:rsidP="00023291">
      <w:pPr>
        <w:tabs>
          <w:tab w:val="left" w:pos="9638"/>
        </w:tabs>
        <w:spacing w:after="0" w:line="320" w:lineRule="exact"/>
        <w:ind w:firstLine="709"/>
        <w:jc w:val="both"/>
        <w:rPr>
          <w:rFonts w:ascii="Times New Roman" w:eastAsia="Aptos" w:hAnsi="Times New Roman" w:cs="Times New Roman"/>
          <w:sz w:val="28"/>
          <w:szCs w:val="28"/>
          <w:lang w:val="uk-UA"/>
        </w:rPr>
      </w:pPr>
      <w:r w:rsidRPr="003B5892">
        <w:rPr>
          <w:rFonts w:ascii="Times New Roman" w:eastAsia="Aptos" w:hAnsi="Times New Roman" w:cs="Times New Roman"/>
          <w:sz w:val="28"/>
          <w:szCs w:val="28"/>
          <w:lang w:val="uk-UA"/>
        </w:rPr>
        <w:t xml:space="preserve">Наступним етапом дослідження вбачається розробка інтерактивного цифрового посібника на основі запропонованої моделі. Це дозволить автоматизувати процес перевірки знань алгоритмів </w:t>
      </w:r>
      <w:r w:rsidRPr="003B5892">
        <w:rPr>
          <w:rFonts w:ascii="Times New Roman" w:eastAsia="Aptos" w:hAnsi="Times New Roman" w:cs="Times New Roman"/>
          <w:bCs/>
          <w:sz w:val="28"/>
          <w:szCs w:val="28"/>
          <w:lang w:val="uk-UA"/>
        </w:rPr>
        <w:t xml:space="preserve">підготовки військовослужбовців до бойової роботи з артилерійськими боєприпасами </w:t>
      </w:r>
      <w:r w:rsidRPr="003B5892">
        <w:rPr>
          <w:rFonts w:ascii="Times New Roman" w:eastAsia="Aptos" w:hAnsi="Times New Roman" w:cs="Times New Roman"/>
          <w:sz w:val="28"/>
          <w:szCs w:val="28"/>
          <w:lang w:val="uk-UA"/>
        </w:rPr>
        <w:t>та інтегрувати навчальний контент у програмне забезпечення планшетних комп’ютерів артилерійської розвідки.</w:t>
      </w:r>
    </w:p>
    <w:p w14:paraId="3A7A5BE4" w14:textId="77777777" w:rsidR="00385184" w:rsidRDefault="00385184" w:rsidP="00023291">
      <w:pPr>
        <w:tabs>
          <w:tab w:val="left" w:pos="9638"/>
        </w:tabs>
        <w:spacing w:after="0" w:line="320" w:lineRule="exact"/>
        <w:ind w:firstLine="709"/>
        <w:jc w:val="both"/>
        <w:rPr>
          <w:rFonts w:ascii="Times New Roman" w:eastAsia="Aptos" w:hAnsi="Times New Roman" w:cs="Times New Roman"/>
          <w:sz w:val="28"/>
          <w:szCs w:val="28"/>
          <w:lang w:val="uk-UA"/>
        </w:rPr>
      </w:pPr>
    </w:p>
    <w:p w14:paraId="760218DB" w14:textId="77777777" w:rsidR="001F540E" w:rsidRDefault="001F540E" w:rsidP="00023291">
      <w:pPr>
        <w:tabs>
          <w:tab w:val="left" w:pos="9638"/>
        </w:tabs>
        <w:spacing w:after="0" w:line="320" w:lineRule="exact"/>
        <w:ind w:firstLine="709"/>
        <w:jc w:val="both"/>
        <w:rPr>
          <w:rFonts w:ascii="Times New Roman" w:eastAsia="Aptos" w:hAnsi="Times New Roman" w:cs="Times New Roman"/>
          <w:sz w:val="28"/>
          <w:szCs w:val="28"/>
          <w:lang w:val="uk-UA"/>
        </w:rPr>
      </w:pPr>
    </w:p>
    <w:p w14:paraId="612986EB" w14:textId="77777777" w:rsidR="001F540E" w:rsidRPr="003B5892" w:rsidRDefault="001F540E" w:rsidP="00023291">
      <w:pPr>
        <w:tabs>
          <w:tab w:val="left" w:pos="9638"/>
        </w:tabs>
        <w:spacing w:after="0" w:line="320" w:lineRule="exact"/>
        <w:ind w:firstLine="709"/>
        <w:jc w:val="both"/>
        <w:rPr>
          <w:rFonts w:ascii="Times New Roman" w:eastAsia="Aptos" w:hAnsi="Times New Roman" w:cs="Times New Roman"/>
          <w:sz w:val="28"/>
          <w:szCs w:val="28"/>
          <w:lang w:val="uk-UA"/>
        </w:rPr>
      </w:pPr>
    </w:p>
    <w:p w14:paraId="0323FAB8" w14:textId="77777777" w:rsidR="00385184" w:rsidRPr="003B5892" w:rsidRDefault="00385184" w:rsidP="00023291">
      <w:pPr>
        <w:tabs>
          <w:tab w:val="left" w:pos="9638"/>
        </w:tabs>
        <w:spacing w:after="0" w:line="240" w:lineRule="auto"/>
        <w:ind w:firstLine="709"/>
        <w:jc w:val="center"/>
        <w:rPr>
          <w:rFonts w:ascii="Times New Roman" w:eastAsia="Aptos" w:hAnsi="Times New Roman" w:cs="Times New Roman"/>
          <w:b/>
          <w:bCs/>
          <w:sz w:val="24"/>
          <w:szCs w:val="24"/>
          <w:lang w:val="ru-RU"/>
        </w:rPr>
      </w:pPr>
      <w:r w:rsidRPr="003B5892">
        <w:rPr>
          <w:rFonts w:ascii="Times New Roman" w:eastAsia="Aptos" w:hAnsi="Times New Roman" w:cs="Times New Roman"/>
          <w:b/>
          <w:bCs/>
          <w:sz w:val="24"/>
          <w:szCs w:val="24"/>
          <w:lang w:val="ru-RU"/>
        </w:rPr>
        <w:lastRenderedPageBreak/>
        <w:t>ЛІТЕРАТУРА</w:t>
      </w:r>
    </w:p>
    <w:p w14:paraId="165623DC"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uk-UA"/>
        </w:rPr>
      </w:pPr>
      <w:r w:rsidRPr="003B5892">
        <w:rPr>
          <w:rFonts w:ascii="Times New Roman" w:eastAsia="Aptos" w:hAnsi="Times New Roman" w:cs="Times New Roman"/>
          <w:sz w:val="24"/>
          <w:szCs w:val="24"/>
          <w:lang w:val="uk-UA"/>
        </w:rPr>
        <w:t>1</w:t>
      </w:r>
      <w:r w:rsidRPr="003B5892">
        <w:rPr>
          <w:rFonts w:ascii="Times New Roman" w:eastAsia="Aptos" w:hAnsi="Times New Roman" w:cs="Times New Roman"/>
          <w:sz w:val="28"/>
          <w:szCs w:val="28"/>
          <w:lang w:val="uk-UA"/>
        </w:rPr>
        <w:t xml:space="preserve">. </w:t>
      </w:r>
      <w:r w:rsidRPr="003B5892">
        <w:rPr>
          <w:rFonts w:ascii="Times New Roman" w:eastAsia="Aptos" w:hAnsi="Times New Roman" w:cs="Times New Roman"/>
          <w:sz w:val="24"/>
          <w:szCs w:val="24"/>
          <w:lang w:val="uk-UA"/>
        </w:rPr>
        <w:t xml:space="preserve">Бойко О. Інтеграція теоретичної та практичної підготовки у військовій освіті: проблеми та перспективи. </w:t>
      </w:r>
      <w:r w:rsidRPr="003B5892">
        <w:rPr>
          <w:rFonts w:ascii="Times New Roman" w:eastAsia="Aptos" w:hAnsi="Times New Roman" w:cs="Times New Roman"/>
          <w:i/>
          <w:iCs/>
          <w:sz w:val="24"/>
          <w:szCs w:val="24"/>
          <w:lang w:val="uk-UA"/>
        </w:rPr>
        <w:t>Військова освіта</w:t>
      </w:r>
      <w:r w:rsidRPr="003B5892">
        <w:rPr>
          <w:rFonts w:ascii="Times New Roman" w:eastAsia="Aptos" w:hAnsi="Times New Roman" w:cs="Times New Roman"/>
          <w:sz w:val="24"/>
          <w:szCs w:val="24"/>
          <w:lang w:val="uk-UA"/>
        </w:rPr>
        <w:t>. 2020. № 1. С. 45–52.</w:t>
      </w:r>
    </w:p>
    <w:p w14:paraId="01AA7F8D"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uk-UA"/>
        </w:rPr>
      </w:pPr>
      <w:r w:rsidRPr="003B5892">
        <w:rPr>
          <w:rFonts w:ascii="Times New Roman" w:eastAsia="Aptos" w:hAnsi="Times New Roman" w:cs="Times New Roman"/>
          <w:sz w:val="24"/>
          <w:szCs w:val="24"/>
          <w:lang w:val="uk-UA"/>
        </w:rPr>
        <w:t xml:space="preserve">2. Герасименко В. Методичні засади формування професійних навичок військовослужбовців у системі бойової підготовки. </w:t>
      </w:r>
      <w:r w:rsidRPr="003B5892">
        <w:rPr>
          <w:rFonts w:ascii="Times New Roman" w:eastAsia="Aptos" w:hAnsi="Times New Roman" w:cs="Times New Roman"/>
          <w:i/>
          <w:iCs/>
          <w:sz w:val="24"/>
          <w:szCs w:val="24"/>
          <w:lang w:val="uk-UA"/>
        </w:rPr>
        <w:t>Збірник наукових праць Національної академії сухопутних військ.</w:t>
      </w:r>
      <w:r w:rsidRPr="003B5892">
        <w:rPr>
          <w:rFonts w:ascii="Times New Roman" w:eastAsia="Aptos" w:hAnsi="Times New Roman" w:cs="Times New Roman"/>
          <w:sz w:val="24"/>
          <w:szCs w:val="24"/>
          <w:lang w:val="uk-UA"/>
        </w:rPr>
        <w:t xml:space="preserve"> 2019. № 3. С. 112–118.</w:t>
      </w:r>
    </w:p>
    <w:p w14:paraId="04EBF96D"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uk-UA"/>
        </w:rPr>
      </w:pPr>
      <w:r w:rsidRPr="003B5892">
        <w:rPr>
          <w:rFonts w:ascii="Times New Roman" w:eastAsia="Aptos" w:hAnsi="Times New Roman" w:cs="Times New Roman"/>
          <w:sz w:val="24"/>
          <w:szCs w:val="24"/>
          <w:lang w:val="uk-UA"/>
        </w:rPr>
        <w:t xml:space="preserve">3. Сергієнко В. Теоретико-практичні аспекти підготовки фахівців артилерійського профілю. </w:t>
      </w:r>
      <w:r w:rsidRPr="003B5892">
        <w:rPr>
          <w:rFonts w:ascii="Times New Roman" w:eastAsia="Aptos" w:hAnsi="Times New Roman" w:cs="Times New Roman"/>
          <w:i/>
          <w:iCs/>
          <w:sz w:val="24"/>
          <w:szCs w:val="24"/>
          <w:lang w:val="uk-UA"/>
        </w:rPr>
        <w:t>Наука і оборона</w:t>
      </w:r>
      <w:r w:rsidRPr="003B5892">
        <w:rPr>
          <w:rFonts w:ascii="Times New Roman" w:eastAsia="Aptos" w:hAnsi="Times New Roman" w:cs="Times New Roman"/>
          <w:sz w:val="24"/>
          <w:szCs w:val="24"/>
          <w:lang w:val="uk-UA"/>
        </w:rPr>
        <w:t>. 2021. № 2. С. 67–74.</w:t>
      </w:r>
    </w:p>
    <w:p w14:paraId="6BCC7CBA"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uk-UA"/>
        </w:rPr>
      </w:pPr>
      <w:r w:rsidRPr="003B5892">
        <w:rPr>
          <w:rFonts w:ascii="Times New Roman" w:eastAsia="Aptos" w:hAnsi="Times New Roman" w:cs="Times New Roman"/>
          <w:sz w:val="24"/>
          <w:szCs w:val="24"/>
          <w:lang w:val="uk-UA"/>
        </w:rPr>
        <w:t xml:space="preserve">4. Коваль М. Тренажерні системи в підготовці артилерійських підрозділів: сучасний стан та перспективи. </w:t>
      </w:r>
      <w:r w:rsidRPr="003B5892">
        <w:rPr>
          <w:rFonts w:ascii="Times New Roman" w:eastAsia="Aptos" w:hAnsi="Times New Roman" w:cs="Times New Roman"/>
          <w:i/>
          <w:iCs/>
          <w:sz w:val="24"/>
          <w:szCs w:val="24"/>
          <w:lang w:val="uk-UA"/>
        </w:rPr>
        <w:t>Озброєння та військова техніка</w:t>
      </w:r>
      <w:r w:rsidRPr="003B5892">
        <w:rPr>
          <w:rFonts w:ascii="Times New Roman" w:eastAsia="Aptos" w:hAnsi="Times New Roman" w:cs="Times New Roman"/>
          <w:sz w:val="24"/>
          <w:szCs w:val="24"/>
          <w:lang w:val="uk-UA"/>
        </w:rPr>
        <w:t>. 2020. № 4. С. 89–96.</w:t>
      </w:r>
    </w:p>
    <w:p w14:paraId="1ED9C9E6"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uk-UA"/>
        </w:rPr>
      </w:pPr>
      <w:r w:rsidRPr="003B5892">
        <w:rPr>
          <w:rFonts w:ascii="Times New Roman" w:eastAsia="Aptos" w:hAnsi="Times New Roman" w:cs="Times New Roman"/>
          <w:sz w:val="24"/>
          <w:szCs w:val="24"/>
          <w:lang w:val="uk-UA"/>
        </w:rPr>
        <w:t xml:space="preserve">5. Семенченко А. Моделювання бойових процесів у системі військової освіти: методичні підходи. </w:t>
      </w:r>
      <w:r w:rsidRPr="003B5892">
        <w:rPr>
          <w:rFonts w:ascii="Times New Roman" w:eastAsia="Aptos" w:hAnsi="Times New Roman" w:cs="Times New Roman"/>
          <w:i/>
          <w:iCs/>
          <w:sz w:val="24"/>
          <w:szCs w:val="24"/>
          <w:lang w:val="uk-UA"/>
        </w:rPr>
        <w:t>Вісник Національного університету оборони України</w:t>
      </w:r>
      <w:r w:rsidRPr="003B5892">
        <w:rPr>
          <w:rFonts w:ascii="Times New Roman" w:eastAsia="Aptos" w:hAnsi="Times New Roman" w:cs="Times New Roman"/>
          <w:sz w:val="24"/>
          <w:szCs w:val="24"/>
          <w:lang w:val="uk-UA"/>
        </w:rPr>
        <w:t>. 2018. № 1. С. 55–62.</w:t>
      </w:r>
    </w:p>
    <w:p w14:paraId="24233B1F"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uk-UA"/>
        </w:rPr>
      </w:pPr>
      <w:r w:rsidRPr="003B5892">
        <w:rPr>
          <w:rFonts w:ascii="Times New Roman" w:eastAsia="Aptos" w:hAnsi="Times New Roman" w:cs="Times New Roman"/>
          <w:sz w:val="24"/>
          <w:szCs w:val="24"/>
          <w:lang w:val="uk-UA"/>
        </w:rPr>
        <w:t xml:space="preserve">6. Гордієнко В. Використання 3D-моделювання у вивченні складних технічних систем. </w:t>
      </w:r>
      <w:r w:rsidRPr="003B5892">
        <w:rPr>
          <w:rFonts w:ascii="Times New Roman" w:eastAsia="Aptos" w:hAnsi="Times New Roman" w:cs="Times New Roman"/>
          <w:i/>
          <w:iCs/>
          <w:sz w:val="24"/>
          <w:szCs w:val="24"/>
          <w:lang w:val="uk-UA"/>
        </w:rPr>
        <w:t>Інженерія та технічна освіта.</w:t>
      </w:r>
      <w:r w:rsidRPr="003B5892">
        <w:rPr>
          <w:rFonts w:ascii="Times New Roman" w:eastAsia="Aptos" w:hAnsi="Times New Roman" w:cs="Times New Roman"/>
          <w:sz w:val="24"/>
          <w:szCs w:val="24"/>
          <w:lang w:val="uk-UA"/>
        </w:rPr>
        <w:t xml:space="preserve"> 2022. № 2. С. 101–108.</w:t>
      </w:r>
    </w:p>
    <w:p w14:paraId="769FE16F"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uk-UA"/>
        </w:rPr>
      </w:pPr>
      <w:r w:rsidRPr="003B5892">
        <w:rPr>
          <w:rFonts w:ascii="Times New Roman" w:eastAsia="Aptos" w:hAnsi="Times New Roman" w:cs="Times New Roman"/>
          <w:sz w:val="24"/>
          <w:szCs w:val="24"/>
          <w:lang w:val="uk-UA"/>
        </w:rPr>
        <w:t>7. Кравченко О. Вибухові речовини та засоби ініціювання: навчальний посібник. Київ: НАОУ, 2017. 256 с.</w:t>
      </w:r>
    </w:p>
    <w:p w14:paraId="6E9862F9"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uk-UA"/>
        </w:rPr>
      </w:pPr>
      <w:r w:rsidRPr="003B5892">
        <w:rPr>
          <w:rFonts w:ascii="Times New Roman" w:eastAsia="Aptos" w:hAnsi="Times New Roman" w:cs="Times New Roman"/>
          <w:sz w:val="24"/>
          <w:szCs w:val="24"/>
          <w:lang w:val="uk-UA"/>
        </w:rPr>
        <w:t>8. Дерев’янчук  А. Й. Основи будови артилерійських гармат і боєприпасів / А. Й. Дерев’янчук. – Суми :  СумДУ, 2011. – 716 с.</w:t>
      </w:r>
    </w:p>
    <w:p w14:paraId="6719C9D7"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uk-UA"/>
        </w:rPr>
      </w:pPr>
      <w:r w:rsidRPr="003B5892">
        <w:rPr>
          <w:rFonts w:ascii="Times New Roman" w:eastAsia="Aptos" w:hAnsi="Times New Roman" w:cs="Times New Roman"/>
          <w:sz w:val="24"/>
          <w:szCs w:val="24"/>
          <w:lang w:val="uk-UA"/>
        </w:rPr>
        <w:t>9. Петренко С. Артилерійські боєприпаси: конструкція, класифікація, застосування. Львів: АСВ, 2019. 312 с.</w:t>
      </w:r>
    </w:p>
    <w:p w14:paraId="63611FC9"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uk-UA"/>
        </w:rPr>
      </w:pPr>
      <w:r w:rsidRPr="003B5892">
        <w:rPr>
          <w:rFonts w:ascii="Times New Roman" w:eastAsia="Aptos" w:hAnsi="Times New Roman" w:cs="Times New Roman"/>
          <w:sz w:val="24"/>
          <w:szCs w:val="24"/>
          <w:lang w:val="uk-UA"/>
        </w:rPr>
        <w:t>10. Дьяченко В. Підривники артилерійських боєприпасів: будова та принципи роботи. Харків: ХНУПС, 2018. 204 с.</w:t>
      </w:r>
    </w:p>
    <w:p w14:paraId="200D4454"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uk-UA"/>
        </w:rPr>
      </w:pPr>
      <w:r w:rsidRPr="003B5892">
        <w:rPr>
          <w:rFonts w:ascii="Times New Roman" w:eastAsia="Aptos" w:hAnsi="Times New Roman" w:cs="Times New Roman"/>
          <w:sz w:val="24"/>
          <w:szCs w:val="24"/>
          <w:lang w:val="uk-UA"/>
        </w:rPr>
        <w:t xml:space="preserve">11. Ткаченко П. Компетентнісний підхід у військовій освіті: теоретичні засади та практична реалізація. </w:t>
      </w:r>
      <w:r w:rsidRPr="003B5892">
        <w:rPr>
          <w:rFonts w:ascii="Times New Roman" w:eastAsia="Aptos" w:hAnsi="Times New Roman" w:cs="Times New Roman"/>
          <w:i/>
          <w:iCs/>
          <w:sz w:val="24"/>
          <w:szCs w:val="24"/>
          <w:lang w:val="uk-UA"/>
        </w:rPr>
        <w:t>Педагогіка і психологія професійної освіти</w:t>
      </w:r>
      <w:r w:rsidRPr="003B5892">
        <w:rPr>
          <w:rFonts w:ascii="Times New Roman" w:eastAsia="Aptos" w:hAnsi="Times New Roman" w:cs="Times New Roman"/>
          <w:sz w:val="24"/>
          <w:szCs w:val="24"/>
          <w:lang w:val="uk-UA"/>
        </w:rPr>
        <w:t>. 2020. № 3. С. 23–31.</w:t>
      </w:r>
    </w:p>
    <w:p w14:paraId="380309FB"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uk-UA"/>
        </w:rPr>
      </w:pPr>
      <w:r w:rsidRPr="003B5892">
        <w:rPr>
          <w:rFonts w:ascii="Times New Roman" w:eastAsia="Aptos" w:hAnsi="Times New Roman" w:cs="Times New Roman"/>
          <w:sz w:val="24"/>
          <w:szCs w:val="24"/>
          <w:lang w:val="uk-UA"/>
        </w:rPr>
        <w:t xml:space="preserve">12. Мороз О. Педагогічні моделі підготовки військових фахівців: сучасний стан та напрями вдосконалення. </w:t>
      </w:r>
      <w:r w:rsidRPr="003B5892">
        <w:rPr>
          <w:rFonts w:ascii="Times New Roman" w:eastAsia="Aptos" w:hAnsi="Times New Roman" w:cs="Times New Roman"/>
          <w:i/>
          <w:iCs/>
          <w:sz w:val="24"/>
          <w:szCs w:val="24"/>
          <w:lang w:val="uk-UA"/>
        </w:rPr>
        <w:t>Освітні технології.</w:t>
      </w:r>
      <w:r w:rsidRPr="003B5892">
        <w:rPr>
          <w:rFonts w:ascii="Times New Roman" w:eastAsia="Aptos" w:hAnsi="Times New Roman" w:cs="Times New Roman"/>
          <w:sz w:val="24"/>
          <w:szCs w:val="24"/>
          <w:lang w:val="uk-UA"/>
        </w:rPr>
        <w:t xml:space="preserve"> 2021. № 4. С. 41–49.</w:t>
      </w:r>
    </w:p>
    <w:p w14:paraId="67A2B640"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en-GB"/>
        </w:rPr>
      </w:pPr>
      <w:r w:rsidRPr="003B5892">
        <w:rPr>
          <w:rFonts w:ascii="Times New Roman" w:eastAsia="Aptos" w:hAnsi="Times New Roman" w:cs="Times New Roman"/>
          <w:sz w:val="24"/>
          <w:szCs w:val="24"/>
          <w:lang w:val="en-GB"/>
        </w:rPr>
        <w:t>13. Zayac Z. Artillery Effects and Training Gaps: A Systematic Review. Journal of Military Science. 2019. Vol. 7(2). P. 55–68.</w:t>
      </w:r>
    </w:p>
    <w:p w14:paraId="6836ADCF"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en-GB"/>
        </w:rPr>
      </w:pPr>
      <w:r w:rsidRPr="003B5892">
        <w:rPr>
          <w:rFonts w:ascii="Times New Roman" w:eastAsia="Aptos" w:hAnsi="Times New Roman" w:cs="Times New Roman"/>
          <w:sz w:val="24"/>
          <w:szCs w:val="24"/>
          <w:lang w:val="en-GB"/>
        </w:rPr>
        <w:t xml:space="preserve">14. Bloom D., Hamilton R., Bishop T. Simulation-Based Training for Artillery Units: Integrating Theory and Practice. </w:t>
      </w:r>
      <w:r w:rsidRPr="003B5892">
        <w:rPr>
          <w:rFonts w:ascii="Times New Roman" w:eastAsia="Aptos" w:hAnsi="Times New Roman" w:cs="Times New Roman"/>
          <w:i/>
          <w:iCs/>
          <w:sz w:val="24"/>
          <w:szCs w:val="24"/>
          <w:lang w:val="en-GB"/>
        </w:rPr>
        <w:t>Defense Technology Review</w:t>
      </w:r>
      <w:r w:rsidRPr="003B5892">
        <w:rPr>
          <w:rFonts w:ascii="Times New Roman" w:eastAsia="Aptos" w:hAnsi="Times New Roman" w:cs="Times New Roman"/>
          <w:sz w:val="24"/>
          <w:szCs w:val="24"/>
          <w:lang w:val="en-GB"/>
        </w:rPr>
        <w:t>. 2020. Vol. 12(1). P. 33–47.</w:t>
      </w:r>
    </w:p>
    <w:p w14:paraId="14B6C202"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en-GB"/>
        </w:rPr>
      </w:pPr>
      <w:r w:rsidRPr="003B5892">
        <w:rPr>
          <w:rFonts w:ascii="Times New Roman" w:eastAsia="Aptos" w:hAnsi="Times New Roman" w:cs="Times New Roman"/>
          <w:sz w:val="24"/>
          <w:szCs w:val="24"/>
          <w:lang w:val="en-GB"/>
        </w:rPr>
        <w:t xml:space="preserve">15. Gouveia L., Freitas M. Trends in Modern Artillery Systems and Implications for Training. </w:t>
      </w:r>
      <w:r w:rsidRPr="003B5892">
        <w:rPr>
          <w:rFonts w:ascii="Times New Roman" w:eastAsia="Aptos" w:hAnsi="Times New Roman" w:cs="Times New Roman"/>
          <w:i/>
          <w:iCs/>
          <w:sz w:val="24"/>
          <w:szCs w:val="24"/>
          <w:lang w:val="en-GB"/>
        </w:rPr>
        <w:t>International Journal of Defense Engineering</w:t>
      </w:r>
      <w:r w:rsidRPr="003B5892">
        <w:rPr>
          <w:rFonts w:ascii="Times New Roman" w:eastAsia="Aptos" w:hAnsi="Times New Roman" w:cs="Times New Roman"/>
          <w:sz w:val="24"/>
          <w:szCs w:val="24"/>
          <w:lang w:val="en-GB"/>
        </w:rPr>
        <w:t>. 2021. Vol. 9(3). P. 112–126.</w:t>
      </w:r>
    </w:p>
    <w:p w14:paraId="423D781B"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en-GB"/>
        </w:rPr>
      </w:pPr>
      <w:r w:rsidRPr="003B5892">
        <w:rPr>
          <w:rFonts w:ascii="Times New Roman" w:eastAsia="Aptos" w:hAnsi="Times New Roman" w:cs="Times New Roman"/>
          <w:sz w:val="24"/>
          <w:szCs w:val="24"/>
          <w:lang w:val="en-GB"/>
        </w:rPr>
        <w:t xml:space="preserve">16. Ren J., Li S., Zhao H. Digital Modeling Tools in Artillery Training: Opportunities and Limitations. </w:t>
      </w:r>
      <w:r w:rsidRPr="003B5892">
        <w:rPr>
          <w:rFonts w:ascii="Times New Roman" w:eastAsia="Aptos" w:hAnsi="Times New Roman" w:cs="Times New Roman"/>
          <w:i/>
          <w:iCs/>
          <w:sz w:val="24"/>
          <w:szCs w:val="24"/>
          <w:lang w:val="en-GB"/>
        </w:rPr>
        <w:t>Military Technology and Simulation</w:t>
      </w:r>
      <w:r w:rsidRPr="003B5892">
        <w:rPr>
          <w:rFonts w:ascii="Times New Roman" w:eastAsia="Aptos" w:hAnsi="Times New Roman" w:cs="Times New Roman"/>
          <w:sz w:val="24"/>
          <w:szCs w:val="24"/>
          <w:lang w:val="en-GB"/>
        </w:rPr>
        <w:t>. 2022. Vol. 5(4). P. 77–89.</w:t>
      </w:r>
    </w:p>
    <w:p w14:paraId="4B35722F"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en-GB"/>
        </w:rPr>
      </w:pPr>
      <w:r w:rsidRPr="003B5892">
        <w:rPr>
          <w:rFonts w:ascii="Times New Roman" w:eastAsia="Aptos" w:hAnsi="Times New Roman" w:cs="Times New Roman"/>
          <w:sz w:val="24"/>
          <w:szCs w:val="24"/>
          <w:lang w:val="en-GB"/>
        </w:rPr>
        <w:t xml:space="preserve">17. Narimane A., El-Masri K., Haddad R. Engineering Complexity of Modern Artillery Ammunition: Training Challenges. </w:t>
      </w:r>
      <w:r w:rsidRPr="003B5892">
        <w:rPr>
          <w:rFonts w:ascii="Times New Roman" w:eastAsia="Aptos" w:hAnsi="Times New Roman" w:cs="Times New Roman"/>
          <w:i/>
          <w:iCs/>
          <w:sz w:val="24"/>
          <w:szCs w:val="24"/>
          <w:lang w:val="en-GB"/>
        </w:rPr>
        <w:t xml:space="preserve">Applied Ballistics and Engineering. </w:t>
      </w:r>
      <w:r w:rsidRPr="003B5892">
        <w:rPr>
          <w:rFonts w:ascii="Times New Roman" w:eastAsia="Aptos" w:hAnsi="Times New Roman" w:cs="Times New Roman"/>
          <w:sz w:val="24"/>
          <w:szCs w:val="24"/>
          <w:lang w:val="en-GB"/>
        </w:rPr>
        <w:t>2020. Vol. 14(2). P. 91–103.</w:t>
      </w:r>
    </w:p>
    <w:p w14:paraId="5C6A4EC3"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en-GB"/>
        </w:rPr>
      </w:pPr>
      <w:r w:rsidRPr="003B5892">
        <w:rPr>
          <w:rFonts w:ascii="Times New Roman" w:eastAsia="Aptos" w:hAnsi="Times New Roman" w:cs="Times New Roman"/>
          <w:sz w:val="24"/>
          <w:szCs w:val="24"/>
          <w:lang w:val="en-GB"/>
        </w:rPr>
        <w:t>18. NATO AArtyP-5. Artillery Procedures. NATO Standardization Office, 2019.</w:t>
      </w:r>
    </w:p>
    <w:p w14:paraId="755C78EF"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en-GB"/>
        </w:rPr>
      </w:pPr>
      <w:r w:rsidRPr="003B5892">
        <w:rPr>
          <w:rFonts w:ascii="Times New Roman" w:eastAsia="Aptos" w:hAnsi="Times New Roman" w:cs="Times New Roman"/>
          <w:sz w:val="24"/>
          <w:szCs w:val="24"/>
          <w:lang w:val="en-GB"/>
        </w:rPr>
        <w:t>19. FM 3-09. Field Artillery Operations and Fire Support. U.S. Army, 2020.</w:t>
      </w:r>
    </w:p>
    <w:p w14:paraId="779870D1"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en-GB"/>
        </w:rPr>
      </w:pPr>
      <w:r w:rsidRPr="003B5892">
        <w:rPr>
          <w:rFonts w:ascii="Times New Roman" w:eastAsia="Aptos" w:hAnsi="Times New Roman" w:cs="Times New Roman"/>
          <w:sz w:val="24"/>
          <w:szCs w:val="24"/>
          <w:lang w:val="en-GB"/>
        </w:rPr>
        <w:t>20. STANAG 2934. Artillery Ammunition: Safety and Handling. NATO Standardization Office, 2018.</w:t>
      </w:r>
    </w:p>
    <w:p w14:paraId="2E2CF5D7" w14:textId="77777777" w:rsidR="00385184" w:rsidRPr="003B5892" w:rsidRDefault="00385184" w:rsidP="00023291">
      <w:pPr>
        <w:tabs>
          <w:tab w:val="left" w:pos="9638"/>
        </w:tabs>
        <w:spacing w:after="0" w:line="240" w:lineRule="auto"/>
        <w:ind w:firstLine="709"/>
        <w:jc w:val="both"/>
        <w:rPr>
          <w:rFonts w:ascii="Times New Roman" w:eastAsia="Aptos" w:hAnsi="Times New Roman" w:cs="Times New Roman"/>
          <w:sz w:val="24"/>
          <w:szCs w:val="24"/>
          <w:lang w:val="en-GB"/>
        </w:rPr>
      </w:pPr>
    </w:p>
    <w:p w14:paraId="0DE012F3" w14:textId="77777777" w:rsidR="00385184" w:rsidRPr="003B5892" w:rsidRDefault="00385184" w:rsidP="00023291">
      <w:pPr>
        <w:tabs>
          <w:tab w:val="left" w:pos="9638"/>
        </w:tabs>
        <w:spacing w:after="0" w:line="240" w:lineRule="auto"/>
        <w:ind w:firstLine="709"/>
        <w:jc w:val="center"/>
        <w:rPr>
          <w:rFonts w:ascii="Times New Roman" w:eastAsia="Calibri" w:hAnsi="Times New Roman" w:cs="Times New Roman"/>
          <w:b/>
          <w:bCs/>
          <w:sz w:val="24"/>
          <w:szCs w:val="24"/>
          <w:lang w:val="uk-UA"/>
        </w:rPr>
      </w:pPr>
    </w:p>
    <w:p w14:paraId="68439F95" w14:textId="77777777" w:rsidR="00385184" w:rsidRPr="003B5892" w:rsidRDefault="00385184" w:rsidP="001F540E">
      <w:pPr>
        <w:tabs>
          <w:tab w:val="left" w:pos="9638"/>
        </w:tabs>
        <w:spacing w:after="0" w:line="240" w:lineRule="auto"/>
        <w:jc w:val="center"/>
        <w:rPr>
          <w:rFonts w:ascii="Times New Roman" w:eastAsia="Calibri" w:hAnsi="Times New Roman" w:cs="Times New Roman"/>
          <w:b/>
          <w:bCs/>
          <w:sz w:val="24"/>
          <w:szCs w:val="24"/>
        </w:rPr>
      </w:pPr>
      <w:r w:rsidRPr="003B5892">
        <w:rPr>
          <w:rFonts w:ascii="Times New Roman" w:eastAsia="Calibri" w:hAnsi="Times New Roman" w:cs="Times New Roman"/>
          <w:b/>
          <w:bCs/>
          <w:sz w:val="24"/>
          <w:szCs w:val="24"/>
        </w:rPr>
        <w:t>REFERENCES</w:t>
      </w:r>
    </w:p>
    <w:p w14:paraId="054E16E3"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sz w:val="24"/>
          <w:szCs w:val="24"/>
        </w:rPr>
      </w:pPr>
      <w:r w:rsidRPr="003B5892">
        <w:rPr>
          <w:rFonts w:ascii="Times New Roman" w:eastAsia="Calibri" w:hAnsi="Times New Roman" w:cs="Times New Roman"/>
          <w:sz w:val="24"/>
          <w:szCs w:val="24"/>
        </w:rPr>
        <w:t>1. Boiko O. (2020). Іntegratsіya teoretichnoї ta praktichnoї pіdgotovki u vіiskovіi osvіtі: problemi ta perspektivi. [The integration of theoretical and practical training in military education: problems and prospects]. Vіiskova osvіta. № 1. S. 45–52.</w:t>
      </w:r>
      <w:r w:rsidRPr="003B5892">
        <w:rPr>
          <w:rFonts w:ascii="Calibri" w:eastAsia="Calibri" w:hAnsi="Calibri" w:cs="Times New Roman"/>
          <w:sz w:val="24"/>
          <w:szCs w:val="24"/>
        </w:rPr>
        <w:t xml:space="preserve"> </w:t>
      </w:r>
      <w:r w:rsidRPr="003B5892">
        <w:rPr>
          <w:rFonts w:ascii="Times New Roman" w:eastAsia="Calibri" w:hAnsi="Times New Roman" w:cs="Times New Roman"/>
          <w:sz w:val="24"/>
          <w:szCs w:val="24"/>
        </w:rPr>
        <w:t>(in Ukrainian).</w:t>
      </w:r>
    </w:p>
    <w:p w14:paraId="1FD0AA54"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sz w:val="24"/>
          <w:szCs w:val="24"/>
        </w:rPr>
      </w:pPr>
      <w:r w:rsidRPr="003B5892">
        <w:rPr>
          <w:rFonts w:ascii="Times New Roman" w:eastAsia="Calibri" w:hAnsi="Times New Roman" w:cs="Times New Roman"/>
          <w:sz w:val="24"/>
          <w:szCs w:val="24"/>
        </w:rPr>
        <w:t>2. Gerasimenko V. (2019). Metodichnі zasadi formuvannya profesіinikh navichok vіiskovosluzhbovtsіv u sistemі boiovoї pіdgotovki. [Methodological principles for the formation of professional skills of military personnel in the combat training system]. Zbіrnik naukovikh prats Natsіonalnoї akademії sukhoputnikh vіisk. № 3. S. 112–118. (in Ukrainian).</w:t>
      </w:r>
    </w:p>
    <w:p w14:paraId="23232445"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sz w:val="24"/>
          <w:szCs w:val="24"/>
        </w:rPr>
      </w:pPr>
      <w:r w:rsidRPr="003B5892">
        <w:rPr>
          <w:rFonts w:ascii="Times New Roman" w:eastAsia="Calibri" w:hAnsi="Times New Roman" w:cs="Times New Roman"/>
          <w:sz w:val="24"/>
          <w:szCs w:val="24"/>
        </w:rPr>
        <w:lastRenderedPageBreak/>
        <w:t>3. Sergієnko V. (2021). Teoretiko-praktichnі aspekti pіdgotovki fakhіvtsіv artilerіiskogo profіlyu. [Theoretical and practical aspects of training artillery specialists]. Nauka і oborona. № 2. S. 67–74. (in Ukrainian).</w:t>
      </w:r>
    </w:p>
    <w:p w14:paraId="1633370C"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sz w:val="24"/>
          <w:szCs w:val="24"/>
        </w:rPr>
      </w:pPr>
      <w:r w:rsidRPr="003B5892">
        <w:rPr>
          <w:rFonts w:ascii="Times New Roman" w:eastAsia="Calibri" w:hAnsi="Times New Roman" w:cs="Times New Roman"/>
          <w:sz w:val="24"/>
          <w:szCs w:val="24"/>
        </w:rPr>
        <w:t>4. Koval M. (2020). Trenazhernі sistemi v pіdgotovtsі artilerіiskikh pіdrozdіlіv: suchasnii stan ta perspektivi. [Training systems in the training of artillery units: current status and prospects]. Ozbroєnnya ta vіiskova tekhnіka. № 4. S. 89–96. (in Ukrainian).</w:t>
      </w:r>
    </w:p>
    <w:p w14:paraId="45D381E1"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sz w:val="24"/>
          <w:szCs w:val="24"/>
        </w:rPr>
      </w:pPr>
      <w:r w:rsidRPr="003B5892">
        <w:rPr>
          <w:rFonts w:ascii="Times New Roman" w:eastAsia="Calibri" w:hAnsi="Times New Roman" w:cs="Times New Roman"/>
          <w:sz w:val="24"/>
          <w:szCs w:val="24"/>
        </w:rPr>
        <w:t>5. Semenchenko A. (2018). Modelyuvannya boiovikh protsesіv u sistemі vіiskovoї osvіti: metodichnі pіdkhodi. [Modeling combat processes in the military education system: methodological approaches]. Vіsnik Natsіonalnogo unіversitetu oboroni Ukraїni. № 1. S. 55–62. (in Ukrainian).</w:t>
      </w:r>
    </w:p>
    <w:p w14:paraId="5E2A6942"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sz w:val="24"/>
          <w:szCs w:val="24"/>
        </w:rPr>
      </w:pPr>
      <w:r w:rsidRPr="003B5892">
        <w:rPr>
          <w:rFonts w:ascii="Times New Roman" w:eastAsia="Calibri" w:hAnsi="Times New Roman" w:cs="Times New Roman"/>
          <w:sz w:val="24"/>
          <w:szCs w:val="24"/>
        </w:rPr>
        <w:t>6. Gordієnko V. (2022). Vikoristannya 3D-modelyuvannya u vivchennі skladnikh tekhnіchnikh sistem. [Using 3D modeling in the study of complex technical systems]. Іnzhenerіya ta tekhnіchna osvіta. № 2. S. 101–108. (in Ukrainian).</w:t>
      </w:r>
    </w:p>
    <w:p w14:paraId="1C14DE9F"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sz w:val="24"/>
          <w:szCs w:val="24"/>
        </w:rPr>
      </w:pPr>
      <w:r w:rsidRPr="003B5892">
        <w:rPr>
          <w:rFonts w:ascii="Times New Roman" w:eastAsia="Calibri" w:hAnsi="Times New Roman" w:cs="Times New Roman"/>
          <w:sz w:val="24"/>
          <w:szCs w:val="24"/>
        </w:rPr>
        <w:t>7. Kravchenko O.  (2017). Vibukhovі rechovini ta zasobi іnіtsіyuvannya: navchalnii posіbnik. [Explosives and Initiators: A Study Guide]. Kiїv: NAOU. 256 s. (in Ukrainian).</w:t>
      </w:r>
    </w:p>
    <w:p w14:paraId="67AD44D6"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sz w:val="24"/>
          <w:szCs w:val="24"/>
        </w:rPr>
      </w:pPr>
      <w:r w:rsidRPr="003B5892">
        <w:rPr>
          <w:rFonts w:ascii="Times New Roman" w:eastAsia="Calibri" w:hAnsi="Times New Roman" w:cs="Times New Roman"/>
          <w:sz w:val="24"/>
          <w:szCs w:val="24"/>
        </w:rPr>
        <w:t>8. Derev’yanchuk  A. Y. (2011). Osnovi budovi artilerіiskikh garmat і boєpripasіv Fundamentals of the structure of artillery guns and ammunition. [Fundamentals of the structure of artillery guns and ammunition] / A. Y. Derev’yanchuk. Sumi:  SumDU. 716 s. (in Ukrainian).</w:t>
      </w:r>
    </w:p>
    <w:p w14:paraId="7D36C617"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sz w:val="24"/>
          <w:szCs w:val="24"/>
        </w:rPr>
      </w:pPr>
      <w:r w:rsidRPr="003B5892">
        <w:rPr>
          <w:rFonts w:ascii="Times New Roman" w:eastAsia="Calibri" w:hAnsi="Times New Roman" w:cs="Times New Roman"/>
          <w:sz w:val="24"/>
          <w:szCs w:val="24"/>
        </w:rPr>
        <w:t>9.Petrenko S. (2019). Artilerіiskі boєpripasi: konstruktsіya, klasifіkatsіya, zastosuvannya. [Artillery ammunition: design, classification, application]. Lvіv: ASV. 312 s. (in Ukrainian).</w:t>
      </w:r>
    </w:p>
    <w:p w14:paraId="395A6654"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sz w:val="24"/>
          <w:szCs w:val="24"/>
        </w:rPr>
      </w:pPr>
      <w:r w:rsidRPr="003B5892">
        <w:rPr>
          <w:rFonts w:ascii="Times New Roman" w:eastAsia="Calibri" w:hAnsi="Times New Roman" w:cs="Times New Roman"/>
          <w:sz w:val="24"/>
          <w:szCs w:val="24"/>
        </w:rPr>
        <w:t>10. Dyachenko V. (2018). Pіdrivniki artilerіiskikh boєpripasіv: budova ta printsipi roboti. [Artillery ammunition fuses: structure and principles of operation]. Kharkіv: KhNUPS. 204 s. (in Ukrainian).</w:t>
      </w:r>
    </w:p>
    <w:p w14:paraId="5C1475A9"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sz w:val="24"/>
          <w:szCs w:val="24"/>
        </w:rPr>
      </w:pPr>
      <w:r w:rsidRPr="003B5892">
        <w:rPr>
          <w:rFonts w:ascii="Times New Roman" w:eastAsia="Calibri" w:hAnsi="Times New Roman" w:cs="Times New Roman"/>
          <w:sz w:val="24"/>
          <w:szCs w:val="24"/>
        </w:rPr>
        <w:t>11. Tkachenko P. (2020). Kompetentnіsnii pіdkhіd u vіiskovіi osvіtі: teoretichnі zasadi ta praktichna realіzatsіya. Pedagogіka і psikhologіya profesіinoї osvіti. [Competency-based approach in military education: theoretical foundations and practical implementation]. № 3. S. 23–31. (in Ukrainian).</w:t>
      </w:r>
    </w:p>
    <w:p w14:paraId="17F2C9BC"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sz w:val="24"/>
          <w:szCs w:val="24"/>
        </w:rPr>
      </w:pPr>
      <w:r w:rsidRPr="003B5892">
        <w:rPr>
          <w:rFonts w:ascii="Times New Roman" w:eastAsia="Calibri" w:hAnsi="Times New Roman" w:cs="Times New Roman"/>
          <w:sz w:val="24"/>
          <w:szCs w:val="24"/>
        </w:rPr>
        <w:t>12. Moroz O. (2021). Pedagogіchnі modelі pіdgotovki vіiskovikh fakhіvtsіv: suchasnii stan ta napryami vdoskonalennya. [Pedagogical models of training military specialists: current state and directions for improvement]. Osvіtnі tekhnologії. № 4. S. 41–49. (in Ukrainian).</w:t>
      </w:r>
    </w:p>
    <w:p w14:paraId="5831F601"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sz w:val="24"/>
          <w:szCs w:val="24"/>
        </w:rPr>
      </w:pPr>
      <w:r w:rsidRPr="003B5892">
        <w:rPr>
          <w:rFonts w:ascii="Times New Roman" w:eastAsia="Calibri" w:hAnsi="Times New Roman" w:cs="Times New Roman"/>
          <w:sz w:val="24"/>
          <w:szCs w:val="24"/>
        </w:rPr>
        <w:t>13. Zayac Z. Artillery Effects and Training Gaps: A Systematic Review. Journal of Military Science. 2019. Vol. 7(2). P. 55–68.</w:t>
      </w:r>
    </w:p>
    <w:p w14:paraId="0FB773DC"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sz w:val="24"/>
          <w:szCs w:val="24"/>
        </w:rPr>
      </w:pPr>
      <w:r w:rsidRPr="003B5892">
        <w:rPr>
          <w:rFonts w:ascii="Times New Roman" w:eastAsia="Calibri" w:hAnsi="Times New Roman" w:cs="Times New Roman"/>
          <w:sz w:val="24"/>
          <w:szCs w:val="24"/>
        </w:rPr>
        <w:t>14. Bloom D., Hamilton R., Bishop T. Simulation-Based Training for Artillery Units: Integrating Theory and Practice. Defense Technology Review. 2020. Vol. 12(1). P. 33–47.</w:t>
      </w:r>
    </w:p>
    <w:p w14:paraId="0BE47D31"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sz w:val="24"/>
          <w:szCs w:val="24"/>
        </w:rPr>
      </w:pPr>
      <w:r w:rsidRPr="003B5892">
        <w:rPr>
          <w:rFonts w:ascii="Times New Roman" w:eastAsia="Calibri" w:hAnsi="Times New Roman" w:cs="Times New Roman"/>
          <w:sz w:val="24"/>
          <w:szCs w:val="24"/>
        </w:rPr>
        <w:t>15. Gouveia L., Freitas M. Trends in Modern Artillery Systems and Implications for Training. International Journal of Defense Engineering. 2021. Vol. 9(3). P. 112–126.</w:t>
      </w:r>
    </w:p>
    <w:p w14:paraId="57A3721A"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sz w:val="24"/>
          <w:szCs w:val="24"/>
        </w:rPr>
      </w:pPr>
      <w:r w:rsidRPr="003B5892">
        <w:rPr>
          <w:rFonts w:ascii="Times New Roman" w:eastAsia="Calibri" w:hAnsi="Times New Roman" w:cs="Times New Roman"/>
          <w:sz w:val="24"/>
          <w:szCs w:val="24"/>
        </w:rPr>
        <w:t>16. Ren J., Li S., Zhao H. Digital Modeling Tools in Artillery Training: Opportunities and Limitations. Military Technology and Simulation. 2022. Vol. 5(4). P. 77–89.</w:t>
      </w:r>
    </w:p>
    <w:p w14:paraId="345D3D37"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sz w:val="24"/>
          <w:szCs w:val="24"/>
        </w:rPr>
      </w:pPr>
      <w:r w:rsidRPr="003B5892">
        <w:rPr>
          <w:rFonts w:ascii="Times New Roman" w:eastAsia="Calibri" w:hAnsi="Times New Roman" w:cs="Times New Roman"/>
          <w:sz w:val="24"/>
          <w:szCs w:val="24"/>
        </w:rPr>
        <w:t>17. Narimane A., El-Masri K., Haddad R. Engineering Complexity of Modern Artillery Ammunition: Training Challenges. Applied Ballistics and Engineering. 2020. Vol. 14(2). P. 91–103.</w:t>
      </w:r>
    </w:p>
    <w:p w14:paraId="780244CA"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sz w:val="24"/>
          <w:szCs w:val="24"/>
        </w:rPr>
      </w:pPr>
      <w:r w:rsidRPr="003B5892">
        <w:rPr>
          <w:rFonts w:ascii="Times New Roman" w:eastAsia="Calibri" w:hAnsi="Times New Roman" w:cs="Times New Roman"/>
          <w:sz w:val="24"/>
          <w:szCs w:val="24"/>
        </w:rPr>
        <w:t>18. NATO AArtyP-5. Artillery Procedures. NATO Standardization Office, 2019.</w:t>
      </w:r>
    </w:p>
    <w:p w14:paraId="0A15E31C"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sz w:val="24"/>
          <w:szCs w:val="24"/>
        </w:rPr>
      </w:pPr>
      <w:r w:rsidRPr="003B5892">
        <w:rPr>
          <w:rFonts w:ascii="Times New Roman" w:eastAsia="Calibri" w:hAnsi="Times New Roman" w:cs="Times New Roman"/>
          <w:sz w:val="24"/>
          <w:szCs w:val="24"/>
        </w:rPr>
        <w:t>19. FM 3-09. Field Artillery Operations and Fire Support. U.S. Army, 2020.</w:t>
      </w:r>
    </w:p>
    <w:p w14:paraId="0312B898" w14:textId="1EE8ABB3" w:rsidR="00385184" w:rsidRPr="001F540E" w:rsidRDefault="00385184" w:rsidP="001F540E">
      <w:pPr>
        <w:tabs>
          <w:tab w:val="left" w:pos="9638"/>
        </w:tabs>
        <w:spacing w:after="0" w:line="240" w:lineRule="auto"/>
        <w:ind w:firstLine="709"/>
        <w:jc w:val="both"/>
        <w:rPr>
          <w:rFonts w:ascii="Times New Roman" w:eastAsia="Calibri" w:hAnsi="Times New Roman" w:cs="Times New Roman"/>
          <w:sz w:val="24"/>
          <w:szCs w:val="24"/>
          <w:lang w:val="uk-UA"/>
        </w:rPr>
      </w:pPr>
      <w:r w:rsidRPr="003B5892">
        <w:rPr>
          <w:rFonts w:ascii="Times New Roman" w:eastAsia="Calibri" w:hAnsi="Times New Roman" w:cs="Times New Roman"/>
          <w:sz w:val="24"/>
          <w:szCs w:val="24"/>
        </w:rPr>
        <w:t>20. STANAG 2934. Artillery Ammunition: Safety and Handling. NATO Standardization Office, 2018.</w:t>
      </w:r>
    </w:p>
    <w:p w14:paraId="77780A15" w14:textId="77777777" w:rsidR="001F540E" w:rsidRDefault="001F540E" w:rsidP="00023291">
      <w:pPr>
        <w:shd w:val="clear" w:color="auto" w:fill="FFFFFF"/>
        <w:tabs>
          <w:tab w:val="left" w:pos="9638"/>
        </w:tabs>
        <w:spacing w:after="0" w:line="240" w:lineRule="auto"/>
        <w:ind w:firstLine="709"/>
        <w:jc w:val="center"/>
        <w:rPr>
          <w:rFonts w:ascii="Times New Roman" w:eastAsia="Times New Roman" w:hAnsi="Times New Roman" w:cs="Times New Roman"/>
          <w:b/>
          <w:bCs/>
          <w:kern w:val="0"/>
          <w:sz w:val="24"/>
          <w:szCs w:val="24"/>
          <w:lang w:val="uk-UA"/>
          <w14:ligatures w14:val="none"/>
        </w:rPr>
      </w:pPr>
    </w:p>
    <w:p w14:paraId="371BD448" w14:textId="77777777" w:rsidR="001F540E" w:rsidRDefault="001F540E" w:rsidP="00023291">
      <w:pPr>
        <w:shd w:val="clear" w:color="auto" w:fill="FFFFFF"/>
        <w:tabs>
          <w:tab w:val="left" w:pos="9638"/>
        </w:tabs>
        <w:spacing w:after="0" w:line="240" w:lineRule="auto"/>
        <w:ind w:firstLine="709"/>
        <w:jc w:val="center"/>
        <w:rPr>
          <w:rFonts w:ascii="Times New Roman" w:eastAsia="Times New Roman" w:hAnsi="Times New Roman" w:cs="Times New Roman"/>
          <w:b/>
          <w:bCs/>
          <w:kern w:val="0"/>
          <w:sz w:val="24"/>
          <w:szCs w:val="24"/>
          <w:lang w:val="uk-UA"/>
          <w14:ligatures w14:val="none"/>
        </w:rPr>
      </w:pPr>
    </w:p>
    <w:p w14:paraId="72E28197" w14:textId="77777777" w:rsidR="001F540E" w:rsidRDefault="001F540E" w:rsidP="00023291">
      <w:pPr>
        <w:shd w:val="clear" w:color="auto" w:fill="FFFFFF"/>
        <w:tabs>
          <w:tab w:val="left" w:pos="9638"/>
        </w:tabs>
        <w:spacing w:after="0" w:line="240" w:lineRule="auto"/>
        <w:ind w:firstLine="709"/>
        <w:jc w:val="center"/>
        <w:rPr>
          <w:rFonts w:ascii="Times New Roman" w:eastAsia="Times New Roman" w:hAnsi="Times New Roman" w:cs="Times New Roman"/>
          <w:b/>
          <w:bCs/>
          <w:kern w:val="0"/>
          <w:sz w:val="24"/>
          <w:szCs w:val="24"/>
          <w:lang w:val="uk-UA"/>
          <w14:ligatures w14:val="none"/>
        </w:rPr>
      </w:pPr>
    </w:p>
    <w:p w14:paraId="68CAA75C" w14:textId="77777777" w:rsidR="001F540E" w:rsidRDefault="001F540E" w:rsidP="00023291">
      <w:pPr>
        <w:shd w:val="clear" w:color="auto" w:fill="FFFFFF"/>
        <w:tabs>
          <w:tab w:val="left" w:pos="9638"/>
        </w:tabs>
        <w:spacing w:after="0" w:line="240" w:lineRule="auto"/>
        <w:ind w:firstLine="709"/>
        <w:jc w:val="center"/>
        <w:rPr>
          <w:rFonts w:ascii="Times New Roman" w:eastAsia="Times New Roman" w:hAnsi="Times New Roman" w:cs="Times New Roman"/>
          <w:b/>
          <w:bCs/>
          <w:kern w:val="0"/>
          <w:sz w:val="24"/>
          <w:szCs w:val="24"/>
          <w:lang w:val="uk-UA"/>
          <w14:ligatures w14:val="none"/>
        </w:rPr>
      </w:pPr>
    </w:p>
    <w:p w14:paraId="65B46E21" w14:textId="77777777" w:rsidR="001F540E" w:rsidRDefault="001F540E" w:rsidP="00023291">
      <w:pPr>
        <w:shd w:val="clear" w:color="auto" w:fill="FFFFFF"/>
        <w:tabs>
          <w:tab w:val="left" w:pos="9638"/>
        </w:tabs>
        <w:spacing w:after="0" w:line="240" w:lineRule="auto"/>
        <w:ind w:firstLine="709"/>
        <w:jc w:val="center"/>
        <w:rPr>
          <w:rFonts w:ascii="Times New Roman" w:eastAsia="Times New Roman" w:hAnsi="Times New Roman" w:cs="Times New Roman"/>
          <w:b/>
          <w:bCs/>
          <w:kern w:val="0"/>
          <w:sz w:val="24"/>
          <w:szCs w:val="24"/>
          <w:lang w:val="uk-UA"/>
          <w14:ligatures w14:val="none"/>
        </w:rPr>
      </w:pPr>
    </w:p>
    <w:p w14:paraId="3B0C80FE" w14:textId="77777777" w:rsidR="001F540E" w:rsidRDefault="001F540E" w:rsidP="00023291">
      <w:pPr>
        <w:shd w:val="clear" w:color="auto" w:fill="FFFFFF"/>
        <w:tabs>
          <w:tab w:val="left" w:pos="9638"/>
        </w:tabs>
        <w:spacing w:after="0" w:line="240" w:lineRule="auto"/>
        <w:ind w:firstLine="709"/>
        <w:jc w:val="center"/>
        <w:rPr>
          <w:rFonts w:ascii="Times New Roman" w:eastAsia="Times New Roman" w:hAnsi="Times New Roman" w:cs="Times New Roman"/>
          <w:b/>
          <w:bCs/>
          <w:kern w:val="0"/>
          <w:sz w:val="24"/>
          <w:szCs w:val="24"/>
          <w:lang w:val="uk-UA"/>
          <w14:ligatures w14:val="none"/>
        </w:rPr>
      </w:pPr>
    </w:p>
    <w:p w14:paraId="21EA743A" w14:textId="77777777" w:rsidR="001F540E" w:rsidRDefault="001F540E" w:rsidP="00023291">
      <w:pPr>
        <w:shd w:val="clear" w:color="auto" w:fill="FFFFFF"/>
        <w:tabs>
          <w:tab w:val="left" w:pos="9638"/>
        </w:tabs>
        <w:spacing w:after="0" w:line="240" w:lineRule="auto"/>
        <w:ind w:firstLine="709"/>
        <w:jc w:val="center"/>
        <w:rPr>
          <w:rFonts w:ascii="Times New Roman" w:eastAsia="Times New Roman" w:hAnsi="Times New Roman" w:cs="Times New Roman"/>
          <w:b/>
          <w:bCs/>
          <w:kern w:val="0"/>
          <w:sz w:val="24"/>
          <w:szCs w:val="24"/>
          <w:lang w:val="uk-UA"/>
          <w14:ligatures w14:val="none"/>
        </w:rPr>
      </w:pPr>
    </w:p>
    <w:p w14:paraId="004059AB" w14:textId="69BD6577" w:rsidR="00385184" w:rsidRPr="003B5892" w:rsidRDefault="00385184" w:rsidP="00023291">
      <w:pPr>
        <w:shd w:val="clear" w:color="auto" w:fill="FFFFFF"/>
        <w:tabs>
          <w:tab w:val="left" w:pos="9638"/>
        </w:tabs>
        <w:spacing w:after="0" w:line="240" w:lineRule="auto"/>
        <w:ind w:firstLine="709"/>
        <w:jc w:val="center"/>
        <w:rPr>
          <w:rFonts w:ascii="Times New Roman" w:eastAsia="Times New Roman" w:hAnsi="Times New Roman" w:cs="Times New Roman"/>
          <w:b/>
          <w:bCs/>
          <w:kern w:val="0"/>
          <w:sz w:val="24"/>
          <w:szCs w:val="24"/>
          <w:lang w:val="uk-UA"/>
          <w14:ligatures w14:val="none"/>
        </w:rPr>
      </w:pPr>
      <w:r w:rsidRPr="003B5892">
        <w:rPr>
          <w:rFonts w:ascii="Times New Roman" w:eastAsia="Times New Roman" w:hAnsi="Times New Roman" w:cs="Times New Roman"/>
          <w:b/>
          <w:bCs/>
          <w:kern w:val="0"/>
          <w:sz w:val="24"/>
          <w:szCs w:val="24"/>
          <w:lang w:val="en-GB"/>
          <w14:ligatures w14:val="none"/>
        </w:rPr>
        <w:lastRenderedPageBreak/>
        <w:t>SUMMARY</w:t>
      </w:r>
    </w:p>
    <w:p w14:paraId="3FBC9C50" w14:textId="77777777" w:rsidR="00385184" w:rsidRPr="003B5892" w:rsidRDefault="00385184" w:rsidP="00023291">
      <w:pPr>
        <w:shd w:val="clear" w:color="auto" w:fill="FFFFFF"/>
        <w:tabs>
          <w:tab w:val="left" w:pos="9638"/>
        </w:tabs>
        <w:spacing w:after="0" w:line="240" w:lineRule="auto"/>
        <w:ind w:firstLine="709"/>
        <w:jc w:val="right"/>
        <w:rPr>
          <w:rFonts w:ascii="Times New Roman" w:eastAsia="Times New Roman" w:hAnsi="Times New Roman" w:cs="Times New Roman"/>
          <w:b/>
          <w:bCs/>
          <w:kern w:val="0"/>
          <w:sz w:val="24"/>
          <w:szCs w:val="24"/>
          <w:lang w:val="uk-UA"/>
          <w14:ligatures w14:val="none"/>
        </w:rPr>
      </w:pPr>
    </w:p>
    <w:p w14:paraId="41C57376" w14:textId="77777777" w:rsidR="00385184" w:rsidRPr="003B5892" w:rsidRDefault="00385184" w:rsidP="00023291">
      <w:pPr>
        <w:shd w:val="clear" w:color="auto" w:fill="FFFFFF"/>
        <w:tabs>
          <w:tab w:val="left" w:pos="9638"/>
        </w:tabs>
        <w:spacing w:after="0" w:line="240" w:lineRule="auto"/>
        <w:ind w:firstLine="709"/>
        <w:jc w:val="right"/>
        <w:rPr>
          <w:rFonts w:ascii="Times New Roman" w:eastAsia="Times New Roman" w:hAnsi="Times New Roman" w:cs="Times New Roman"/>
          <w:b/>
          <w:bCs/>
          <w:kern w:val="0"/>
          <w:sz w:val="24"/>
          <w:szCs w:val="24"/>
          <w:lang w:val="uk-UA"/>
          <w14:ligatures w14:val="none"/>
        </w:rPr>
      </w:pPr>
      <w:r w:rsidRPr="003B5892">
        <w:rPr>
          <w:rFonts w:ascii="Times New Roman" w:eastAsia="Times New Roman" w:hAnsi="Times New Roman" w:cs="Times New Roman"/>
          <w:b/>
          <w:bCs/>
          <w:kern w:val="0"/>
          <w:sz w:val="24"/>
          <w:szCs w:val="24"/>
          <w:lang w:val="uk-UA"/>
          <w14:ligatures w14:val="none"/>
        </w:rPr>
        <w:t>Anatolii Derevianchuk,</w:t>
      </w:r>
    </w:p>
    <w:p w14:paraId="4EEB4D9C" w14:textId="206AE5CA" w:rsidR="00385184" w:rsidRPr="003B5892" w:rsidRDefault="00385184"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4"/>
          <w:szCs w:val="24"/>
          <w:lang w:val="uk-UA"/>
          <w14:ligatures w14:val="none"/>
        </w:rPr>
        <w:t xml:space="preserve"> Candidate of </w:t>
      </w:r>
      <w:r w:rsidR="0067628A" w:rsidRPr="003B5892">
        <w:rPr>
          <w:rFonts w:ascii="Times New Roman" w:eastAsia="Times New Roman" w:hAnsi="Times New Roman" w:cs="Times New Roman"/>
          <w:kern w:val="0"/>
          <w:sz w:val="24"/>
          <w:szCs w:val="24"/>
          <w:lang w:val="uk-UA"/>
          <w14:ligatures w14:val="none"/>
        </w:rPr>
        <w:t>T</w:t>
      </w:r>
      <w:r w:rsidRPr="003B5892">
        <w:rPr>
          <w:rFonts w:ascii="Times New Roman" w:eastAsia="Times New Roman" w:hAnsi="Times New Roman" w:cs="Times New Roman"/>
          <w:kern w:val="0"/>
          <w:sz w:val="24"/>
          <w:szCs w:val="24"/>
          <w:lang w:val="uk-UA"/>
          <w14:ligatures w14:val="none"/>
        </w:rPr>
        <w:t xml:space="preserve">echnical </w:t>
      </w:r>
      <w:r w:rsidR="0067628A" w:rsidRPr="0067628A">
        <w:rPr>
          <w:rFonts w:ascii="Times New Roman" w:eastAsia="Times New Roman" w:hAnsi="Times New Roman" w:cs="Times New Roman"/>
          <w:kern w:val="0"/>
          <w:szCs w:val="24"/>
          <w:lang w:val="uk-UA"/>
          <w14:ligatures w14:val="none"/>
        </w:rPr>
        <w:t>S</w:t>
      </w:r>
      <w:r w:rsidRPr="003B5892">
        <w:rPr>
          <w:rFonts w:ascii="Times New Roman" w:eastAsia="Times New Roman" w:hAnsi="Times New Roman" w:cs="Times New Roman"/>
          <w:kern w:val="0"/>
          <w:sz w:val="24"/>
          <w:szCs w:val="24"/>
          <w:lang w:val="uk-UA"/>
          <w14:ligatures w14:val="none"/>
        </w:rPr>
        <w:t xml:space="preserve">ciences, </w:t>
      </w:r>
      <w:r w:rsidR="0067628A" w:rsidRPr="003B5892">
        <w:rPr>
          <w:rFonts w:ascii="Times New Roman" w:eastAsia="Times New Roman" w:hAnsi="Times New Roman" w:cs="Times New Roman"/>
          <w:kern w:val="0"/>
          <w:sz w:val="24"/>
          <w:szCs w:val="24"/>
          <w:lang w:val="uk-UA"/>
          <w14:ligatures w14:val="none"/>
        </w:rPr>
        <w:t>P</w:t>
      </w:r>
      <w:r w:rsidR="00B15B58">
        <w:rPr>
          <w:rFonts w:ascii="Times New Roman" w:eastAsia="Times New Roman" w:hAnsi="Times New Roman" w:cs="Times New Roman"/>
          <w:kern w:val="0"/>
          <w:sz w:val="24"/>
          <w:szCs w:val="24"/>
          <w:lang w:val="uk-UA"/>
          <w14:ligatures w14:val="none"/>
        </w:rPr>
        <w:t>rofessor</w:t>
      </w:r>
    </w:p>
    <w:p w14:paraId="340D280C" w14:textId="77777777" w:rsidR="00385184" w:rsidRPr="003B5892" w:rsidRDefault="00385184"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4"/>
          <w:szCs w:val="24"/>
          <w:lang w:val="uk-UA"/>
          <w14:ligatures w14:val="none"/>
        </w:rPr>
        <w:t>Sumy State University</w:t>
      </w:r>
    </w:p>
    <w:p w14:paraId="77C62E0C" w14:textId="739E6147" w:rsidR="00385184" w:rsidRPr="003B5892" w:rsidRDefault="0067628A" w:rsidP="00023291">
      <w:pPr>
        <w:shd w:val="clear" w:color="auto" w:fill="FFFFFF"/>
        <w:tabs>
          <w:tab w:val="left" w:pos="9638"/>
        </w:tabs>
        <w:spacing w:after="0" w:line="240" w:lineRule="auto"/>
        <w:ind w:firstLine="709"/>
        <w:jc w:val="right"/>
        <w:rPr>
          <w:rFonts w:ascii="Times New Roman" w:eastAsia="Times New Roman" w:hAnsi="Times New Roman" w:cs="Times New Roman"/>
          <w:b/>
          <w:bCs/>
          <w:kern w:val="0"/>
          <w:sz w:val="24"/>
          <w:szCs w:val="24"/>
          <w:lang w:val="uk-UA"/>
          <w14:ligatures w14:val="none"/>
        </w:rPr>
      </w:pPr>
      <w:r>
        <w:rPr>
          <w:rFonts w:ascii="Times New Roman" w:eastAsia="Times New Roman" w:hAnsi="Times New Roman" w:cs="Times New Roman"/>
          <w:b/>
          <w:bCs/>
          <w:kern w:val="0"/>
          <w:sz w:val="24"/>
          <w:szCs w:val="24"/>
          <w:lang w:val="uk-UA"/>
          <w14:ligatures w14:val="none"/>
        </w:rPr>
        <w:t>Dm</w:t>
      </w:r>
      <w:r>
        <w:rPr>
          <w:rFonts w:ascii="Times New Roman" w:eastAsia="Times New Roman" w:hAnsi="Times New Roman" w:cs="Times New Roman"/>
          <w:b/>
          <w:bCs/>
          <w:kern w:val="0"/>
          <w:sz w:val="24"/>
          <w:szCs w:val="24"/>
          <w14:ligatures w14:val="none"/>
        </w:rPr>
        <w:t>y</w:t>
      </w:r>
      <w:r w:rsidR="00385184" w:rsidRPr="003B5892">
        <w:rPr>
          <w:rFonts w:ascii="Times New Roman" w:eastAsia="Times New Roman" w:hAnsi="Times New Roman" w:cs="Times New Roman"/>
          <w:b/>
          <w:bCs/>
          <w:kern w:val="0"/>
          <w:sz w:val="24"/>
          <w:szCs w:val="24"/>
          <w:lang w:val="uk-UA"/>
          <w14:ligatures w14:val="none"/>
        </w:rPr>
        <w:t>tro Chopa,</w:t>
      </w:r>
    </w:p>
    <w:p w14:paraId="08E16C76" w14:textId="1689F839" w:rsidR="00385184" w:rsidRPr="003B5892" w:rsidRDefault="00385184"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b/>
          <w:bCs/>
          <w:kern w:val="0"/>
          <w:sz w:val="24"/>
          <w:szCs w:val="24"/>
          <w:lang w:val="uk-UA"/>
          <w14:ligatures w14:val="none"/>
        </w:rPr>
        <w:t xml:space="preserve"> </w:t>
      </w:r>
      <w:r w:rsidRPr="003B5892">
        <w:rPr>
          <w:rFonts w:ascii="Times New Roman" w:eastAsia="Times New Roman" w:hAnsi="Times New Roman" w:cs="Times New Roman"/>
          <w:kern w:val="0"/>
          <w:sz w:val="24"/>
          <w:szCs w:val="24"/>
          <w:lang w:val="uk-UA"/>
          <w14:ligatures w14:val="none"/>
        </w:rPr>
        <w:t xml:space="preserve">Candidate of </w:t>
      </w:r>
      <w:r w:rsidR="0067628A">
        <w:rPr>
          <w:rFonts w:ascii="Times New Roman" w:eastAsia="Times New Roman" w:hAnsi="Times New Roman" w:cs="Times New Roman"/>
          <w:kern w:val="0"/>
          <w:sz w:val="24"/>
          <w:szCs w:val="24"/>
          <w14:ligatures w14:val="none"/>
        </w:rPr>
        <w:t>T</w:t>
      </w:r>
      <w:r w:rsidRPr="003B5892">
        <w:rPr>
          <w:rFonts w:ascii="Times New Roman" w:eastAsia="Times New Roman" w:hAnsi="Times New Roman" w:cs="Times New Roman"/>
          <w:kern w:val="0"/>
          <w:sz w:val="24"/>
          <w:szCs w:val="24"/>
          <w:lang w:val="uk-UA"/>
          <w14:ligatures w14:val="none"/>
        </w:rPr>
        <w:t xml:space="preserve">echnical </w:t>
      </w:r>
      <w:r w:rsidR="0067628A">
        <w:rPr>
          <w:rFonts w:ascii="Times New Roman" w:eastAsia="Times New Roman" w:hAnsi="Times New Roman" w:cs="Times New Roman"/>
          <w:kern w:val="0"/>
          <w:sz w:val="24"/>
          <w:szCs w:val="24"/>
          <w14:ligatures w14:val="none"/>
        </w:rPr>
        <w:t>S</w:t>
      </w:r>
      <w:r w:rsidR="00B15B58">
        <w:rPr>
          <w:rFonts w:ascii="Times New Roman" w:eastAsia="Times New Roman" w:hAnsi="Times New Roman" w:cs="Times New Roman"/>
          <w:kern w:val="0"/>
          <w:sz w:val="24"/>
          <w:szCs w:val="24"/>
          <w:lang w:val="uk-UA"/>
          <w14:ligatures w14:val="none"/>
        </w:rPr>
        <w:t>ciences, Senior Research Fellow</w:t>
      </w:r>
    </w:p>
    <w:p w14:paraId="4B0AA623" w14:textId="77777777" w:rsidR="00385184" w:rsidRPr="003B5892" w:rsidRDefault="00385184" w:rsidP="00023291">
      <w:pPr>
        <w:shd w:val="clear" w:color="auto" w:fill="FFFFFF"/>
        <w:tabs>
          <w:tab w:val="left" w:pos="9638"/>
        </w:tabs>
        <w:spacing w:after="0" w:line="240" w:lineRule="auto"/>
        <w:ind w:firstLine="709"/>
        <w:jc w:val="right"/>
        <w:rPr>
          <w:rFonts w:ascii="Times New Roman" w:eastAsia="Times New Roman" w:hAnsi="Times New Roman" w:cs="Times New Roman"/>
          <w:b/>
          <w:bCs/>
          <w:kern w:val="0"/>
          <w:sz w:val="24"/>
          <w:szCs w:val="24"/>
          <w:lang w:val="uk-UA"/>
          <w14:ligatures w14:val="none"/>
        </w:rPr>
      </w:pPr>
      <w:r w:rsidRPr="003B5892">
        <w:rPr>
          <w:rFonts w:ascii="Times New Roman" w:eastAsia="Times New Roman" w:hAnsi="Times New Roman" w:cs="Times New Roman"/>
          <w:kern w:val="0"/>
          <w:sz w:val="24"/>
          <w:szCs w:val="24"/>
          <w:lang w:val="uk-UA"/>
          <w14:ligatures w14:val="none"/>
        </w:rPr>
        <w:t>National Defense University of Ukraine</w:t>
      </w:r>
    </w:p>
    <w:p w14:paraId="72945A30" w14:textId="77777777" w:rsidR="00385184" w:rsidRPr="003B5892" w:rsidRDefault="00385184" w:rsidP="00023291">
      <w:pPr>
        <w:shd w:val="clear" w:color="auto" w:fill="FFFFFF"/>
        <w:tabs>
          <w:tab w:val="left" w:pos="9638"/>
        </w:tabs>
        <w:spacing w:after="0" w:line="240" w:lineRule="auto"/>
        <w:ind w:firstLine="709"/>
        <w:jc w:val="right"/>
        <w:rPr>
          <w:rFonts w:ascii="Times New Roman" w:eastAsia="Times New Roman" w:hAnsi="Times New Roman" w:cs="Times New Roman"/>
          <w:b/>
          <w:bCs/>
          <w:kern w:val="0"/>
          <w:sz w:val="24"/>
          <w:szCs w:val="24"/>
          <w:lang w:val="uk-UA"/>
          <w14:ligatures w14:val="none"/>
        </w:rPr>
      </w:pPr>
      <w:r w:rsidRPr="003B5892">
        <w:rPr>
          <w:rFonts w:ascii="Times New Roman" w:eastAsia="Times New Roman" w:hAnsi="Times New Roman" w:cs="Times New Roman"/>
          <w:b/>
          <w:bCs/>
          <w:kern w:val="0"/>
          <w:sz w:val="24"/>
          <w:szCs w:val="24"/>
          <w:lang w:val="uk-UA"/>
          <w14:ligatures w14:val="none"/>
        </w:rPr>
        <w:t>L</w:t>
      </w:r>
      <w:r w:rsidRPr="003B5892">
        <w:rPr>
          <w:rFonts w:ascii="Times New Roman" w:eastAsia="Times New Roman" w:hAnsi="Times New Roman" w:cs="Times New Roman"/>
          <w:b/>
          <w:bCs/>
          <w:kern w:val="0"/>
          <w:sz w:val="24"/>
          <w:szCs w:val="24"/>
          <w14:ligatures w14:val="none"/>
        </w:rPr>
        <w:t>i</w:t>
      </w:r>
      <w:r w:rsidRPr="003B5892">
        <w:rPr>
          <w:rFonts w:ascii="Times New Roman" w:eastAsia="Times New Roman" w:hAnsi="Times New Roman" w:cs="Times New Roman"/>
          <w:b/>
          <w:bCs/>
          <w:kern w:val="0"/>
          <w:sz w:val="24"/>
          <w:szCs w:val="24"/>
          <w:lang w:val="uk-UA"/>
          <w14:ligatures w14:val="none"/>
        </w:rPr>
        <w:t>udm</w:t>
      </w:r>
      <w:r w:rsidRPr="003B5892">
        <w:rPr>
          <w:rFonts w:ascii="Times New Roman" w:eastAsia="Times New Roman" w:hAnsi="Times New Roman" w:cs="Times New Roman"/>
          <w:b/>
          <w:bCs/>
          <w:kern w:val="0"/>
          <w:sz w:val="24"/>
          <w:szCs w:val="24"/>
          <w14:ligatures w14:val="none"/>
        </w:rPr>
        <w:t>y</w:t>
      </w:r>
      <w:r w:rsidRPr="003B5892">
        <w:rPr>
          <w:rFonts w:ascii="Times New Roman" w:eastAsia="Times New Roman" w:hAnsi="Times New Roman" w:cs="Times New Roman"/>
          <w:b/>
          <w:bCs/>
          <w:kern w:val="0"/>
          <w:sz w:val="24"/>
          <w:szCs w:val="24"/>
          <w:lang w:val="uk-UA"/>
          <w14:ligatures w14:val="none"/>
        </w:rPr>
        <w:t>la Nalyvaiko,</w:t>
      </w:r>
    </w:p>
    <w:p w14:paraId="4054DC99" w14:textId="77777777" w:rsidR="00385184" w:rsidRPr="003B5892" w:rsidRDefault="00385184"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lang w:val="uk-UA"/>
          <w14:ligatures w14:val="none"/>
        </w:rPr>
      </w:pPr>
      <w:r w:rsidRPr="003B5892">
        <w:rPr>
          <w:rFonts w:ascii="Times New Roman" w:eastAsia="Times New Roman" w:hAnsi="Times New Roman" w:cs="Times New Roman"/>
          <w:kern w:val="0"/>
          <w:sz w:val="24"/>
          <w:szCs w:val="24"/>
          <w:lang w:val="uk-UA"/>
          <w14:ligatures w14:val="none"/>
        </w:rPr>
        <w:t>National Defence University of Ukraine, Kyiv</w:t>
      </w:r>
    </w:p>
    <w:p w14:paraId="129FA87C" w14:textId="77777777" w:rsidR="00385184" w:rsidRPr="003B5892" w:rsidRDefault="00385184" w:rsidP="00023291">
      <w:pPr>
        <w:shd w:val="clear" w:color="auto" w:fill="FFFFFF"/>
        <w:tabs>
          <w:tab w:val="left" w:pos="9638"/>
        </w:tabs>
        <w:spacing w:after="0" w:line="240" w:lineRule="auto"/>
        <w:ind w:firstLine="709"/>
        <w:jc w:val="right"/>
        <w:rPr>
          <w:rFonts w:ascii="Times New Roman" w:eastAsia="Times New Roman" w:hAnsi="Times New Roman" w:cs="Times New Roman"/>
          <w:b/>
          <w:bCs/>
          <w:kern w:val="0"/>
          <w:sz w:val="24"/>
          <w:szCs w:val="24"/>
          <w:lang w:val="uk-UA"/>
          <w14:ligatures w14:val="none"/>
        </w:rPr>
      </w:pPr>
    </w:p>
    <w:p w14:paraId="15EAEE92" w14:textId="77777777" w:rsidR="0067628A" w:rsidRPr="00F25FCF" w:rsidRDefault="0067628A" w:rsidP="00F25FCF">
      <w:pPr>
        <w:shd w:val="clear" w:color="auto" w:fill="FFFFFF"/>
        <w:tabs>
          <w:tab w:val="left" w:pos="9638"/>
        </w:tabs>
        <w:spacing w:after="0" w:line="240" w:lineRule="auto"/>
        <w:ind w:firstLine="709"/>
        <w:jc w:val="both"/>
        <w:rPr>
          <w:rFonts w:ascii="Times New Roman" w:eastAsia="Times New Roman" w:hAnsi="Times New Roman" w:cs="Times New Roman"/>
          <w:i/>
          <w:kern w:val="0"/>
          <w:sz w:val="24"/>
          <w:szCs w:val="24"/>
          <w:lang w:val="en"/>
          <w14:ligatures w14:val="none"/>
        </w:rPr>
      </w:pPr>
      <w:r w:rsidRPr="00F25FCF">
        <w:rPr>
          <w:rFonts w:ascii="Times New Roman" w:eastAsia="Times New Roman" w:hAnsi="Times New Roman" w:cs="Times New Roman"/>
          <w:i/>
          <w:kern w:val="0"/>
          <w:sz w:val="24"/>
          <w:szCs w:val="24"/>
          <w:lang w:val="en"/>
          <w14:ligatures w14:val="none"/>
        </w:rPr>
        <w:t xml:space="preserve">Development of a Training Model for Preparing Military Personnel for Combat Operations Involving Artillery Ammunition </w:t>
      </w:r>
    </w:p>
    <w:p w14:paraId="70CF25A3" w14:textId="77777777" w:rsidR="0067628A" w:rsidRPr="00F25FCF" w:rsidRDefault="0067628A" w:rsidP="00F25FCF">
      <w:pPr>
        <w:shd w:val="clear" w:color="auto" w:fill="FFFFFF"/>
        <w:tabs>
          <w:tab w:val="left" w:pos="9638"/>
        </w:tabs>
        <w:spacing w:after="0" w:line="240" w:lineRule="auto"/>
        <w:ind w:firstLine="709"/>
        <w:jc w:val="both"/>
        <w:rPr>
          <w:rFonts w:ascii="Times New Roman" w:eastAsia="Times New Roman" w:hAnsi="Times New Roman" w:cs="Times New Roman"/>
          <w:i/>
          <w:kern w:val="0"/>
          <w:sz w:val="24"/>
          <w:szCs w:val="24"/>
          <w:lang w:val="en"/>
          <w14:ligatures w14:val="none"/>
        </w:rPr>
      </w:pPr>
      <w:r w:rsidRPr="00F25FCF">
        <w:rPr>
          <w:rFonts w:ascii="Times New Roman" w:eastAsia="Times New Roman" w:hAnsi="Times New Roman" w:cs="Times New Roman"/>
          <w:i/>
          <w:kern w:val="0"/>
          <w:sz w:val="24"/>
          <w:szCs w:val="24"/>
          <w:lang w:val="en"/>
          <w14:ligatures w14:val="none"/>
        </w:rPr>
        <w:tab/>
        <w:t xml:space="preserve">Abstract. The article substantiates and presents a training model for preparing military personnel to operate with artillery ammunition, integrating engineering and technical knowledge, algorithmic decision-making procedures, and a competency-based approach. Based on an analysis of ammunition design, the operating principles of its key components, and modern requirements for combat employment, a generalized fuse-selection algorithm has been developed to ensure consistency between the target type, ammunition type, and operating mode. </w:t>
      </w:r>
    </w:p>
    <w:p w14:paraId="07F65F1C" w14:textId="77777777" w:rsidR="00385184" w:rsidRPr="003B5892" w:rsidRDefault="00385184" w:rsidP="00023291">
      <w:pPr>
        <w:shd w:val="clear" w:color="auto" w:fill="FFFFFF"/>
        <w:tabs>
          <w:tab w:val="left" w:pos="9638"/>
        </w:tabs>
        <w:spacing w:after="0" w:line="240" w:lineRule="auto"/>
        <w:ind w:firstLine="709"/>
        <w:jc w:val="both"/>
        <w:rPr>
          <w:rFonts w:ascii="Times New Roman" w:eastAsia="Times New Roman" w:hAnsi="Times New Roman" w:cs="Times New Roman"/>
          <w:b/>
          <w:bCs/>
          <w:i/>
          <w:kern w:val="0"/>
          <w:sz w:val="24"/>
          <w:szCs w:val="24"/>
          <w:lang w:val="en"/>
          <w14:ligatures w14:val="none"/>
        </w:rPr>
      </w:pPr>
      <w:r w:rsidRPr="003B5892">
        <w:rPr>
          <w:rFonts w:ascii="Times New Roman" w:eastAsia="Times New Roman" w:hAnsi="Times New Roman" w:cs="Times New Roman"/>
          <w:i/>
          <w:kern w:val="0"/>
          <w:sz w:val="24"/>
          <w:szCs w:val="24"/>
          <w:lang w:val="en"/>
          <w14:ligatures w14:val="none"/>
        </w:rPr>
        <w:t>The developed training model provides systematization of knowledge, formalization of decision-making algorithms and phased formation of professional competencies of military personnel for combat work with artillery ammunition</w:t>
      </w:r>
      <w:r w:rsidRPr="003B5892">
        <w:rPr>
          <w:rFonts w:ascii="Times New Roman" w:eastAsia="Times New Roman" w:hAnsi="Times New Roman" w:cs="Times New Roman"/>
          <w:b/>
          <w:bCs/>
          <w:i/>
          <w:kern w:val="0"/>
          <w:sz w:val="24"/>
          <w:szCs w:val="24"/>
          <w:lang w:val="en"/>
          <w14:ligatures w14:val="none"/>
        </w:rPr>
        <w:t>.</w:t>
      </w:r>
    </w:p>
    <w:p w14:paraId="11AB6A26" w14:textId="77777777" w:rsidR="00385184" w:rsidRPr="003B5892" w:rsidRDefault="00385184" w:rsidP="00023291">
      <w:pPr>
        <w:shd w:val="clear" w:color="auto" w:fill="FFFFFF"/>
        <w:tabs>
          <w:tab w:val="left" w:pos="9638"/>
        </w:tabs>
        <w:spacing w:after="0" w:line="240" w:lineRule="auto"/>
        <w:ind w:firstLine="709"/>
        <w:jc w:val="both"/>
        <w:rPr>
          <w:rFonts w:ascii="Times New Roman" w:eastAsia="Times New Roman" w:hAnsi="Times New Roman" w:cs="Times New Roman"/>
          <w:i/>
          <w:kern w:val="0"/>
          <w:sz w:val="24"/>
          <w:szCs w:val="24"/>
          <w:lang w:val="uk-UA"/>
          <w14:ligatures w14:val="none"/>
        </w:rPr>
      </w:pPr>
      <w:r w:rsidRPr="003B5892">
        <w:rPr>
          <w:rFonts w:ascii="Times New Roman" w:eastAsia="Times New Roman" w:hAnsi="Times New Roman" w:cs="Times New Roman"/>
          <w:i/>
          <w:kern w:val="0"/>
          <w:sz w:val="24"/>
          <w:szCs w:val="24"/>
          <w:lang w:val="en"/>
          <w14:ligatures w14:val="none"/>
        </w:rPr>
        <w:t>The proposed model consists of six interconnected blocks, in accordance with the stages of formation of professional competencies: from familiarization with the design of ammunition and 3D models to practical work with training detonators and simulators.</w:t>
      </w:r>
    </w:p>
    <w:p w14:paraId="7813F763" w14:textId="77777777" w:rsidR="00385184" w:rsidRPr="003B5892" w:rsidRDefault="00385184" w:rsidP="00023291">
      <w:pPr>
        <w:shd w:val="clear" w:color="auto" w:fill="FFFFFF"/>
        <w:tabs>
          <w:tab w:val="left" w:pos="9638"/>
        </w:tabs>
        <w:spacing w:after="0" w:line="240" w:lineRule="auto"/>
        <w:ind w:firstLine="709"/>
        <w:jc w:val="both"/>
        <w:rPr>
          <w:rFonts w:ascii="Times New Roman" w:eastAsia="Times New Roman" w:hAnsi="Times New Roman" w:cs="Times New Roman"/>
          <w:i/>
          <w:kern w:val="0"/>
          <w:sz w:val="24"/>
          <w:szCs w:val="24"/>
          <w:lang w:val="en"/>
          <w14:ligatures w14:val="none"/>
        </w:rPr>
      </w:pPr>
      <w:r w:rsidRPr="003B5892">
        <w:rPr>
          <w:rFonts w:ascii="Times New Roman" w:eastAsia="Times New Roman" w:hAnsi="Times New Roman" w:cs="Times New Roman"/>
          <w:i/>
          <w:kern w:val="0"/>
          <w:sz w:val="24"/>
          <w:szCs w:val="24"/>
          <w:lang w:val="en"/>
          <w14:ligatures w14:val="none"/>
        </w:rPr>
        <w:t>The scientific novelty of the research lies in the combination of functional engineering classification of ammunition, algorithmic approach to the selection of a fuse and the competence structure of training. The practical significance lies in the creation of a holistic training system that contributes to increasing the accuracy, safety and effectiveness of the combat work of artillery crews.</w:t>
      </w:r>
    </w:p>
    <w:p w14:paraId="31068B06" w14:textId="77777777" w:rsidR="00385184" w:rsidRDefault="00385184" w:rsidP="00023291">
      <w:pPr>
        <w:shd w:val="clear" w:color="auto" w:fill="FFFFFF"/>
        <w:tabs>
          <w:tab w:val="left" w:pos="9638"/>
        </w:tabs>
        <w:spacing w:after="0" w:line="240" w:lineRule="auto"/>
        <w:ind w:firstLine="709"/>
        <w:jc w:val="both"/>
        <w:rPr>
          <w:rFonts w:ascii="Times New Roman" w:eastAsia="Times New Roman" w:hAnsi="Times New Roman" w:cs="Times New Roman"/>
          <w:i/>
          <w:kern w:val="0"/>
          <w:sz w:val="24"/>
          <w:szCs w:val="24"/>
          <w:lang w:val="en"/>
          <w14:ligatures w14:val="none"/>
        </w:rPr>
      </w:pPr>
      <w:r w:rsidRPr="003B5892">
        <w:rPr>
          <w:rFonts w:ascii="Times New Roman" w:eastAsia="Times New Roman" w:hAnsi="Times New Roman" w:cs="Times New Roman"/>
          <w:b/>
          <w:bCs/>
          <w:i/>
          <w:kern w:val="0"/>
          <w:sz w:val="24"/>
          <w:szCs w:val="24"/>
          <w:lang w:val="en"/>
          <w14:ligatures w14:val="none"/>
        </w:rPr>
        <w:t>Keywords</w:t>
      </w:r>
      <w:r w:rsidRPr="003B5892">
        <w:rPr>
          <w:rFonts w:ascii="Times New Roman" w:eastAsia="Times New Roman" w:hAnsi="Times New Roman" w:cs="Times New Roman"/>
          <w:b/>
          <w:bCs/>
          <w:i/>
          <w:kern w:val="0"/>
          <w:sz w:val="24"/>
          <w:szCs w:val="24"/>
          <w:lang w:val="uk-UA"/>
          <w14:ligatures w14:val="none"/>
        </w:rPr>
        <w:t>:</w:t>
      </w:r>
      <w:r w:rsidRPr="003B5892">
        <w:rPr>
          <w:rFonts w:ascii="Times New Roman" w:eastAsia="Times New Roman" w:hAnsi="Times New Roman" w:cs="Times New Roman"/>
          <w:b/>
          <w:bCs/>
          <w:i/>
          <w:kern w:val="0"/>
          <w:sz w:val="24"/>
          <w:szCs w:val="24"/>
          <w:lang w:val="en"/>
          <w14:ligatures w14:val="none"/>
        </w:rPr>
        <w:t xml:space="preserve"> </w:t>
      </w:r>
      <w:r w:rsidRPr="003B5892">
        <w:rPr>
          <w:rFonts w:ascii="Times New Roman" w:eastAsia="Times New Roman" w:hAnsi="Times New Roman" w:cs="Times New Roman"/>
          <w:i/>
          <w:kern w:val="0"/>
          <w:sz w:val="24"/>
          <w:szCs w:val="24"/>
          <w:lang w:val="en"/>
          <w14:ligatures w14:val="none"/>
        </w:rPr>
        <w:t>training model; artillery ammunition; fuse; fuse selection algorithm; 3D modeling; professional competence.</w:t>
      </w:r>
    </w:p>
    <w:p w14:paraId="27C01320" w14:textId="77777777" w:rsidR="008447BA" w:rsidRDefault="008447BA" w:rsidP="00023291">
      <w:pPr>
        <w:shd w:val="clear" w:color="auto" w:fill="FFFFFF"/>
        <w:tabs>
          <w:tab w:val="left" w:pos="9638"/>
        </w:tabs>
        <w:spacing w:after="0" w:line="240" w:lineRule="auto"/>
        <w:ind w:firstLine="709"/>
        <w:jc w:val="both"/>
        <w:rPr>
          <w:rFonts w:ascii="Times New Roman" w:eastAsia="Times New Roman" w:hAnsi="Times New Roman" w:cs="Times New Roman"/>
          <w:i/>
          <w:kern w:val="0"/>
          <w:sz w:val="24"/>
          <w:szCs w:val="24"/>
          <w:lang w:val="en"/>
          <w14:ligatures w14:val="none"/>
        </w:rPr>
      </w:pPr>
    </w:p>
    <w:p w14:paraId="1AE8E30F" w14:textId="77777777" w:rsidR="008447BA" w:rsidRPr="00B44B71" w:rsidRDefault="008447BA" w:rsidP="008447BA">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надійшов до редакції 19.01.2026</w:t>
      </w:r>
    </w:p>
    <w:p w14:paraId="735B6A1C" w14:textId="77777777" w:rsidR="008447BA" w:rsidRPr="00B44B71" w:rsidRDefault="008447BA" w:rsidP="008447BA">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прийнято до друку після рецензування 07.04.2026</w:t>
      </w:r>
    </w:p>
    <w:p w14:paraId="1502AA73" w14:textId="77777777" w:rsidR="008447BA" w:rsidRPr="00B44B71" w:rsidRDefault="008447BA" w:rsidP="008447BA">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Дата публікації 25.05.2026</w:t>
      </w:r>
    </w:p>
    <w:p w14:paraId="3B7A7557" w14:textId="77777777" w:rsidR="008447BA" w:rsidRPr="003B5892" w:rsidRDefault="008447BA" w:rsidP="00023291">
      <w:pPr>
        <w:shd w:val="clear" w:color="auto" w:fill="FFFFFF"/>
        <w:tabs>
          <w:tab w:val="left" w:pos="9638"/>
        </w:tabs>
        <w:spacing w:after="0" w:line="240" w:lineRule="auto"/>
        <w:ind w:firstLine="709"/>
        <w:jc w:val="both"/>
        <w:rPr>
          <w:rFonts w:ascii="Times New Roman" w:eastAsia="Times New Roman" w:hAnsi="Times New Roman" w:cs="Times New Roman"/>
          <w:i/>
          <w:kern w:val="0"/>
          <w:sz w:val="24"/>
          <w:szCs w:val="24"/>
          <w:lang w:val="uk-UA"/>
          <w14:ligatures w14:val="none"/>
        </w:rPr>
      </w:pPr>
    </w:p>
    <w:p w14:paraId="500E6A76" w14:textId="7F05CF57" w:rsidR="0081070D" w:rsidRPr="002A5031" w:rsidRDefault="001F540E" w:rsidP="001F540E">
      <w:pPr>
        <w:tabs>
          <w:tab w:val="left" w:pos="9638"/>
        </w:tabs>
        <w:spacing w:after="0" w:line="240" w:lineRule="auto"/>
        <w:jc w:val="both"/>
        <w:rPr>
          <w:rFonts w:ascii="Times New Roman" w:eastAsia="Times New Roman" w:hAnsi="Times New Roman" w:cs="Times New Roman"/>
          <w:b/>
          <w:bCs/>
          <w:kern w:val="0"/>
          <w:sz w:val="24"/>
          <w:szCs w:val="24"/>
          <w:lang w:val="uk-UA" w:eastAsia="uk-UA"/>
          <w14:ligatures w14:val="none"/>
        </w:rPr>
      </w:pPr>
      <w:r>
        <w:rPr>
          <w:rFonts w:ascii="Times New Roman" w:eastAsia="Times New Roman" w:hAnsi="Times New Roman" w:cs="Times New Roman"/>
          <w:b/>
          <w:bCs/>
          <w:kern w:val="0"/>
          <w:sz w:val="24"/>
          <w:szCs w:val="24"/>
          <w:lang w:val="uk-UA" w:eastAsia="uk-UA"/>
          <w14:ligatures w14:val="none"/>
        </w:rPr>
        <w:br w:type="column"/>
      </w:r>
      <w:r w:rsidR="0081070D" w:rsidRPr="00B44B71">
        <w:rPr>
          <w:rFonts w:ascii="Times New Roman" w:eastAsia="Times New Roman" w:hAnsi="Times New Roman" w:cs="Times New Roman"/>
          <w:kern w:val="0"/>
          <w:sz w:val="23"/>
          <w:szCs w:val="23"/>
          <w:lang w:val="uk-UA" w:eastAsia="ru-RU"/>
          <w14:ligatures w14:val="none"/>
        </w:rPr>
        <w:lastRenderedPageBreak/>
        <w:t>ISSN: 2617-1775</w:t>
      </w:r>
      <w:r w:rsidR="0081070D" w:rsidRPr="00E4040F">
        <w:rPr>
          <w:rFonts w:ascii="Times New Roman" w:eastAsia="Calibri" w:hAnsi="Times New Roman" w:cs="Times New Roman"/>
          <w:b/>
          <w:kern w:val="0"/>
          <w:sz w:val="24"/>
          <w:szCs w:val="24"/>
          <w:lang w:val="uk-UA"/>
          <w14:ligatures w14:val="none"/>
        </w:rPr>
        <w:t xml:space="preserve"> </w:t>
      </w:r>
      <w:r w:rsidR="0081070D" w:rsidRPr="002A5031">
        <w:rPr>
          <w:rFonts w:ascii="Times New Roman" w:eastAsia="Calibri" w:hAnsi="Times New Roman" w:cs="Times New Roman"/>
          <w:b/>
          <w:kern w:val="0"/>
          <w:sz w:val="24"/>
          <w:szCs w:val="24"/>
          <w:lang w:val="uk-UA"/>
          <w14:ligatures w14:val="none"/>
        </w:rPr>
        <w:t xml:space="preserve">                                          </w:t>
      </w:r>
      <w:r>
        <w:rPr>
          <w:rFonts w:ascii="Times New Roman" w:eastAsia="Calibri" w:hAnsi="Times New Roman" w:cs="Times New Roman"/>
          <w:b/>
          <w:kern w:val="0"/>
          <w:sz w:val="24"/>
          <w:szCs w:val="24"/>
          <w:lang w:val="uk-UA"/>
          <w14:ligatures w14:val="none"/>
        </w:rPr>
        <w:t xml:space="preserve">  </w:t>
      </w:r>
      <w:r w:rsidR="0081070D" w:rsidRPr="002A5031">
        <w:rPr>
          <w:rFonts w:ascii="Times New Roman" w:eastAsia="Calibri" w:hAnsi="Times New Roman" w:cs="Times New Roman"/>
          <w:b/>
          <w:kern w:val="0"/>
          <w:sz w:val="24"/>
          <w:szCs w:val="24"/>
          <w:lang w:val="uk-UA"/>
          <w14:ligatures w14:val="none"/>
        </w:rPr>
        <w:t xml:space="preserve">                  </w:t>
      </w:r>
      <w:r>
        <w:rPr>
          <w:rFonts w:ascii="Times New Roman" w:eastAsia="Calibri" w:hAnsi="Times New Roman" w:cs="Times New Roman"/>
          <w:b/>
          <w:kern w:val="0"/>
          <w:sz w:val="24"/>
          <w:szCs w:val="24"/>
          <w:lang w:val="uk-UA"/>
          <w14:ligatures w14:val="none"/>
        </w:rPr>
        <w:t xml:space="preserve">        </w:t>
      </w:r>
      <w:r w:rsidR="0081070D" w:rsidRPr="002A5031">
        <w:rPr>
          <w:rFonts w:ascii="Times New Roman" w:eastAsia="Calibri" w:hAnsi="Times New Roman" w:cs="Times New Roman"/>
          <w:b/>
          <w:kern w:val="0"/>
          <w:sz w:val="24"/>
          <w:szCs w:val="24"/>
          <w:lang w:val="uk-UA"/>
          <w14:ligatures w14:val="none"/>
        </w:rPr>
        <w:t xml:space="preserve">        </w:t>
      </w:r>
      <w:r w:rsidR="0081070D">
        <w:rPr>
          <w:rFonts w:ascii="Times New Roman" w:eastAsia="Calibri" w:hAnsi="Times New Roman" w:cs="Times New Roman"/>
          <w:b/>
          <w:kern w:val="0"/>
          <w:sz w:val="24"/>
          <w:szCs w:val="24"/>
          <w:lang w:val="uk-UA"/>
          <w14:ligatures w14:val="none"/>
        </w:rPr>
        <w:t xml:space="preserve"> </w:t>
      </w:r>
      <w:r w:rsidR="0081070D" w:rsidRPr="003B5892">
        <w:rPr>
          <w:rFonts w:ascii="Times New Roman" w:eastAsia="Times New Roman" w:hAnsi="Times New Roman" w:cs="Times New Roman"/>
          <w:b/>
          <w:bCs/>
          <w:kern w:val="0"/>
          <w:sz w:val="24"/>
          <w:szCs w:val="24"/>
          <w:lang w:val="uk-UA" w:eastAsia="uk-UA"/>
          <w14:ligatures w14:val="none"/>
        </w:rPr>
        <w:t xml:space="preserve">УДК </w:t>
      </w:r>
      <w:r w:rsidR="0081070D" w:rsidRPr="002A5031">
        <w:rPr>
          <w:rFonts w:ascii="Times New Roman" w:eastAsia="Times New Roman" w:hAnsi="Times New Roman" w:cs="Times New Roman"/>
          <w:b/>
          <w:bCs/>
          <w:kern w:val="0"/>
          <w:sz w:val="24"/>
          <w:szCs w:val="24"/>
          <w:lang w:val="uk-UA" w:eastAsia="uk-UA"/>
          <w14:ligatures w14:val="none"/>
        </w:rPr>
        <w:t>[519.857+519.872]:</w:t>
      </w:r>
      <w:r w:rsidR="0081070D" w:rsidRPr="003B5892">
        <w:rPr>
          <w:rFonts w:ascii="Times New Roman" w:eastAsia="Times New Roman" w:hAnsi="Times New Roman" w:cs="Times New Roman"/>
          <w:b/>
          <w:bCs/>
          <w:kern w:val="0"/>
          <w:sz w:val="24"/>
          <w:szCs w:val="24"/>
          <w:lang w:val="uk-UA" w:eastAsia="uk-UA"/>
          <w14:ligatures w14:val="none"/>
        </w:rPr>
        <w:t xml:space="preserve"> 355.55</w:t>
      </w:r>
    </w:p>
    <w:p w14:paraId="2FCDDEF1" w14:textId="6EBDB4BE" w:rsidR="0081070D" w:rsidRPr="00F96118" w:rsidRDefault="0081070D" w:rsidP="00023291">
      <w:pPr>
        <w:tabs>
          <w:tab w:val="left" w:pos="9638"/>
        </w:tabs>
        <w:spacing w:after="0" w:line="240" w:lineRule="auto"/>
        <w:rPr>
          <w:rFonts w:ascii="Times New Roman" w:eastAsia="Times New Roman" w:hAnsi="Times New Roman" w:cs="Times New Roman"/>
          <w:color w:val="0563C1"/>
          <w:kern w:val="0"/>
          <w:sz w:val="24"/>
          <w:szCs w:val="24"/>
          <w:u w:val="single"/>
          <w:lang w:val="uk-UA"/>
          <w14:ligatures w14:val="none"/>
        </w:rPr>
      </w:pPr>
      <w:r w:rsidRPr="00B44B71">
        <w:rPr>
          <w:rFonts w:ascii="Times New Roman" w:eastAsia="Times New Roman" w:hAnsi="Times New Roman" w:cs="Times New Roman"/>
          <w:kern w:val="0"/>
          <w:sz w:val="23"/>
          <w:szCs w:val="23"/>
          <w:lang w:val="uk-UA" w:eastAsia="ru-RU"/>
          <w14:ligatures w14:val="none"/>
        </w:rPr>
        <w:t>ISSN: 2617-1783 (online)</w:t>
      </w:r>
      <w:r w:rsidRPr="002A5031">
        <w:rPr>
          <w:rFonts w:ascii="Times New Roman" w:eastAsia="Times New Roman" w:hAnsi="Times New Roman" w:cs="Times New Roman"/>
          <w:kern w:val="0"/>
          <w:sz w:val="23"/>
          <w:szCs w:val="23"/>
          <w:lang w:val="uk-UA" w:eastAsia="ru-RU"/>
          <w14:ligatures w14:val="none"/>
        </w:rPr>
        <w:t xml:space="preserve">                                             </w:t>
      </w:r>
      <w:r w:rsidR="00835182">
        <w:rPr>
          <w:rFonts w:ascii="Times New Roman" w:eastAsia="Times New Roman" w:hAnsi="Times New Roman" w:cs="Times New Roman"/>
          <w:kern w:val="0"/>
          <w:sz w:val="23"/>
          <w:szCs w:val="23"/>
          <w:lang w:val="uk-UA" w:eastAsia="ru-RU"/>
          <w14:ligatures w14:val="none"/>
        </w:rPr>
        <w:t xml:space="preserve">        </w:t>
      </w:r>
      <w:r w:rsidRPr="00F96118">
        <w:rPr>
          <w:rFonts w:ascii="Times New Roman" w:eastAsia="Times New Roman" w:hAnsi="Times New Roman" w:cs="Times New Roman"/>
          <w:bCs/>
          <w:smallCaps/>
          <w:color w:val="000000"/>
          <w:kern w:val="0"/>
          <w:sz w:val="24"/>
          <w:szCs w:val="24"/>
          <w:lang w:eastAsia="ru-RU"/>
          <w14:ligatures w14:val="none"/>
        </w:rPr>
        <w:t>DOI</w:t>
      </w:r>
      <w:r w:rsidRPr="00F96118">
        <w:rPr>
          <w:rFonts w:ascii="Times New Roman" w:eastAsia="Times New Roman" w:hAnsi="Times New Roman" w:cs="Times New Roman"/>
          <w:bCs/>
          <w:smallCaps/>
          <w:color w:val="000000"/>
          <w:kern w:val="0"/>
          <w:sz w:val="24"/>
          <w:szCs w:val="24"/>
          <w:lang w:val="uk-UA" w:eastAsia="ru-RU"/>
          <w14:ligatures w14:val="none"/>
        </w:rPr>
        <w:t>: 10.33099/2617-1775/202</w:t>
      </w:r>
      <w:r>
        <w:rPr>
          <w:rFonts w:ascii="Times New Roman" w:eastAsia="Times New Roman" w:hAnsi="Times New Roman" w:cs="Times New Roman"/>
          <w:bCs/>
          <w:smallCaps/>
          <w:color w:val="000000"/>
          <w:kern w:val="0"/>
          <w:sz w:val="24"/>
          <w:szCs w:val="24"/>
          <w:lang w:val="uk-UA" w:eastAsia="ru-RU"/>
          <w14:ligatures w14:val="none"/>
        </w:rPr>
        <w:t>6</w:t>
      </w:r>
      <w:r w:rsidRPr="00F96118">
        <w:rPr>
          <w:rFonts w:ascii="Times New Roman" w:eastAsia="Times New Roman" w:hAnsi="Times New Roman" w:cs="Times New Roman"/>
          <w:bCs/>
          <w:smallCaps/>
          <w:color w:val="000000"/>
          <w:kern w:val="0"/>
          <w:sz w:val="24"/>
          <w:szCs w:val="24"/>
          <w:lang w:val="uk-UA" w:eastAsia="ru-RU"/>
          <w14:ligatures w14:val="none"/>
        </w:rPr>
        <w:t>-0</w:t>
      </w:r>
      <w:r>
        <w:rPr>
          <w:rFonts w:ascii="Times New Roman" w:eastAsia="Times New Roman" w:hAnsi="Times New Roman" w:cs="Times New Roman"/>
          <w:bCs/>
          <w:smallCaps/>
          <w:color w:val="000000"/>
          <w:kern w:val="0"/>
          <w:sz w:val="24"/>
          <w:szCs w:val="24"/>
          <w:lang w:val="uk-UA" w:eastAsia="ru-RU"/>
          <w14:ligatures w14:val="none"/>
        </w:rPr>
        <w:t>1</w:t>
      </w:r>
      <w:r w:rsidRPr="00835182">
        <w:rPr>
          <w:rFonts w:ascii="Times New Roman" w:eastAsia="Times New Roman" w:hAnsi="Times New Roman" w:cs="Times New Roman"/>
          <w:bCs/>
          <w:smallCaps/>
          <w:color w:val="000000"/>
          <w:kern w:val="0"/>
          <w:sz w:val="24"/>
          <w:szCs w:val="24"/>
          <w:lang w:val="uk-UA" w:eastAsia="ru-RU"/>
          <w14:ligatures w14:val="none"/>
        </w:rPr>
        <w:t>/</w:t>
      </w:r>
      <w:r w:rsidR="00835182" w:rsidRPr="00835182">
        <w:rPr>
          <w:rFonts w:ascii="Times New Roman" w:eastAsia="Times New Roman" w:hAnsi="Times New Roman" w:cs="Times New Roman"/>
          <w:bCs/>
          <w:smallCaps/>
          <w:color w:val="000000"/>
          <w:kern w:val="0"/>
          <w:sz w:val="24"/>
          <w:szCs w:val="24"/>
          <w:lang w:val="uk-UA" w:eastAsia="ru-RU"/>
          <w14:ligatures w14:val="none"/>
        </w:rPr>
        <w:t>129-142</w:t>
      </w:r>
      <w:r w:rsidRPr="00835182">
        <w:rPr>
          <w:rFonts w:ascii="Times New Roman" w:eastAsia="Times New Roman" w:hAnsi="Times New Roman" w:cs="Times New Roman"/>
          <w:bCs/>
          <w:smallCaps/>
          <w:color w:val="000000"/>
          <w:kern w:val="0"/>
          <w:sz w:val="24"/>
          <w:szCs w:val="24"/>
          <w:lang w:val="uk-UA" w:eastAsia="ru-RU"/>
          <w14:ligatures w14:val="none"/>
        </w:rPr>
        <w:tab/>
      </w:r>
    </w:p>
    <w:p w14:paraId="07EE8F9B" w14:textId="77777777" w:rsidR="0081070D" w:rsidRPr="002A5031" w:rsidRDefault="0081070D" w:rsidP="00023291">
      <w:pPr>
        <w:tabs>
          <w:tab w:val="left" w:pos="9638"/>
        </w:tabs>
        <w:spacing w:after="0" w:line="240" w:lineRule="auto"/>
        <w:rPr>
          <w:rFonts w:ascii="Times New Roman" w:eastAsia="Calibri" w:hAnsi="Times New Roman" w:cs="Times New Roman"/>
          <w:b/>
          <w:kern w:val="0"/>
          <w:sz w:val="24"/>
          <w:szCs w:val="24"/>
          <w:lang w:val="uk-UA"/>
          <w14:ligatures w14:val="none"/>
        </w:rPr>
      </w:pPr>
      <w:r w:rsidRPr="002A5031">
        <w:rPr>
          <w:rFonts w:ascii="Times New Roman" w:eastAsia="Times New Roman" w:hAnsi="Times New Roman" w:cs="Times New Roman"/>
          <w:kern w:val="0"/>
          <w:sz w:val="23"/>
          <w:szCs w:val="23"/>
          <w:lang w:val="uk-UA" w:eastAsia="ru-RU"/>
          <w14:ligatures w14:val="none"/>
        </w:rPr>
        <w:t xml:space="preserve">     </w:t>
      </w:r>
    </w:p>
    <w:p w14:paraId="0AB77F99" w14:textId="77777777" w:rsidR="00385184" w:rsidRPr="003B5892" w:rsidRDefault="00385184" w:rsidP="00023291">
      <w:pPr>
        <w:tabs>
          <w:tab w:val="left" w:pos="9638"/>
        </w:tabs>
        <w:spacing w:after="0" w:line="240" w:lineRule="auto"/>
        <w:ind w:left="284" w:right="-1" w:firstLine="283"/>
        <w:jc w:val="right"/>
        <w:rPr>
          <w:rFonts w:ascii="Times New Roman" w:eastAsia="Times New Roman" w:hAnsi="Times New Roman" w:cs="Times New Roman"/>
          <w:b/>
          <w:kern w:val="0"/>
          <w:sz w:val="24"/>
          <w:szCs w:val="24"/>
          <w:lang w:val="uk-UA" w:eastAsia="uk-UA"/>
          <w14:ligatures w14:val="none"/>
        </w:rPr>
      </w:pPr>
      <w:r w:rsidRPr="003B5892">
        <w:rPr>
          <w:rFonts w:ascii="Times New Roman" w:eastAsia="Times New Roman" w:hAnsi="Times New Roman" w:cs="Times New Roman"/>
          <w:b/>
          <w:kern w:val="0"/>
          <w:sz w:val="24"/>
          <w:szCs w:val="24"/>
          <w:lang w:val="uk-UA" w:eastAsia="uk-UA"/>
          <w14:ligatures w14:val="none"/>
        </w:rPr>
        <w:t>Микола Думенко</w:t>
      </w:r>
      <w:r w:rsidRPr="003B5892">
        <w:rPr>
          <w:rFonts w:ascii="Times New Roman" w:eastAsia="Times New Roman" w:hAnsi="Times New Roman" w:cs="Times New Roman"/>
          <w:bCs/>
          <w:kern w:val="0"/>
          <w:sz w:val="24"/>
          <w:szCs w:val="24"/>
          <w:lang w:val="uk-UA" w:eastAsia="uk-UA"/>
          <w14:ligatures w14:val="none"/>
        </w:rPr>
        <w:t>,</w:t>
      </w:r>
    </w:p>
    <w:p w14:paraId="3CA6D451" w14:textId="77777777" w:rsidR="00385184" w:rsidRPr="003B5892" w:rsidRDefault="00385184" w:rsidP="00023291">
      <w:pPr>
        <w:tabs>
          <w:tab w:val="left" w:pos="9638"/>
        </w:tabs>
        <w:spacing w:after="0" w:line="240" w:lineRule="auto"/>
        <w:ind w:left="284" w:right="-1" w:firstLine="283"/>
        <w:jc w:val="right"/>
        <w:rPr>
          <w:rFonts w:ascii="Times New Roman" w:eastAsia="Times New Roman" w:hAnsi="Times New Roman" w:cs="Times New Roman"/>
          <w:bCs/>
          <w:kern w:val="0"/>
          <w:sz w:val="24"/>
          <w:szCs w:val="24"/>
          <w:lang w:val="ru-RU" w:eastAsia="uk-UA"/>
          <w14:ligatures w14:val="none"/>
        </w:rPr>
      </w:pPr>
      <w:r w:rsidRPr="003B5892">
        <w:rPr>
          <w:rFonts w:ascii="Times New Roman" w:eastAsia="Times New Roman" w:hAnsi="Times New Roman" w:cs="Times New Roman"/>
          <w:bCs/>
          <w:kern w:val="0"/>
          <w:sz w:val="24"/>
          <w:szCs w:val="24"/>
          <w:lang w:val="uk-UA" w:eastAsia="uk-UA"/>
          <w14:ligatures w14:val="none"/>
        </w:rPr>
        <w:t>доктор військових наук</w:t>
      </w:r>
    </w:p>
    <w:p w14:paraId="672C090E" w14:textId="77777777" w:rsidR="00385184" w:rsidRPr="003B5892" w:rsidRDefault="00385184" w:rsidP="00023291">
      <w:pPr>
        <w:tabs>
          <w:tab w:val="left" w:pos="9638"/>
        </w:tabs>
        <w:spacing w:after="0" w:line="240" w:lineRule="auto"/>
        <w:ind w:firstLine="567"/>
        <w:jc w:val="right"/>
        <w:rPr>
          <w:rFonts w:ascii="Times New Roman" w:eastAsia="Times New Roman" w:hAnsi="Times New Roman" w:cs="Times New Roman"/>
          <w:bCs/>
          <w:kern w:val="0"/>
          <w:sz w:val="24"/>
          <w:szCs w:val="24"/>
          <w:lang w:val="ru-RU" w:eastAsia="uk-UA"/>
          <w14:ligatures w14:val="none"/>
        </w:rPr>
      </w:pPr>
      <w:r w:rsidRPr="003B5892">
        <w:rPr>
          <w:rFonts w:ascii="Times New Roman" w:eastAsia="Times New Roman" w:hAnsi="Times New Roman" w:cs="Times New Roman"/>
          <w:bCs/>
          <w:kern w:val="0"/>
          <w:sz w:val="24"/>
          <w:szCs w:val="24"/>
          <w:lang w:val="uk-UA" w:eastAsia="uk-UA"/>
          <w14:ligatures w14:val="none"/>
        </w:rPr>
        <w:t xml:space="preserve">Міністерство оборони України, Київ </w:t>
      </w:r>
    </w:p>
    <w:p w14:paraId="1F6451ED" w14:textId="77777777" w:rsidR="00385184" w:rsidRPr="003B5892" w:rsidRDefault="00385184" w:rsidP="00023291">
      <w:pPr>
        <w:tabs>
          <w:tab w:val="left" w:pos="9638"/>
        </w:tabs>
        <w:spacing w:after="0" w:line="240" w:lineRule="auto"/>
        <w:jc w:val="right"/>
        <w:rPr>
          <w:rFonts w:ascii="Times New Roman" w:eastAsia="Calibri" w:hAnsi="Times New Roman" w:cs="Times New Roman"/>
          <w:kern w:val="0"/>
          <w:sz w:val="24"/>
          <w:szCs w:val="24"/>
          <w:lang w:val="ru-RU"/>
          <w14:ligatures w14:val="none"/>
        </w:rPr>
      </w:pPr>
      <w:hyperlink r:id="rId173" w:history="1">
        <w:r w:rsidRPr="003B5892">
          <w:rPr>
            <w:rFonts w:ascii="Times New Roman" w:eastAsia="Calibri" w:hAnsi="Times New Roman" w:cs="Times New Roman"/>
            <w:kern w:val="0"/>
            <w:sz w:val="24"/>
            <w:szCs w:val="24"/>
            <w:u w:val="single"/>
            <w14:ligatures w14:val="none"/>
          </w:rPr>
          <w:t>https</w:t>
        </w:r>
        <w:r w:rsidRPr="003B5892">
          <w:rPr>
            <w:rFonts w:ascii="Times New Roman" w:eastAsia="Calibri" w:hAnsi="Times New Roman" w:cs="Times New Roman"/>
            <w:kern w:val="0"/>
            <w:sz w:val="24"/>
            <w:szCs w:val="24"/>
            <w:u w:val="single"/>
            <w:lang w:val="ru-RU"/>
            <w14:ligatures w14:val="none"/>
          </w:rPr>
          <w:t>://orcid.org/0009-0007-8437-9765</w:t>
        </w:r>
      </w:hyperlink>
    </w:p>
    <w:p w14:paraId="66A7C3E4" w14:textId="77777777" w:rsidR="00385184" w:rsidRPr="003B5892" w:rsidRDefault="00385184" w:rsidP="00023291">
      <w:pPr>
        <w:tabs>
          <w:tab w:val="left" w:pos="9638"/>
        </w:tabs>
        <w:spacing w:after="0" w:line="240" w:lineRule="auto"/>
        <w:ind w:left="1134"/>
        <w:jc w:val="right"/>
        <w:rPr>
          <w:rFonts w:ascii="Times New Roman" w:eastAsia="Times New Roman" w:hAnsi="Times New Roman" w:cs="Times New Roman"/>
          <w:b/>
          <w:bCs/>
          <w:kern w:val="0"/>
          <w:sz w:val="24"/>
          <w:szCs w:val="24"/>
          <w:lang w:val="uk-UA" w:eastAsia="ru-RU"/>
          <w14:ligatures w14:val="none"/>
        </w:rPr>
      </w:pPr>
      <w:r w:rsidRPr="003B5892">
        <w:rPr>
          <w:rFonts w:ascii="Times New Roman" w:eastAsia="Times New Roman" w:hAnsi="Times New Roman" w:cs="Times New Roman"/>
          <w:b/>
          <w:bCs/>
          <w:kern w:val="0"/>
          <w:sz w:val="24"/>
          <w:szCs w:val="24"/>
          <w:lang w:val="uk-UA" w:eastAsia="ru-RU"/>
          <w14:ligatures w14:val="none"/>
        </w:rPr>
        <w:t>Аркадій Атрохов,</w:t>
      </w:r>
    </w:p>
    <w:p w14:paraId="4D12F704" w14:textId="77777777" w:rsidR="00385184" w:rsidRPr="003B5892" w:rsidRDefault="00385184" w:rsidP="00023291">
      <w:pPr>
        <w:tabs>
          <w:tab w:val="left" w:pos="9638"/>
        </w:tabs>
        <w:spacing w:after="0" w:line="240" w:lineRule="auto"/>
        <w:ind w:left="1134"/>
        <w:jc w:val="right"/>
        <w:rPr>
          <w:rFonts w:ascii="Times New Roman" w:eastAsia="Times New Roman" w:hAnsi="Times New Roman" w:cs="Times New Roman"/>
          <w:kern w:val="0"/>
          <w:sz w:val="24"/>
          <w:szCs w:val="24"/>
          <w:lang w:val="uk-UA" w:eastAsia="ru-RU"/>
          <w14:ligatures w14:val="none"/>
        </w:rPr>
      </w:pPr>
      <w:r w:rsidRPr="003B5892">
        <w:rPr>
          <w:rFonts w:ascii="Times New Roman" w:eastAsia="Times New Roman" w:hAnsi="Times New Roman" w:cs="Times New Roman"/>
          <w:kern w:val="0"/>
          <w:sz w:val="24"/>
          <w:szCs w:val="24"/>
          <w:lang w:val="uk-UA" w:eastAsia="ru-RU"/>
          <w14:ligatures w14:val="none"/>
        </w:rPr>
        <w:t>кандидат технічних наук, старший науковий співробітник</w:t>
      </w:r>
    </w:p>
    <w:p w14:paraId="6B9B3196" w14:textId="77777777" w:rsidR="00385184" w:rsidRPr="003B5892" w:rsidRDefault="00385184" w:rsidP="00023291">
      <w:pPr>
        <w:tabs>
          <w:tab w:val="left" w:pos="9638"/>
        </w:tabs>
        <w:spacing w:after="0" w:line="240" w:lineRule="auto"/>
        <w:ind w:left="1134"/>
        <w:jc w:val="right"/>
        <w:rPr>
          <w:rFonts w:ascii="Times New Roman" w:eastAsia="Times New Roman" w:hAnsi="Times New Roman" w:cs="Times New Roman"/>
          <w:kern w:val="0"/>
          <w:sz w:val="24"/>
          <w:szCs w:val="24"/>
          <w:lang w:val="uk-UA" w:eastAsia="ru-RU"/>
          <w14:ligatures w14:val="none"/>
        </w:rPr>
      </w:pPr>
      <w:r w:rsidRPr="003B5892">
        <w:rPr>
          <w:rFonts w:ascii="Times New Roman" w:eastAsia="Times New Roman" w:hAnsi="Times New Roman" w:cs="Times New Roman"/>
          <w:kern w:val="0"/>
          <w:sz w:val="24"/>
          <w:szCs w:val="24"/>
          <w:lang w:val="uk-UA" w:eastAsia="ru-RU"/>
          <w14:ligatures w14:val="none"/>
        </w:rPr>
        <w:t xml:space="preserve">Національний університет оборони України, м. Київ </w:t>
      </w:r>
    </w:p>
    <w:p w14:paraId="3BCA3F3A" w14:textId="77777777" w:rsidR="00385184" w:rsidRDefault="00385184" w:rsidP="00023291">
      <w:pPr>
        <w:tabs>
          <w:tab w:val="left" w:pos="9638"/>
        </w:tabs>
        <w:spacing w:after="0" w:line="240" w:lineRule="auto"/>
        <w:ind w:firstLine="709"/>
        <w:jc w:val="right"/>
        <w:rPr>
          <w:lang w:val="uk-UA"/>
        </w:rPr>
      </w:pPr>
      <w:hyperlink r:id="rId174" w:history="1">
        <w:r w:rsidRPr="003B5892">
          <w:rPr>
            <w:rFonts w:ascii="Times New Roman" w:eastAsia="Times New Roman" w:hAnsi="Times New Roman" w:cs="Times New Roman"/>
            <w:color w:val="000000"/>
            <w:kern w:val="0"/>
            <w:sz w:val="24"/>
            <w:szCs w:val="24"/>
            <w:u w:val="single"/>
            <w:lang w:val="uk-UA" w:eastAsia="uk-UA"/>
            <w14:ligatures w14:val="none"/>
          </w:rPr>
          <w:t>https://orcid.org/0000-0001-7162-1638</w:t>
        </w:r>
      </w:hyperlink>
    </w:p>
    <w:p w14:paraId="40D2C979" w14:textId="77777777" w:rsidR="00446297" w:rsidRPr="00F96118" w:rsidRDefault="00446297" w:rsidP="00023291">
      <w:pPr>
        <w:tabs>
          <w:tab w:val="left" w:pos="993"/>
          <w:tab w:val="left" w:pos="9638"/>
        </w:tabs>
        <w:spacing w:after="0" w:line="240" w:lineRule="auto"/>
        <w:jc w:val="right"/>
        <w:rPr>
          <w:rFonts w:ascii="Times New Roman" w:eastAsia="Calibri" w:hAnsi="Times New Roman" w:cs="Times New Roman"/>
          <w:kern w:val="0"/>
          <w:sz w:val="28"/>
          <w:szCs w:val="28"/>
          <w:lang w:val="uk-UA"/>
          <w14:ligatures w14:val="none"/>
        </w:rPr>
      </w:pPr>
    </w:p>
    <w:p w14:paraId="695443BA" w14:textId="77777777" w:rsidR="00385184" w:rsidRPr="003B5892" w:rsidRDefault="00385184" w:rsidP="00023291">
      <w:pPr>
        <w:shd w:val="clear" w:color="auto" w:fill="FFFFFF"/>
        <w:tabs>
          <w:tab w:val="left" w:pos="9638"/>
        </w:tabs>
        <w:spacing w:after="0" w:line="240" w:lineRule="auto"/>
        <w:ind w:right="-29"/>
        <w:jc w:val="center"/>
        <w:rPr>
          <w:rFonts w:ascii="Times New Roman" w:eastAsia="Times New Roman" w:hAnsi="Times New Roman" w:cs="Times New Roman"/>
          <w:b/>
          <w:bCs/>
          <w:kern w:val="0"/>
          <w:sz w:val="24"/>
          <w:szCs w:val="24"/>
          <w:lang w:val="uk-UA" w:eastAsia="uk-UA"/>
          <w14:ligatures w14:val="none"/>
        </w:rPr>
      </w:pPr>
      <w:r w:rsidRPr="003B5892">
        <w:rPr>
          <w:rFonts w:ascii="Times New Roman" w:eastAsia="Times New Roman" w:hAnsi="Times New Roman" w:cs="Times New Roman"/>
          <w:b/>
          <w:bCs/>
          <w:kern w:val="0"/>
          <w:sz w:val="24"/>
          <w:szCs w:val="24"/>
          <w:lang w:val="uk-UA" w:eastAsia="uk-UA"/>
          <w14:ligatures w14:val="none"/>
        </w:rPr>
        <w:t>ПРОБЛЕМИ ВІЙСЬКОВОЇ ПІДГОТОВКИ ГРОМАДЯН УКРАЇНИ ЗА ПРОГРАМОЮ ОФІЦЕРІВ ЗАПАСУ ДЛЯ ПОТРЕБ ЗБРОЙНИХ СИЛ УКРАЇНИ ТА ІНШИХ ВІЙСЬКОВИХ ФОРМУВАННЬ</w:t>
      </w:r>
    </w:p>
    <w:p w14:paraId="60B71EF2" w14:textId="77777777" w:rsidR="00385184" w:rsidRPr="003B5892" w:rsidRDefault="00385184" w:rsidP="00023291">
      <w:pPr>
        <w:shd w:val="clear" w:color="auto" w:fill="FFFFFF"/>
        <w:tabs>
          <w:tab w:val="left" w:pos="9638"/>
        </w:tabs>
        <w:spacing w:after="0" w:line="240" w:lineRule="auto"/>
        <w:ind w:right="-29"/>
        <w:jc w:val="center"/>
        <w:rPr>
          <w:rFonts w:ascii="Times New Roman" w:eastAsia="Times New Roman" w:hAnsi="Times New Roman" w:cs="Times New Roman"/>
          <w:b/>
          <w:bCs/>
          <w:kern w:val="0"/>
          <w:sz w:val="24"/>
          <w:szCs w:val="24"/>
          <w:lang w:val="uk-UA" w:eastAsia="uk-UA"/>
          <w14:ligatures w14:val="none"/>
        </w:rPr>
      </w:pPr>
    </w:p>
    <w:p w14:paraId="6C2B04BA" w14:textId="77777777" w:rsidR="00385184" w:rsidRPr="003B5892" w:rsidRDefault="00385184" w:rsidP="00023291">
      <w:pPr>
        <w:widowControl w:val="0"/>
        <w:tabs>
          <w:tab w:val="left" w:pos="1134"/>
          <w:tab w:val="left" w:pos="9638"/>
        </w:tabs>
        <w:spacing w:after="0" w:line="240" w:lineRule="auto"/>
        <w:ind w:firstLine="709"/>
        <w:jc w:val="both"/>
        <w:rPr>
          <w:rFonts w:ascii="Times New Roman" w:eastAsia="Times New Roman" w:hAnsi="Times New Roman" w:cs="Times New Roman"/>
          <w:i/>
          <w:kern w:val="0"/>
          <w:sz w:val="24"/>
          <w:szCs w:val="24"/>
          <w:shd w:val="clear" w:color="auto" w:fill="FFFFFF"/>
          <w:lang w:val="uk-UA" w:eastAsia="uk-UA"/>
          <w14:ligatures w14:val="none"/>
        </w:rPr>
      </w:pPr>
      <w:r w:rsidRPr="003B5892">
        <w:rPr>
          <w:rFonts w:ascii="Times New Roman" w:eastAsia="Times New Roman" w:hAnsi="Times New Roman" w:cs="Times New Roman"/>
          <w:i/>
          <w:kern w:val="0"/>
          <w:sz w:val="24"/>
          <w:szCs w:val="24"/>
          <w:lang w:val="uk-UA" w:eastAsia="uk-UA"/>
          <w14:ligatures w14:val="none"/>
        </w:rPr>
        <w:t xml:space="preserve">У статті на підставі аналізу стану </w:t>
      </w:r>
      <w:r w:rsidRPr="003B5892">
        <w:rPr>
          <w:rFonts w:ascii="Times New Roman" w:eastAsia="Times New Roman" w:hAnsi="Times New Roman" w:cs="Times New Roman"/>
          <w:i/>
          <w:kern w:val="0"/>
          <w:sz w:val="24"/>
          <w:szCs w:val="24"/>
          <w:lang w:val="uk-UA" w:eastAsia="ru-RU"/>
          <w14:ligatures w14:val="none"/>
        </w:rPr>
        <w:t xml:space="preserve">військової </w:t>
      </w:r>
      <w:r w:rsidRPr="003B5892">
        <w:rPr>
          <w:rFonts w:ascii="Times New Roman" w:eastAsia="Times New Roman" w:hAnsi="Times New Roman" w:cs="Times New Roman"/>
          <w:i/>
          <w:kern w:val="0"/>
          <w:sz w:val="24"/>
          <w:szCs w:val="24"/>
          <w:shd w:val="clear" w:color="auto" w:fill="FFFFFF"/>
          <w:lang w:val="uk-UA" w:eastAsia="uk-UA"/>
          <w14:ligatures w14:val="none"/>
        </w:rPr>
        <w:t xml:space="preserve">підготовки громадян України </w:t>
      </w:r>
      <w:r w:rsidRPr="003B5892">
        <w:rPr>
          <w:rFonts w:ascii="Times New Roman" w:eastAsia="Times New Roman" w:hAnsi="Times New Roman" w:cs="Times New Roman"/>
          <w:i/>
          <w:kern w:val="0"/>
          <w:sz w:val="24"/>
          <w:szCs w:val="24"/>
          <w:lang w:val="uk-UA" w:eastAsia="ru-RU"/>
          <w14:ligatures w14:val="none"/>
        </w:rPr>
        <w:t>за програмою офіцерів запасу у вищих військових навчальних закладах, військових навчальних підрозділах закладів вищої освіти</w:t>
      </w:r>
      <w:r w:rsidRPr="003B5892">
        <w:rPr>
          <w:rFonts w:ascii="Times New Roman" w:eastAsia="Times New Roman" w:hAnsi="Times New Roman" w:cs="Times New Roman"/>
          <w:i/>
          <w:kern w:val="0"/>
          <w:sz w:val="24"/>
          <w:szCs w:val="24"/>
          <w:lang w:val="uk-UA" w:eastAsia="uk-UA"/>
          <w14:ligatures w14:val="none"/>
        </w:rPr>
        <w:t xml:space="preserve"> </w:t>
      </w:r>
      <w:r w:rsidRPr="003B5892">
        <w:rPr>
          <w:rFonts w:ascii="Times New Roman" w:eastAsia="Times New Roman" w:hAnsi="Times New Roman" w:cs="Times New Roman"/>
          <w:i/>
          <w:kern w:val="0"/>
          <w:sz w:val="24"/>
          <w:szCs w:val="24"/>
          <w:lang w:val="uk-UA" w:eastAsia="ru-RU"/>
          <w14:ligatures w14:val="none"/>
        </w:rPr>
        <w:t>досліджуються існуючі проблемні питання</w:t>
      </w:r>
      <w:r w:rsidRPr="003B5892">
        <w:rPr>
          <w:rFonts w:ascii="Times New Roman" w:eastAsia="Times New Roman" w:hAnsi="Times New Roman" w:cs="Times New Roman"/>
          <w:i/>
          <w:kern w:val="0"/>
          <w:sz w:val="24"/>
          <w:szCs w:val="24"/>
          <w:shd w:val="clear" w:color="auto" w:fill="FFFFFF"/>
          <w:lang w:val="uk-UA" w:eastAsia="uk-UA"/>
          <w14:ligatures w14:val="none"/>
        </w:rPr>
        <w:t xml:space="preserve"> </w:t>
      </w:r>
      <w:r w:rsidRPr="003B5892">
        <w:rPr>
          <w:rFonts w:ascii="Times New Roman" w:eastAsia="Times New Roman" w:hAnsi="Times New Roman" w:cs="Times New Roman"/>
          <w:i/>
          <w:kern w:val="0"/>
          <w:sz w:val="24"/>
          <w:szCs w:val="24"/>
          <w:lang w:val="uk-UA" w:eastAsia="ru-RU"/>
          <w14:ligatures w14:val="none"/>
        </w:rPr>
        <w:t xml:space="preserve">військової </w:t>
      </w:r>
      <w:r w:rsidRPr="003B5892">
        <w:rPr>
          <w:rFonts w:ascii="Times New Roman" w:eastAsia="Times New Roman" w:hAnsi="Times New Roman" w:cs="Times New Roman"/>
          <w:i/>
          <w:kern w:val="0"/>
          <w:sz w:val="24"/>
          <w:szCs w:val="24"/>
          <w:shd w:val="clear" w:color="auto" w:fill="FFFFFF"/>
          <w:lang w:val="uk-UA" w:eastAsia="uk-UA"/>
          <w14:ligatures w14:val="none"/>
        </w:rPr>
        <w:t xml:space="preserve">підготовки громадян України </w:t>
      </w:r>
      <w:r w:rsidRPr="003B5892">
        <w:rPr>
          <w:rFonts w:ascii="Times New Roman" w:eastAsia="Times New Roman" w:hAnsi="Times New Roman" w:cs="Times New Roman"/>
          <w:i/>
          <w:kern w:val="0"/>
          <w:sz w:val="24"/>
          <w:szCs w:val="24"/>
          <w:lang w:val="uk-UA" w:eastAsia="ru-RU"/>
          <w14:ligatures w14:val="none"/>
        </w:rPr>
        <w:t xml:space="preserve">за програмою офіцерів запасу, </w:t>
      </w:r>
      <w:r w:rsidRPr="003B5892">
        <w:rPr>
          <w:rFonts w:ascii="Times New Roman" w:eastAsia="Times New Roman" w:hAnsi="Times New Roman" w:cs="Times New Roman"/>
          <w:i/>
          <w:kern w:val="0"/>
          <w:sz w:val="24"/>
          <w:szCs w:val="24"/>
          <w:lang w:val="uk-UA" w:eastAsia="uk-UA"/>
          <w14:ligatures w14:val="none"/>
        </w:rPr>
        <w:t xml:space="preserve">як важливого елемента системи професійної військової освіти системи Міністерства оборони України та можливі напрями їх вирішення. Обґрунтовано необхідність внесення змін до нормативно-правових документів, які регламентують підготовку офіцерів запасу та запропоновано </w:t>
      </w:r>
      <w:r w:rsidRPr="003B5892">
        <w:rPr>
          <w:rFonts w:ascii="Times New Roman" w:eastAsia="Times New Roman" w:hAnsi="Times New Roman" w:cs="Times New Roman"/>
          <w:i/>
          <w:kern w:val="0"/>
          <w:sz w:val="24"/>
          <w:szCs w:val="24"/>
          <w:shd w:val="clear" w:color="auto" w:fill="FFFFFF"/>
          <w:lang w:val="uk-UA" w:eastAsia="uk-UA"/>
          <w14:ligatures w14:val="none"/>
        </w:rPr>
        <w:t>варіант перспективної моделі військової підготовки офіцерів запасу з можливим алгоритмом залучення офіцерів запасу до військової служби.</w:t>
      </w:r>
    </w:p>
    <w:p w14:paraId="4961331B" w14:textId="77777777" w:rsidR="00385184" w:rsidRPr="003B5892" w:rsidRDefault="00385184" w:rsidP="00023291">
      <w:pPr>
        <w:widowControl w:val="0"/>
        <w:tabs>
          <w:tab w:val="left" w:pos="1134"/>
          <w:tab w:val="left" w:pos="9638"/>
        </w:tabs>
        <w:spacing w:after="0" w:line="240" w:lineRule="auto"/>
        <w:jc w:val="both"/>
        <w:rPr>
          <w:rFonts w:ascii="Times New Roman" w:eastAsia="Times New Roman" w:hAnsi="Times New Roman" w:cs="Times New Roman"/>
          <w:bCs/>
          <w:i/>
          <w:iCs/>
          <w:kern w:val="0"/>
          <w:sz w:val="24"/>
          <w:szCs w:val="24"/>
          <w:lang w:val="uk-UA" w:eastAsia="uk-UA"/>
          <w14:ligatures w14:val="none"/>
        </w:rPr>
      </w:pPr>
      <w:r w:rsidRPr="003B5892">
        <w:rPr>
          <w:rFonts w:ascii="Times New Roman" w:eastAsia="Times New Roman" w:hAnsi="Times New Roman" w:cs="Times New Roman"/>
          <w:b/>
          <w:i/>
          <w:iCs/>
          <w:kern w:val="0"/>
          <w:sz w:val="24"/>
          <w:szCs w:val="24"/>
          <w:lang w:val="uk-UA" w:eastAsia="uk-UA"/>
          <w14:ligatures w14:val="none"/>
        </w:rPr>
        <w:t>Ключові слова</w:t>
      </w:r>
      <w:r w:rsidRPr="003B5892">
        <w:rPr>
          <w:rFonts w:ascii="Times New Roman" w:eastAsia="Times New Roman" w:hAnsi="Times New Roman" w:cs="Times New Roman"/>
          <w:i/>
          <w:iCs/>
          <w:kern w:val="0"/>
          <w:sz w:val="24"/>
          <w:szCs w:val="24"/>
          <w:lang w:val="uk-UA" w:eastAsia="uk-UA"/>
          <w14:ligatures w14:val="none"/>
        </w:rPr>
        <w:t>:</w:t>
      </w:r>
      <w:r w:rsidRPr="003B5892">
        <w:rPr>
          <w:rFonts w:ascii="Times New Roman" w:eastAsia="Times New Roman" w:hAnsi="Times New Roman" w:cs="Times New Roman"/>
          <w:i/>
          <w:kern w:val="0"/>
          <w:sz w:val="24"/>
          <w:szCs w:val="24"/>
          <w:lang w:val="uk-UA" w:eastAsia="ru-RU"/>
          <w14:ligatures w14:val="none"/>
        </w:rPr>
        <w:t xml:space="preserve"> </w:t>
      </w:r>
      <w:r w:rsidRPr="003B5892">
        <w:rPr>
          <w:rFonts w:ascii="Times New Roman" w:eastAsia="Times New Roman" w:hAnsi="Times New Roman" w:cs="Times New Roman"/>
          <w:i/>
          <w:kern w:val="0"/>
          <w:sz w:val="24"/>
          <w:szCs w:val="24"/>
          <w:lang w:val="uk-UA" w:eastAsia="uk-UA"/>
          <w14:ligatures w14:val="none"/>
        </w:rPr>
        <w:t>система професійної військової освіти</w:t>
      </w:r>
      <w:r w:rsidRPr="003B5892">
        <w:rPr>
          <w:rFonts w:ascii="Times New Roman" w:eastAsia="Times New Roman" w:hAnsi="Times New Roman" w:cs="Times New Roman"/>
          <w:i/>
          <w:kern w:val="0"/>
          <w:sz w:val="24"/>
          <w:szCs w:val="24"/>
          <w:shd w:val="clear" w:color="auto" w:fill="FFFFFF"/>
          <w:lang w:val="uk-UA" w:eastAsia="uk-UA"/>
          <w14:ligatures w14:val="none"/>
        </w:rPr>
        <w:t>;</w:t>
      </w:r>
      <w:r w:rsidRPr="003B5892">
        <w:rPr>
          <w:rFonts w:ascii="Times New Roman" w:eastAsia="Times New Roman" w:hAnsi="Times New Roman" w:cs="Times New Roman"/>
          <w:i/>
          <w:kern w:val="0"/>
          <w:sz w:val="24"/>
          <w:szCs w:val="24"/>
          <w:lang w:val="uk-UA" w:eastAsia="uk-UA"/>
          <w14:ligatures w14:val="none"/>
        </w:rPr>
        <w:t xml:space="preserve"> військова підготовка громадян України за програмою підготовки офіцерів запасу; система підготовки офіцерів запасу; вищі військові навчальні заклади; військовий навчальний підрозділ закладу вищої освіти; кафедра військової підготовки; науково-педагогічний склад; викладацький склад.</w:t>
      </w:r>
    </w:p>
    <w:p w14:paraId="30F25D10" w14:textId="77777777" w:rsidR="00385184" w:rsidRPr="003B5892" w:rsidRDefault="00385184" w:rsidP="00023291">
      <w:pPr>
        <w:widowControl w:val="0"/>
        <w:tabs>
          <w:tab w:val="left" w:pos="1134"/>
          <w:tab w:val="left" w:pos="9638"/>
        </w:tabs>
        <w:spacing w:after="0" w:line="240" w:lineRule="auto"/>
        <w:ind w:firstLine="709"/>
        <w:jc w:val="both"/>
        <w:rPr>
          <w:rFonts w:ascii="Times New Roman" w:eastAsia="Times New Roman" w:hAnsi="Times New Roman" w:cs="Times New Roman"/>
          <w:b/>
          <w:bCs/>
          <w:kern w:val="0"/>
          <w:sz w:val="24"/>
          <w:szCs w:val="24"/>
          <w:lang w:val="uk-UA" w:eastAsia="uk-UA"/>
          <w14:ligatures w14:val="none"/>
        </w:rPr>
      </w:pPr>
    </w:p>
    <w:p w14:paraId="73065FF3" w14:textId="46DE086F" w:rsidR="00385184" w:rsidRPr="001F540E" w:rsidRDefault="00385184" w:rsidP="001F540E">
      <w:pPr>
        <w:widowControl w:val="0"/>
        <w:tabs>
          <w:tab w:val="left" w:pos="1134"/>
          <w:tab w:val="left" w:pos="9638"/>
        </w:tabs>
        <w:spacing w:after="0" w:line="240" w:lineRule="auto"/>
        <w:ind w:firstLine="709"/>
        <w:jc w:val="both"/>
        <w:rPr>
          <w:rFonts w:ascii="Times New Roman" w:eastAsia="Times New Roman" w:hAnsi="Times New Roman" w:cs="Times New Roman"/>
          <w:bCs/>
          <w:i/>
          <w:iCs/>
          <w:kern w:val="0"/>
          <w:sz w:val="24"/>
          <w:szCs w:val="24"/>
          <w:lang w:val="uk-UA" w:eastAsia="uk-UA"/>
          <w14:ligatures w14:val="none"/>
        </w:rPr>
      </w:pPr>
      <w:r w:rsidRPr="003B5892">
        <w:rPr>
          <w:rFonts w:ascii="Times New Roman" w:eastAsia="Times New Roman" w:hAnsi="Times New Roman" w:cs="Times New Roman"/>
          <w:b/>
          <w:bCs/>
          <w:kern w:val="0"/>
          <w:sz w:val="24"/>
          <w:szCs w:val="24"/>
          <w:lang w:val="uk-UA" w:eastAsia="uk-UA"/>
          <w14:ligatures w14:val="none"/>
        </w:rPr>
        <w:t>Постановка проблеми.</w:t>
      </w:r>
      <w:r w:rsidR="001F540E">
        <w:rPr>
          <w:rFonts w:ascii="Times New Roman" w:eastAsia="Times New Roman" w:hAnsi="Times New Roman" w:cs="Times New Roman"/>
          <w:bCs/>
          <w:i/>
          <w:iCs/>
          <w:kern w:val="0"/>
          <w:sz w:val="24"/>
          <w:szCs w:val="24"/>
          <w:lang w:val="uk-UA" w:eastAsia="uk-UA"/>
          <w14:ligatures w14:val="none"/>
        </w:rPr>
        <w:t xml:space="preserve"> </w:t>
      </w:r>
      <w:r w:rsidRPr="003B5892">
        <w:rPr>
          <w:rFonts w:ascii="Times New Roman" w:eastAsia="Times New Roman" w:hAnsi="Times New Roman" w:cs="Times New Roman"/>
          <w:kern w:val="0"/>
          <w:sz w:val="24"/>
          <w:szCs w:val="24"/>
          <w:lang w:val="uk-UA" w:eastAsia="uk-UA"/>
          <w14:ligatures w14:val="none"/>
        </w:rPr>
        <w:t>Аналіз бойових дій під час повномасштабної війни російської федерації (рф) проти України свідчить про те, що сучасна війна докорінно відрізняється від попередніх війн і пов’язаних з цим шаблонних уявлень про підготовку до них, форми і способи ведення бойових дій. Ця війна розкрила цілу низку суттєвих проблем, які стосуються саме системи підготовки офіцерських кадрів, в тому числі і тих, що відносяться до підготовки громадян України за програмою офіцерів запасу.</w:t>
      </w:r>
    </w:p>
    <w:p w14:paraId="569BE0AA" w14:textId="77777777" w:rsidR="00385184" w:rsidRPr="003B5892" w:rsidRDefault="00385184" w:rsidP="00023291">
      <w:pPr>
        <w:widowControl w:val="0"/>
        <w:tabs>
          <w:tab w:val="left" w:pos="1134"/>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Досвід провідних держав – членів НАТО, світових тенденцій щодо питань з трансформації професійної військової освіти в умовах високої динаміки форм і способів ведення бойових дій та збройної боротьби, змін у засобах їх ведення, а також поточного стану системи військової підготовки свідчать про наявність певних проблем і чинників, що зумовлені новими викликами, які постали перед суспільством, державою, Збройними Силами України (ЗС України) та іншими складовими сил оборони.</w:t>
      </w:r>
    </w:p>
    <w:p w14:paraId="3506CF79" w14:textId="77777777" w:rsidR="00385184" w:rsidRPr="003B5892" w:rsidRDefault="00385184" w:rsidP="00023291">
      <w:pPr>
        <w:widowControl w:val="0"/>
        <w:tabs>
          <w:tab w:val="left" w:pos="1134"/>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 xml:space="preserve">У ЗС України формуються нові військові частини та підрозділи, органи військового управління різних рівнів, що вимагає необхідність не тільки збільшення обсягів підготовки військових фахівців, але в першу чергу й підвищення якості їх підготовки. Зміни в організаційних структурах військових частин (підрозділів), органах військового управління, перерозподіл їх завдань та функцій, надходження озброєння та військової техніки (ОВТ), інших видів матеріально-технічної допомоги від держав-членів НАТО та іноземних партнерів, обумовлює не тільки суттєве розширення номенклатури ОВТ, але й зміну звичних форм і </w:t>
      </w:r>
      <w:r w:rsidRPr="003B5892">
        <w:rPr>
          <w:rFonts w:ascii="Times New Roman" w:eastAsia="Times New Roman" w:hAnsi="Times New Roman" w:cs="Times New Roman"/>
          <w:kern w:val="0"/>
          <w:sz w:val="24"/>
          <w:szCs w:val="24"/>
          <w:lang w:val="uk-UA" w:eastAsia="uk-UA"/>
          <w14:ligatures w14:val="none"/>
        </w:rPr>
        <w:lastRenderedPageBreak/>
        <w:t>способів його застосування, що своєю чергу потребує необхідність перегляду підходів до підготовки військових фахівців [1; 2; 3].</w:t>
      </w:r>
    </w:p>
    <w:p w14:paraId="61521625" w14:textId="77777777" w:rsidR="00385184" w:rsidRPr="003B5892" w:rsidRDefault="00385184" w:rsidP="00023291">
      <w:pPr>
        <w:widowControl w:val="0"/>
        <w:tabs>
          <w:tab w:val="left" w:pos="1134"/>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Існуюча в Україні на цей час система підготовки офіцерів запасу на відміну від системи підготовки офіцерських кадрів запасу, яка  була створена за радянські часи, де основним мотиваційним чинником у студентів було бажання отримати офіцерське звання щоб законно не проходити строкову військову службу, має за мету забезпечити безперервний професійний розвиток компетенцій військових фахівців упродовж їх військової кар’єри, набуття ними нових компетентностей, які мають дати змогу належно виконувати завдання оборонного планування, сумісного застосування частин і підрозділів      ЗС України та інших складових сил оборони, здійснювати спільні дії у складі об’єднаних органів військового управління, у тому числі у разі необхідності з відповідними структурами держав – членів НАТО [2].</w:t>
      </w:r>
    </w:p>
    <w:p w14:paraId="25286455" w14:textId="77777777" w:rsidR="00385184" w:rsidRPr="003B5892" w:rsidRDefault="00385184" w:rsidP="00023291">
      <w:pPr>
        <w:widowControl w:val="0"/>
        <w:tabs>
          <w:tab w:val="left" w:pos="1134"/>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 xml:space="preserve">На сьогодні підготовка громадян України за програмою офіцерів запасу для потреб  ЗС України та інших військових формувань залишається вкрай актуальним та необхідним завданням. Постановою Кабінету Міністрів України від 05 грудня 2025 р. № 1612 «Про внесення змін до </w:t>
      </w:r>
      <w:hyperlink r:id="rId175" w:anchor="n9" w:tgtFrame="_blank" w:history="1">
        <w:r w:rsidRPr="003B5892">
          <w:rPr>
            <w:rFonts w:ascii="Times New Roman" w:eastAsia="Times New Roman" w:hAnsi="Times New Roman" w:cs="Times New Roman"/>
            <w:kern w:val="0"/>
            <w:sz w:val="24"/>
            <w:szCs w:val="24"/>
            <w:lang w:val="uk-UA" w:eastAsia="uk-UA"/>
            <w14:ligatures w14:val="none"/>
          </w:rPr>
          <w:t>Порядку проведення військової підготовки громадян України за програмою підготовки офіцерів запасу</w:t>
        </w:r>
      </w:hyperlink>
      <w:r w:rsidRPr="003B5892">
        <w:rPr>
          <w:rFonts w:ascii="Times New Roman" w:eastAsia="Times New Roman" w:hAnsi="Times New Roman" w:cs="Times New Roman"/>
          <w:kern w:val="0"/>
          <w:sz w:val="24"/>
          <w:szCs w:val="24"/>
          <w:lang w:val="uk-UA" w:eastAsia="uk-UA"/>
          <w14:ligatures w14:val="none"/>
        </w:rPr>
        <w:t>, затвердженого постановою Кабінету Міністрів України від 01 лютого 2012 р. № 48» ухвалений Перелік закладів вищої освіти, на базі яких проводиться військова підготовка громадян України за програмою підготовки офіцерів запасу [4].</w:t>
      </w:r>
    </w:p>
    <w:p w14:paraId="199DD105" w14:textId="77777777" w:rsidR="00385184" w:rsidRPr="003B5892" w:rsidRDefault="00385184" w:rsidP="00023291">
      <w:pPr>
        <w:widowControl w:val="0"/>
        <w:tabs>
          <w:tab w:val="left" w:pos="1134"/>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Функціонування системи підготовки громадян України за програмою офіцерів запасу з потрібною ефективністю у вищих військових навчальних закладах (ВВНЗ), військових навчальних підрозділах (ВНП) закладів вищої освіти (ЗВО), на факультетах і кафедрах військової підготовки (КВП), кафедрах медицини катастроф та військової медицини ускладнюється існуванням низки серйозних проблем [5], які не повною мірою відповідають вимогам замовника на їх підготовку, а саме:</w:t>
      </w:r>
    </w:p>
    <w:p w14:paraId="566872E0" w14:textId="77777777" w:rsidR="00385184" w:rsidRPr="003B5892" w:rsidRDefault="00385184" w:rsidP="00023291">
      <w:pPr>
        <w:widowControl w:val="0"/>
        <w:tabs>
          <w:tab w:val="left" w:pos="1134"/>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за досвідом мобілізації з метою набуття офіцерами лідерських якостей та практичних навичок з експлуатації та застосування ОВТ рівень знань, умінь і навичок призваних офіцерів запасу потребує удосконалення;</w:t>
      </w:r>
    </w:p>
    <w:p w14:paraId="000BCED9" w14:textId="77777777" w:rsidR="00385184" w:rsidRPr="003B5892" w:rsidRDefault="00385184" w:rsidP="00023291">
      <w:pPr>
        <w:widowControl w:val="0"/>
        <w:tabs>
          <w:tab w:val="left" w:pos="1134"/>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існують випадки зниження вимог до професійного рівня викладацького складу КВП у порівнянні з вимогами, які висуваються до науково-педагогічного складу (НПП) ВВНЗ;</w:t>
      </w:r>
    </w:p>
    <w:p w14:paraId="600B1BA5" w14:textId="77777777" w:rsidR="00385184" w:rsidRPr="003B5892" w:rsidRDefault="00385184" w:rsidP="00023291">
      <w:pPr>
        <w:widowControl w:val="0"/>
        <w:tabs>
          <w:tab w:val="left" w:pos="1134"/>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недостатня організація методичної роботи на КВП з викладачами з метою підвищення їх професійної майстерності, розвитку у них творчого потенціалу, спрямованого на покращення якості освітнього процесу, освоєння новітнього ОВТ. Окремим напрямком роботи має бути вивчення та впровадження досвіду ведення бойових дій в освітню діяльність.</w:t>
      </w:r>
    </w:p>
    <w:p w14:paraId="2530675B" w14:textId="77777777" w:rsidR="00385184" w:rsidRPr="003B5892" w:rsidRDefault="00385184" w:rsidP="00023291">
      <w:pPr>
        <w:tabs>
          <w:tab w:val="left" w:pos="9638"/>
        </w:tabs>
        <w:spacing w:after="0" w:line="240" w:lineRule="auto"/>
        <w:ind w:right="21"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До одних з основних причин недостатньої ефективності існуючої системи підготовки офіцерів запасу належать такі:</w:t>
      </w:r>
    </w:p>
    <w:p w14:paraId="4CF9CA13" w14:textId="77777777" w:rsidR="00385184" w:rsidRPr="003B5892" w:rsidRDefault="00385184" w:rsidP="00023291">
      <w:pPr>
        <w:tabs>
          <w:tab w:val="left" w:pos="9638"/>
        </w:tabs>
        <w:spacing w:after="0" w:line="240" w:lineRule="auto"/>
        <w:ind w:right="21"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недостатній контроль замовників за ходом навчання та низька відповідальність посадових осіб усіх рівнів за результати підготовки на КВП. Роль замовників у ряді випадків зводиться тільки до визначення місць проведення підсумкового збору;</w:t>
      </w:r>
    </w:p>
    <w:p w14:paraId="25CA27B3" w14:textId="77777777" w:rsidR="00385184" w:rsidRPr="003B5892" w:rsidRDefault="00385184" w:rsidP="00023291">
      <w:pPr>
        <w:tabs>
          <w:tab w:val="left" w:pos="9638"/>
        </w:tabs>
        <w:spacing w:after="0" w:line="240" w:lineRule="auto"/>
        <w:ind w:right="21"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механізми обліку громадян України, які пройшли підготовку за програмою офіцерів запасу недосконалі.</w:t>
      </w:r>
      <w:r w:rsidRPr="003B5892">
        <w:rPr>
          <w:rFonts w:ascii="Times New Roman" w:eastAsia="Times New Roman" w:hAnsi="Times New Roman" w:cs="Times New Roman"/>
          <w:color w:val="000000"/>
          <w:kern w:val="0"/>
          <w:sz w:val="24"/>
          <w:szCs w:val="24"/>
          <w:lang w:val="uk-UA" w:eastAsia="uk-UA"/>
          <w14:ligatures w14:val="none"/>
        </w:rPr>
        <w:t xml:space="preserve"> Ні в ВВНЗ, ні в </w:t>
      </w:r>
      <w:r w:rsidRPr="003B5892">
        <w:rPr>
          <w:rFonts w:ascii="Times New Roman" w:eastAsia="Times New Roman" w:hAnsi="Times New Roman" w:cs="Times New Roman"/>
          <w:kern w:val="0"/>
          <w:sz w:val="24"/>
          <w:szCs w:val="24"/>
          <w:lang w:val="uk-UA" w:eastAsia="uk-UA"/>
          <w14:ligatures w14:val="none"/>
        </w:rPr>
        <w:t>ВНП ЗВО</w:t>
      </w:r>
      <w:r w:rsidRPr="003B5892">
        <w:rPr>
          <w:rFonts w:ascii="Times New Roman" w:eastAsia="Times New Roman" w:hAnsi="Times New Roman" w:cs="Times New Roman"/>
          <w:color w:val="000000"/>
          <w:kern w:val="0"/>
          <w:sz w:val="24"/>
          <w:szCs w:val="24"/>
          <w:lang w:val="uk-UA" w:eastAsia="uk-UA"/>
          <w14:ligatures w14:val="none"/>
        </w:rPr>
        <w:t>, ні в командуваннях видів, ні в кадровому центрі ЗС України неможливо відслідкувати кількість випускників, і за якими ВОС вони були призвані на військову службу, яка якість їх підготовленості;</w:t>
      </w:r>
    </w:p>
    <w:p w14:paraId="5761CDFA" w14:textId="77777777" w:rsidR="00385184" w:rsidRPr="003B5892" w:rsidRDefault="00385184" w:rsidP="00023291">
      <w:pPr>
        <w:tabs>
          <w:tab w:val="left" w:pos="9638"/>
        </w:tabs>
        <w:spacing w:after="0" w:line="240" w:lineRule="auto"/>
        <w:ind w:right="21"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зміст військової освіти потребує приведення його у відповідність сучасному досвіду бойової та оперативної підготовки військ (сил), впровадженню стандартів держав – членів НАТО;</w:t>
      </w:r>
    </w:p>
    <w:p w14:paraId="5E27C264" w14:textId="77777777" w:rsidR="00385184" w:rsidRPr="003B5892" w:rsidRDefault="00385184" w:rsidP="00023291">
      <w:pPr>
        <w:tabs>
          <w:tab w:val="left" w:pos="9638"/>
        </w:tabs>
        <w:spacing w:after="0" w:line="240" w:lineRule="auto"/>
        <w:ind w:right="21"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 xml:space="preserve">забезпечення набуття фахових компетентностей для виконання службових (бойових) функцій відповідно до наявного досвіду ведення бойових дій ЗС України та іншими складовими силами оборони у зв’язку із збройною агресією рф </w:t>
      </w:r>
      <w:r w:rsidRPr="003B5892">
        <w:rPr>
          <w:rFonts w:ascii="Times New Roman" w:eastAsia="Times New Roman" w:hAnsi="Times New Roman" w:cs="Times New Roman"/>
          <w:color w:val="000000"/>
          <w:kern w:val="0"/>
          <w:sz w:val="24"/>
          <w:szCs w:val="24"/>
          <w:lang w:val="uk-UA" w:eastAsia="uk-UA"/>
          <w14:ligatures w14:val="none"/>
        </w:rPr>
        <w:t>здійснюється мляво, недостатньо</w:t>
      </w:r>
      <w:r w:rsidRPr="003B5892">
        <w:rPr>
          <w:rFonts w:ascii="Times New Roman" w:eastAsia="Times New Roman" w:hAnsi="Times New Roman" w:cs="Times New Roman"/>
          <w:kern w:val="0"/>
          <w:sz w:val="24"/>
          <w:szCs w:val="24"/>
          <w:lang w:val="uk-UA" w:eastAsia="uk-UA"/>
          <w14:ligatures w14:val="none"/>
        </w:rPr>
        <w:t>;</w:t>
      </w:r>
    </w:p>
    <w:p w14:paraId="3659569D" w14:textId="77777777" w:rsidR="00385184" w:rsidRPr="003B5892" w:rsidRDefault="00385184" w:rsidP="00023291">
      <w:pPr>
        <w:tabs>
          <w:tab w:val="left" w:pos="9638"/>
        </w:tabs>
        <w:spacing w:after="0" w:line="240" w:lineRule="auto"/>
        <w:ind w:right="21"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lastRenderedPageBreak/>
        <w:t>динаміка розвитку ЗС України та інших складових сил оборони вимагає удосконалення організаційно-штатної структури ВНП ЗВО, у яких здійснюється військова підготовка громадян України за програмою офіцерів запасу;</w:t>
      </w:r>
    </w:p>
    <w:p w14:paraId="1C5C882C" w14:textId="77777777" w:rsidR="00385184" w:rsidRPr="003B5892" w:rsidRDefault="00385184" w:rsidP="00023291">
      <w:pPr>
        <w:tabs>
          <w:tab w:val="left" w:pos="9638"/>
        </w:tabs>
        <w:spacing w:after="0" w:line="240" w:lineRule="auto"/>
        <w:ind w:right="21"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повільне впровадження сучасних інформаційних, інформаційно-комунікаційних, інтерактивних, особистісно-орієнтованих освітніх технологій і технологій дистанційного навчання під час здійснення військової підготовки громадян України за програмою офіцерів запасу;</w:t>
      </w:r>
    </w:p>
    <w:p w14:paraId="24E0D03C" w14:textId="77777777" w:rsidR="00385184" w:rsidRPr="003B5892" w:rsidRDefault="00385184" w:rsidP="00023291">
      <w:pPr>
        <w:tabs>
          <w:tab w:val="left" w:pos="9638"/>
        </w:tabs>
        <w:spacing w:after="0" w:line="240" w:lineRule="auto"/>
        <w:ind w:right="21"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потребує оновлення забезпечення освітнього процесу у ВНП ЗВО новими, сучасними зразками ОВТ, тренажерами, навчально-тренувальними системами, комплексами, лабораторіями;</w:t>
      </w:r>
    </w:p>
    <w:p w14:paraId="5FA155E0" w14:textId="77777777" w:rsidR="00385184" w:rsidRPr="003B5892" w:rsidRDefault="00385184" w:rsidP="00023291">
      <w:pPr>
        <w:tabs>
          <w:tab w:val="left" w:pos="9638"/>
        </w:tabs>
        <w:spacing w:after="0" w:line="240" w:lineRule="auto"/>
        <w:ind w:right="21"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 xml:space="preserve">підготовка офіцерів запасу, яка здійснюється в ЗВО </w:t>
      </w:r>
      <w:r w:rsidRPr="003B5892">
        <w:rPr>
          <w:rFonts w:ascii="Times New Roman" w:eastAsia="Times New Roman" w:hAnsi="Times New Roman" w:cs="Times New Roman"/>
          <w:color w:val="000000"/>
          <w:kern w:val="0"/>
          <w:sz w:val="24"/>
          <w:szCs w:val="24"/>
          <w:lang w:val="uk-UA" w:eastAsia="uk-UA"/>
          <w14:ligatures w14:val="none"/>
        </w:rPr>
        <w:t>за кошти фізичних осіб, в деяких випадках приводить до зацікавленості ректорів у наповненні спеціального фонду ЗВО за рахунок тих, хто навчається на КВП та необґрунтованого збільшення їх кількості;</w:t>
      </w:r>
    </w:p>
    <w:p w14:paraId="4B686889" w14:textId="77777777" w:rsidR="00385184" w:rsidRPr="003B5892" w:rsidRDefault="00385184" w:rsidP="00023291">
      <w:pPr>
        <w:tabs>
          <w:tab w:val="left" w:pos="9638"/>
        </w:tabs>
        <w:spacing w:after="0" w:line="240" w:lineRule="auto"/>
        <w:ind w:right="21"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 xml:space="preserve">кошти спеціального фонду, які отримані від фізичних осіб у якості оплати за підготовку за програмою офіцерів запасу спрямовуються переважно на виплату заробітної плати персоналу КВП. При цьому, ці </w:t>
      </w:r>
      <w:r w:rsidRPr="003B5892">
        <w:rPr>
          <w:rFonts w:ascii="Times New Roman" w:eastAsia="Times New Roman" w:hAnsi="Times New Roman" w:cs="Times New Roman"/>
          <w:color w:val="000000"/>
          <w:kern w:val="0"/>
          <w:sz w:val="24"/>
          <w:szCs w:val="24"/>
          <w:lang w:val="uk-UA" w:eastAsia="uk-UA"/>
          <w14:ligatures w14:val="none"/>
        </w:rPr>
        <w:t>кошти використовуються:</w:t>
      </w:r>
      <w:r w:rsidRPr="003B5892">
        <w:rPr>
          <w:rFonts w:ascii="Times New Roman" w:eastAsia="Times New Roman" w:hAnsi="Times New Roman" w:cs="Times New Roman"/>
          <w:kern w:val="0"/>
          <w:sz w:val="24"/>
          <w:szCs w:val="24"/>
          <w:lang w:val="uk-UA" w:eastAsia="uk-UA"/>
          <w14:ligatures w14:val="none"/>
        </w:rPr>
        <w:t xml:space="preserve"> </w:t>
      </w:r>
      <w:r w:rsidRPr="003B5892">
        <w:rPr>
          <w:rFonts w:ascii="Times New Roman" w:eastAsia="Times New Roman" w:hAnsi="Times New Roman" w:cs="Times New Roman"/>
          <w:color w:val="000000"/>
          <w:kern w:val="0"/>
          <w:sz w:val="24"/>
          <w:szCs w:val="24"/>
          <w:lang w:val="uk-UA" w:eastAsia="uk-UA"/>
          <w14:ligatures w14:val="none"/>
        </w:rPr>
        <w:t xml:space="preserve">у ВВНЗ – 100% за рішенням начальника ВВНЗ, а у ЗВО – до 30% перераховується на рахунки Міністерства оборони України (МО України) на підпрограму 2101020/25. Таким чином, </w:t>
      </w:r>
      <w:r w:rsidRPr="003B5892">
        <w:rPr>
          <w:rFonts w:ascii="Times New Roman" w:eastAsia="Times New Roman" w:hAnsi="Times New Roman" w:cs="Times New Roman"/>
          <w:kern w:val="0"/>
          <w:sz w:val="24"/>
          <w:szCs w:val="24"/>
          <w:lang w:val="uk-UA" w:eastAsia="uk-UA"/>
          <w14:ligatures w14:val="none"/>
        </w:rPr>
        <w:t>порівняння вартості оплати фізичних осіб за навчання за декількома спеціалізаціями з реальними витратами, з урахуванням проведення додаткових зборів після призову їх на військову службу, показує значну негативну різницю, яка не на користь ЗС України;</w:t>
      </w:r>
    </w:p>
    <w:p w14:paraId="7F7F3AC3" w14:textId="77777777" w:rsidR="00385184" w:rsidRPr="003B5892" w:rsidRDefault="00385184" w:rsidP="00023291">
      <w:pPr>
        <w:tabs>
          <w:tab w:val="left" w:pos="9638"/>
        </w:tabs>
        <w:spacing w:after="0" w:line="240" w:lineRule="auto"/>
        <w:ind w:right="21"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номінальна система відповідальності стейкхолдерів, ВВНЗ та ВНП ЗВО за якість підготовки військових фахівців, реалізацію законодавчо закріплених вимог щодо внутрішнього та зовнішнього забезпечення і гарантування якості освіти та освітньої діяльності [6].</w:t>
      </w:r>
    </w:p>
    <w:p w14:paraId="4EFE59BA" w14:textId="77777777" w:rsidR="00385184" w:rsidRPr="003B5892" w:rsidRDefault="00385184" w:rsidP="00023291">
      <w:pPr>
        <w:widowControl w:val="0"/>
        <w:tabs>
          <w:tab w:val="left" w:pos="1134"/>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b/>
          <w:bCs/>
          <w:kern w:val="0"/>
          <w:sz w:val="24"/>
          <w:szCs w:val="24"/>
          <w:lang w:val="uk-UA" w:eastAsia="uk-UA"/>
          <w14:ligatures w14:val="none"/>
        </w:rPr>
        <w:t>Аналіз останніх досліджень та публікацій.</w:t>
      </w:r>
      <w:r w:rsidRPr="003B5892">
        <w:rPr>
          <w:rFonts w:ascii="Times New Roman" w:eastAsia="Times New Roman" w:hAnsi="Times New Roman" w:cs="Times New Roman"/>
          <w:bCs/>
          <w:kern w:val="0"/>
          <w:sz w:val="24"/>
          <w:szCs w:val="24"/>
          <w:lang w:val="uk-UA" w:eastAsia="uk-UA"/>
          <w14:ligatures w14:val="none"/>
        </w:rPr>
        <w:t xml:space="preserve"> Особливостям організації підготовки </w:t>
      </w:r>
      <w:r w:rsidRPr="003B5892">
        <w:rPr>
          <w:rFonts w:ascii="Times New Roman" w:eastAsia="Times New Roman" w:hAnsi="Times New Roman" w:cs="Times New Roman"/>
          <w:kern w:val="0"/>
          <w:sz w:val="24"/>
          <w:szCs w:val="24"/>
          <w:lang w:val="uk-UA" w:eastAsia="uk-UA"/>
          <w14:ligatures w14:val="none"/>
        </w:rPr>
        <w:t xml:space="preserve">громадян України за програмою підготовки офіцерів запасу, її змісту присвячені роботи багатьох науковців. У більшості робіт проблемні питання </w:t>
      </w:r>
      <w:r w:rsidRPr="003B5892">
        <w:rPr>
          <w:rFonts w:ascii="Times New Roman" w:eastAsia="Times New Roman" w:hAnsi="Times New Roman" w:cs="Times New Roman"/>
          <w:bCs/>
          <w:kern w:val="0"/>
          <w:sz w:val="24"/>
          <w:szCs w:val="24"/>
          <w:lang w:val="uk-UA" w:eastAsia="uk-UA"/>
          <w14:ligatures w14:val="none"/>
        </w:rPr>
        <w:t xml:space="preserve">підготовки </w:t>
      </w:r>
      <w:r w:rsidRPr="003B5892">
        <w:rPr>
          <w:rFonts w:ascii="Times New Roman" w:eastAsia="Times New Roman" w:hAnsi="Times New Roman" w:cs="Times New Roman"/>
          <w:kern w:val="0"/>
          <w:sz w:val="24"/>
          <w:szCs w:val="24"/>
          <w:lang w:val="uk-UA" w:eastAsia="uk-UA"/>
          <w14:ligatures w14:val="none"/>
        </w:rPr>
        <w:t xml:space="preserve">громадян України за програмою підготовки офіцерів запасу </w:t>
      </w:r>
      <w:r w:rsidRPr="003B5892">
        <w:rPr>
          <w:rFonts w:ascii="Times New Roman" w:eastAsia="Times New Roman" w:hAnsi="Times New Roman" w:cs="Times New Roman"/>
          <w:bCs/>
          <w:kern w:val="0"/>
          <w:sz w:val="24"/>
          <w:szCs w:val="24"/>
          <w:lang w:val="uk-UA" w:eastAsia="uk-UA"/>
          <w14:ligatures w14:val="none"/>
        </w:rPr>
        <w:t xml:space="preserve">розглядаються передусім в загальному контексті проблем </w:t>
      </w:r>
      <w:r w:rsidRPr="003B5892">
        <w:rPr>
          <w:rFonts w:ascii="Times New Roman" w:eastAsia="Times New Roman" w:hAnsi="Times New Roman" w:cs="Times New Roman"/>
          <w:kern w:val="0"/>
          <w:sz w:val="24"/>
          <w:szCs w:val="24"/>
          <w:lang w:val="uk-UA" w:eastAsia="uk-UA"/>
          <w14:ligatures w14:val="none"/>
        </w:rPr>
        <w:t>військової освіти [7].</w:t>
      </w:r>
    </w:p>
    <w:p w14:paraId="0EC51D66" w14:textId="77777777" w:rsidR="00385184" w:rsidRPr="003B5892" w:rsidRDefault="00385184" w:rsidP="00023291">
      <w:pPr>
        <w:widowControl w:val="0"/>
        <w:tabs>
          <w:tab w:val="left" w:pos="1134"/>
          <w:tab w:val="left" w:pos="9638"/>
        </w:tabs>
        <w:spacing w:after="0" w:line="240" w:lineRule="auto"/>
        <w:ind w:firstLine="709"/>
        <w:jc w:val="both"/>
        <w:rPr>
          <w:rFonts w:ascii="Times New Roman" w:eastAsia="Times New Roman" w:hAnsi="Times New Roman" w:cs="Times New Roman"/>
          <w:bCs/>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У д</w:t>
      </w:r>
      <w:r w:rsidRPr="003B5892">
        <w:rPr>
          <w:rFonts w:ascii="Times New Roman" w:eastAsia="Times New Roman" w:hAnsi="Times New Roman" w:cs="Times New Roman"/>
          <w:color w:val="0A0A0A"/>
          <w:kern w:val="0"/>
          <w:sz w:val="24"/>
          <w:szCs w:val="24"/>
          <w:shd w:val="clear" w:color="auto" w:fill="FFFFFF"/>
          <w:lang w:val="uk-UA" w:eastAsia="uk-UA"/>
          <w14:ligatures w14:val="none"/>
        </w:rPr>
        <w:t xml:space="preserve">ослідженнях С.М. Морозова [8] розкриваються структура, принципи та методи </w:t>
      </w:r>
      <w:r w:rsidRPr="003B5892">
        <w:rPr>
          <w:rFonts w:ascii="Times New Roman" w:eastAsia="Times New Roman" w:hAnsi="Times New Roman" w:cs="Times New Roman"/>
          <w:bCs/>
          <w:kern w:val="0"/>
          <w:sz w:val="24"/>
          <w:szCs w:val="24"/>
          <w:lang w:val="uk-UA" w:eastAsia="uk-UA"/>
          <w14:ligatures w14:val="none"/>
        </w:rPr>
        <w:t>підготовки офіцерів запасу, висвітлюються можливі експериментальні підходи під час підготовки офіцерів запасу на КВП у ВВНЗ, ВНП ЗВО.</w:t>
      </w:r>
    </w:p>
    <w:p w14:paraId="3B0589F4" w14:textId="77777777" w:rsidR="00385184" w:rsidRPr="003B5892" w:rsidRDefault="00385184" w:rsidP="00023291">
      <w:pPr>
        <w:widowControl w:val="0"/>
        <w:tabs>
          <w:tab w:val="left" w:pos="1134"/>
          <w:tab w:val="left" w:pos="9638"/>
        </w:tabs>
        <w:spacing w:after="0" w:line="240" w:lineRule="auto"/>
        <w:ind w:firstLine="709"/>
        <w:jc w:val="both"/>
        <w:rPr>
          <w:rFonts w:ascii="Times New Roman" w:eastAsia="Times New Roman" w:hAnsi="Times New Roman" w:cs="Times New Roman"/>
          <w:bCs/>
          <w:kern w:val="0"/>
          <w:sz w:val="24"/>
          <w:szCs w:val="24"/>
          <w:lang w:val="uk-UA" w:eastAsia="uk-UA"/>
          <w14:ligatures w14:val="none"/>
        </w:rPr>
      </w:pPr>
      <w:r w:rsidRPr="003B5892">
        <w:rPr>
          <w:rFonts w:ascii="Times New Roman" w:eastAsia="Times New Roman" w:hAnsi="Times New Roman" w:cs="Times New Roman"/>
          <w:bCs/>
          <w:kern w:val="0"/>
          <w:sz w:val="24"/>
          <w:szCs w:val="24"/>
          <w:lang w:val="uk-UA" w:eastAsia="uk-UA"/>
          <w14:ligatures w14:val="none"/>
        </w:rPr>
        <w:t>Аналізу специфіки функціонування КВП у ВВНЗ, ВНП ЗВО, методикам формування професійних навичок у студентів присвячені роботи В. П. Чабаненка [9].</w:t>
      </w:r>
    </w:p>
    <w:p w14:paraId="5E8A1C72" w14:textId="77777777" w:rsidR="00385184" w:rsidRPr="003B5892" w:rsidRDefault="00385184" w:rsidP="00023291">
      <w:pPr>
        <w:widowControl w:val="0"/>
        <w:tabs>
          <w:tab w:val="left" w:pos="1134"/>
          <w:tab w:val="left" w:pos="9638"/>
        </w:tabs>
        <w:spacing w:after="0" w:line="240" w:lineRule="auto"/>
        <w:ind w:firstLine="709"/>
        <w:jc w:val="both"/>
        <w:rPr>
          <w:rFonts w:ascii="Times New Roman" w:eastAsia="Times New Roman" w:hAnsi="Times New Roman" w:cs="Times New Roman"/>
          <w:bCs/>
          <w:kern w:val="0"/>
          <w:sz w:val="24"/>
          <w:szCs w:val="24"/>
          <w:lang w:val="uk-UA" w:eastAsia="uk-UA"/>
          <w14:ligatures w14:val="none"/>
        </w:rPr>
      </w:pPr>
      <w:r w:rsidRPr="003B5892">
        <w:rPr>
          <w:rFonts w:ascii="Times New Roman" w:eastAsia="Times New Roman" w:hAnsi="Times New Roman" w:cs="Times New Roman"/>
          <w:bCs/>
          <w:kern w:val="0"/>
          <w:sz w:val="24"/>
          <w:szCs w:val="24"/>
          <w:lang w:val="uk-UA" w:eastAsia="uk-UA"/>
          <w14:ligatures w14:val="none"/>
        </w:rPr>
        <w:t>Узагальнений досвід підготовки офіцерів запасу в зарубіжних країнах розглядається у дослідженнях І.М. Скворока [10].</w:t>
      </w:r>
    </w:p>
    <w:p w14:paraId="73723434" w14:textId="77777777" w:rsidR="00385184" w:rsidRPr="003B5892" w:rsidRDefault="00385184" w:rsidP="00023291">
      <w:pPr>
        <w:widowControl w:val="0"/>
        <w:tabs>
          <w:tab w:val="left" w:pos="1134"/>
          <w:tab w:val="left" w:pos="9638"/>
        </w:tabs>
        <w:spacing w:after="0" w:line="240" w:lineRule="auto"/>
        <w:ind w:firstLine="709"/>
        <w:jc w:val="both"/>
        <w:rPr>
          <w:rFonts w:ascii="Times New Roman" w:eastAsia="Times New Roman" w:hAnsi="Times New Roman" w:cs="Times New Roman"/>
          <w:bCs/>
          <w:kern w:val="0"/>
          <w:sz w:val="24"/>
          <w:szCs w:val="24"/>
          <w:lang w:val="uk-UA" w:eastAsia="uk-UA"/>
          <w14:ligatures w14:val="none"/>
        </w:rPr>
      </w:pPr>
      <w:r w:rsidRPr="003B5892">
        <w:rPr>
          <w:rFonts w:ascii="Times New Roman" w:eastAsia="Times New Roman" w:hAnsi="Times New Roman" w:cs="Times New Roman"/>
          <w:bCs/>
          <w:kern w:val="0"/>
          <w:sz w:val="24"/>
          <w:szCs w:val="24"/>
          <w:lang w:val="uk-UA" w:eastAsia="uk-UA"/>
          <w14:ligatures w14:val="none"/>
        </w:rPr>
        <w:t xml:space="preserve">У зв’язку із запровадженням з </w:t>
      </w:r>
      <w:r w:rsidRPr="003B5892">
        <w:rPr>
          <w:rFonts w:ascii="Times New Roman" w:eastAsia="Times New Roman" w:hAnsi="Times New Roman" w:cs="Times New Roman"/>
          <w:kern w:val="0"/>
          <w:sz w:val="24"/>
          <w:szCs w:val="24"/>
          <w:lang w:val="uk-UA" w:eastAsia="uk-UA"/>
          <w14:ligatures w14:val="none"/>
        </w:rPr>
        <w:t xml:space="preserve">1 вересня 2025 року </w:t>
      </w:r>
      <w:r w:rsidRPr="003B5892">
        <w:rPr>
          <w:rFonts w:ascii="Times New Roman" w:eastAsia="Times New Roman" w:hAnsi="Times New Roman" w:cs="Times New Roman"/>
          <w:bCs/>
          <w:kern w:val="0"/>
          <w:sz w:val="24"/>
          <w:szCs w:val="24"/>
          <w:lang w:val="uk-UA" w:eastAsia="uk-UA"/>
          <w14:ligatures w14:val="none"/>
        </w:rPr>
        <w:t xml:space="preserve">обов’язкової </w:t>
      </w:r>
      <w:r w:rsidRPr="003B5892">
        <w:rPr>
          <w:rFonts w:ascii="Times New Roman" w:eastAsia="Times New Roman" w:hAnsi="Times New Roman" w:cs="Times New Roman"/>
          <w:kern w:val="0"/>
          <w:sz w:val="24"/>
          <w:szCs w:val="24"/>
          <w:lang w:val="uk-UA" w:eastAsia="uk-UA"/>
          <w14:ligatures w14:val="none"/>
        </w:rPr>
        <w:t xml:space="preserve">базової загальновійськової підготовки </w:t>
      </w:r>
      <w:r w:rsidRPr="003B5892">
        <w:rPr>
          <w:rFonts w:ascii="Times New Roman" w:eastAsia="Times New Roman" w:hAnsi="Times New Roman" w:cs="Times New Roman"/>
          <w:bCs/>
          <w:kern w:val="0"/>
          <w:sz w:val="24"/>
          <w:szCs w:val="24"/>
          <w:lang w:val="uk-UA" w:eastAsia="uk-UA"/>
          <w14:ligatures w14:val="none"/>
        </w:rPr>
        <w:t xml:space="preserve">(БЗВП) актуальними є проблеми, які були розглянуті в </w:t>
      </w:r>
      <w:r w:rsidRPr="003B5892">
        <w:rPr>
          <w:rFonts w:ascii="Times New Roman" w:eastAsia="Times New Roman" w:hAnsi="Times New Roman" w:cs="Times New Roman"/>
          <w:color w:val="0A0A0A"/>
          <w:kern w:val="0"/>
          <w:sz w:val="24"/>
          <w:szCs w:val="24"/>
          <w:shd w:val="clear" w:color="auto" w:fill="FFFFFF"/>
          <w:lang w:val="uk-UA" w:eastAsia="uk-UA"/>
          <w14:ligatures w14:val="none"/>
        </w:rPr>
        <w:t xml:space="preserve">роботах </w:t>
      </w:r>
      <w:r w:rsidRPr="003B5892">
        <w:rPr>
          <w:rFonts w:ascii="Times New Roman" w:eastAsia="Times New Roman" w:hAnsi="Times New Roman" w:cs="Times New Roman"/>
          <w:bCs/>
          <w:color w:val="0A0A0A"/>
          <w:kern w:val="0"/>
          <w:sz w:val="24"/>
          <w:szCs w:val="24"/>
          <w:shd w:val="clear" w:color="auto" w:fill="FFFFFF"/>
          <w:lang w:val="uk-UA" w:eastAsia="uk-UA"/>
          <w14:ligatures w14:val="none"/>
        </w:rPr>
        <w:t xml:space="preserve">А.Й. Дерев’янчук </w:t>
      </w:r>
      <w:r w:rsidRPr="003B5892">
        <w:rPr>
          <w:rFonts w:ascii="Times New Roman" w:eastAsia="Times New Roman" w:hAnsi="Times New Roman" w:cs="Times New Roman"/>
          <w:color w:val="0A0A0A"/>
          <w:kern w:val="0"/>
          <w:sz w:val="24"/>
          <w:szCs w:val="24"/>
          <w:shd w:val="clear" w:color="auto" w:fill="FFFFFF"/>
          <w:lang w:val="uk-UA" w:eastAsia="uk-UA"/>
          <w14:ligatures w14:val="none"/>
        </w:rPr>
        <w:t>та</w:t>
      </w:r>
      <w:r w:rsidRPr="003B5892">
        <w:rPr>
          <w:rFonts w:ascii="Times New Roman" w:eastAsia="Times New Roman" w:hAnsi="Times New Roman" w:cs="Times New Roman"/>
          <w:b/>
          <w:color w:val="0A0A0A"/>
          <w:kern w:val="0"/>
          <w:sz w:val="24"/>
          <w:szCs w:val="24"/>
          <w:shd w:val="clear" w:color="auto" w:fill="FFFFFF"/>
          <w:lang w:val="uk-UA" w:eastAsia="uk-UA"/>
          <w14:ligatures w14:val="none"/>
        </w:rPr>
        <w:t xml:space="preserve"> </w:t>
      </w:r>
      <w:r w:rsidRPr="003B5892">
        <w:rPr>
          <w:rFonts w:ascii="Times New Roman" w:eastAsia="Times New Roman" w:hAnsi="Times New Roman" w:cs="Times New Roman"/>
          <w:bCs/>
          <w:color w:val="0A0A0A"/>
          <w:kern w:val="0"/>
          <w:sz w:val="24"/>
          <w:szCs w:val="24"/>
          <w:shd w:val="clear" w:color="auto" w:fill="FFFFFF"/>
          <w:lang w:val="uk-UA" w:eastAsia="uk-UA"/>
          <w14:ligatures w14:val="none"/>
        </w:rPr>
        <w:t xml:space="preserve">О.Ф. </w:t>
      </w:r>
      <w:r w:rsidRPr="003B5892">
        <w:rPr>
          <w:rFonts w:ascii="Times New Roman" w:eastAsia="Times New Roman" w:hAnsi="Times New Roman" w:cs="Times New Roman"/>
          <w:kern w:val="0"/>
          <w:sz w:val="24"/>
          <w:szCs w:val="24"/>
          <w:lang w:val="uk-UA" w:eastAsia="uk-UA"/>
          <w14:ligatures w14:val="none"/>
        </w:rPr>
        <w:t xml:space="preserve">Супрун </w:t>
      </w:r>
      <w:r w:rsidRPr="003B5892">
        <w:rPr>
          <w:rFonts w:ascii="Times New Roman" w:eastAsia="Times New Roman" w:hAnsi="Times New Roman" w:cs="Times New Roman"/>
          <w:bCs/>
          <w:kern w:val="0"/>
          <w:sz w:val="24"/>
          <w:szCs w:val="24"/>
          <w:lang w:val="uk-UA" w:eastAsia="uk-UA"/>
          <w14:ligatures w14:val="none"/>
        </w:rPr>
        <w:t>[11]</w:t>
      </w:r>
      <w:r w:rsidRPr="003B5892">
        <w:rPr>
          <w:rFonts w:ascii="Times New Roman" w:eastAsia="Times New Roman" w:hAnsi="Times New Roman" w:cs="Times New Roman"/>
          <w:kern w:val="0"/>
          <w:sz w:val="24"/>
          <w:szCs w:val="24"/>
          <w:lang w:val="uk-UA" w:eastAsia="uk-UA"/>
          <w14:ligatures w14:val="none"/>
        </w:rPr>
        <w:t>. У своїх</w:t>
      </w:r>
      <w:r w:rsidRPr="003B5892">
        <w:rPr>
          <w:rFonts w:ascii="Times New Roman" w:eastAsia="Times New Roman" w:hAnsi="Times New Roman" w:cs="Times New Roman"/>
          <w:bCs/>
          <w:color w:val="0A0A0A"/>
          <w:kern w:val="0"/>
          <w:sz w:val="24"/>
          <w:szCs w:val="24"/>
          <w:shd w:val="clear" w:color="auto" w:fill="FFFFFF"/>
          <w:lang w:val="uk-UA" w:eastAsia="uk-UA"/>
          <w14:ligatures w14:val="none"/>
        </w:rPr>
        <w:t xml:space="preserve"> роботах вони розглянули питання </w:t>
      </w:r>
      <w:r w:rsidRPr="003B5892">
        <w:rPr>
          <w:rFonts w:ascii="Times New Roman" w:eastAsia="Times New Roman" w:hAnsi="Times New Roman" w:cs="Times New Roman"/>
          <w:color w:val="0A0A0A"/>
          <w:kern w:val="0"/>
          <w:sz w:val="24"/>
          <w:szCs w:val="24"/>
          <w:shd w:val="clear" w:color="auto" w:fill="FFFFFF"/>
          <w:lang w:val="uk-UA" w:eastAsia="uk-UA"/>
          <w14:ligatures w14:val="none"/>
        </w:rPr>
        <w:t xml:space="preserve">стимулювання студентів до самостійної роботи та якісного засвоєння матеріалу, що досі </w:t>
      </w:r>
      <w:r w:rsidRPr="003B5892">
        <w:rPr>
          <w:rFonts w:ascii="Times New Roman" w:eastAsia="Times New Roman" w:hAnsi="Times New Roman" w:cs="Times New Roman"/>
          <w:bCs/>
          <w:kern w:val="0"/>
          <w:sz w:val="24"/>
          <w:szCs w:val="24"/>
          <w:lang w:val="uk-UA" w:eastAsia="uk-UA"/>
          <w14:ligatures w14:val="none"/>
        </w:rPr>
        <w:t xml:space="preserve">залишаються критичними у системі </w:t>
      </w:r>
      <w:r w:rsidRPr="003B5892">
        <w:rPr>
          <w:rFonts w:ascii="Times New Roman" w:eastAsia="Times New Roman" w:hAnsi="Times New Roman" w:cs="Times New Roman"/>
          <w:kern w:val="0"/>
          <w:sz w:val="24"/>
          <w:szCs w:val="24"/>
          <w:lang w:val="uk-UA" w:eastAsia="uk-UA"/>
          <w14:ligatures w14:val="none"/>
        </w:rPr>
        <w:t>професійної військової освіти.</w:t>
      </w:r>
    </w:p>
    <w:p w14:paraId="7F499337" w14:textId="77777777" w:rsidR="00385184" w:rsidRPr="003B5892" w:rsidRDefault="00385184" w:rsidP="00023291">
      <w:pP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b/>
          <w:bCs/>
          <w:kern w:val="0"/>
          <w:sz w:val="24"/>
          <w:szCs w:val="24"/>
          <w:lang w:val="uk-UA" w:eastAsia="uk-UA"/>
          <w14:ligatures w14:val="none"/>
        </w:rPr>
        <w:t>Мета статті</w:t>
      </w:r>
      <w:r w:rsidRPr="003B5892">
        <w:rPr>
          <w:rFonts w:ascii="Times New Roman" w:eastAsia="Times New Roman" w:hAnsi="Times New Roman" w:cs="Times New Roman"/>
          <w:kern w:val="0"/>
          <w:sz w:val="24"/>
          <w:szCs w:val="24"/>
          <w:lang w:val="uk-UA" w:eastAsia="uk-UA"/>
          <w14:ligatures w14:val="none"/>
        </w:rPr>
        <w:t xml:space="preserve">. На підставі аналізу сучасного стану системи військової підготовки громадян України за програмою офіцерів запасу у ВВНЗ та ВНП ЗВО дослідити </w:t>
      </w:r>
      <w:r w:rsidRPr="003B5892">
        <w:rPr>
          <w:rFonts w:ascii="Times New Roman" w:eastAsia="Times New Roman" w:hAnsi="Times New Roman" w:cs="Times New Roman"/>
          <w:color w:val="000000"/>
          <w:kern w:val="0"/>
          <w:sz w:val="24"/>
          <w:szCs w:val="24"/>
          <w:lang w:val="uk-UA" w:eastAsia="uk-UA"/>
          <w14:ligatures w14:val="none"/>
        </w:rPr>
        <w:t xml:space="preserve">актуальні проблеми військової підготовки в контексті наявних безпекових викликів і загроз та визначити пропозиції до </w:t>
      </w:r>
      <w:r w:rsidRPr="003B5892">
        <w:rPr>
          <w:rFonts w:ascii="Times New Roman" w:eastAsia="Times New Roman" w:hAnsi="Times New Roman" w:cs="Times New Roman"/>
          <w:iCs/>
          <w:color w:val="000000"/>
          <w:kern w:val="0"/>
          <w:sz w:val="24"/>
          <w:szCs w:val="24"/>
          <w:lang w:val="uk-UA" w:eastAsia="uk-UA"/>
          <w14:ligatures w14:val="none"/>
        </w:rPr>
        <w:t>р</w:t>
      </w:r>
      <w:r w:rsidRPr="003B5892">
        <w:rPr>
          <w:rFonts w:ascii="Times New Roman" w:eastAsia="Times New Roman" w:hAnsi="Times New Roman" w:cs="Times New Roman"/>
          <w:color w:val="000000"/>
          <w:kern w:val="0"/>
          <w:sz w:val="24"/>
          <w:szCs w:val="24"/>
          <w:lang w:val="uk-UA" w:eastAsia="uk-UA"/>
          <w14:ligatures w14:val="none"/>
        </w:rPr>
        <w:t>екомендацій з удосконалення існуючої системи військової підготовки громадян України. Представити розроблену авторами перспективну модель підготовки офіцерів запасу та алгоритм їх залучення до військової служби.</w:t>
      </w:r>
    </w:p>
    <w:p w14:paraId="44A1AD93" w14:textId="77777777" w:rsidR="00385184" w:rsidRPr="003B5892" w:rsidRDefault="00385184" w:rsidP="00023291">
      <w:pPr>
        <w:widowControl w:val="0"/>
        <w:tabs>
          <w:tab w:val="left" w:pos="1134"/>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b/>
          <w:bCs/>
          <w:kern w:val="0"/>
          <w:sz w:val="24"/>
          <w:szCs w:val="24"/>
          <w:lang w:val="uk-UA" w:eastAsia="uk-UA"/>
          <w14:ligatures w14:val="none"/>
        </w:rPr>
        <w:t>Методи дослідження</w:t>
      </w:r>
      <w:r w:rsidRPr="003B5892">
        <w:rPr>
          <w:rFonts w:ascii="Times New Roman" w:eastAsia="Times New Roman" w:hAnsi="Times New Roman" w:cs="Times New Roman"/>
          <w:bCs/>
          <w:kern w:val="0"/>
          <w:sz w:val="24"/>
          <w:szCs w:val="24"/>
          <w:lang w:val="uk-UA" w:eastAsia="uk-UA"/>
          <w14:ligatures w14:val="none"/>
        </w:rPr>
        <w:t>.</w:t>
      </w:r>
      <w:r w:rsidRPr="003B5892">
        <w:rPr>
          <w:rFonts w:ascii="Times New Roman" w:eastAsia="Times New Roman" w:hAnsi="Times New Roman" w:cs="Times New Roman"/>
          <w:kern w:val="0"/>
          <w:sz w:val="24"/>
          <w:szCs w:val="24"/>
          <w:lang w:val="uk-UA" w:eastAsia="uk-UA"/>
          <w14:ligatures w14:val="none"/>
        </w:rPr>
        <w:t xml:space="preserve"> Проведення дослідження базувалося на принципах системного підходу і здійснювалося з використанням методів аналізу, синтезу, формалізації, порівняння </w:t>
      </w:r>
      <w:r w:rsidRPr="003B5892">
        <w:rPr>
          <w:rFonts w:ascii="Times New Roman" w:eastAsia="Times New Roman" w:hAnsi="Times New Roman" w:cs="Times New Roman"/>
          <w:kern w:val="0"/>
          <w:sz w:val="24"/>
          <w:szCs w:val="24"/>
          <w:lang w:val="uk-UA" w:eastAsia="uk-UA"/>
          <w14:ligatures w14:val="none"/>
        </w:rPr>
        <w:lastRenderedPageBreak/>
        <w:t>та узагальнення.</w:t>
      </w:r>
    </w:p>
    <w:p w14:paraId="098CBF57" w14:textId="77777777" w:rsidR="00385184" w:rsidRPr="003B5892" w:rsidRDefault="00385184" w:rsidP="00023291">
      <w:pPr>
        <w:widowControl w:val="0"/>
        <w:tabs>
          <w:tab w:val="left" w:pos="1134"/>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b/>
          <w:kern w:val="0"/>
          <w:sz w:val="24"/>
          <w:szCs w:val="24"/>
          <w:lang w:val="uk-UA" w:eastAsia="uk-UA"/>
          <w14:ligatures w14:val="none"/>
        </w:rPr>
        <w:t>Виклад основного матеріалу</w:t>
      </w:r>
      <w:r w:rsidRPr="003B5892">
        <w:rPr>
          <w:rFonts w:ascii="Times New Roman" w:eastAsia="Times New Roman" w:hAnsi="Times New Roman" w:cs="Times New Roman"/>
          <w:b/>
          <w:color w:val="000000"/>
          <w:kern w:val="0"/>
          <w:sz w:val="24"/>
          <w:szCs w:val="24"/>
          <w:lang w:val="uk-UA" w:eastAsia="uk-UA"/>
          <w14:ligatures w14:val="none"/>
        </w:rPr>
        <w:t>.</w:t>
      </w:r>
      <w:r w:rsidRPr="003B5892">
        <w:rPr>
          <w:rFonts w:ascii="Times New Roman" w:eastAsia="Times New Roman" w:hAnsi="Times New Roman" w:cs="Times New Roman"/>
          <w:kern w:val="0"/>
          <w:sz w:val="24"/>
          <w:szCs w:val="24"/>
          <w:lang w:val="uk-UA" w:eastAsia="uk-UA"/>
          <w14:ligatures w14:val="none"/>
        </w:rPr>
        <w:t xml:space="preserve"> Розв’язання рф повномасштабної війни проти України та оголошення воєнного стану суттєво вплинуло на усі сфери життя нашого суспільства. Складні завдання, що виникають сьогодні перед ЗС України: гібридна війна, нові форми і способи бойових дій, застосування сучасних ОВТ, інформатизація та впровадження в сферу збройної боротьби інноваційних технологій зажадали серйозного підвищення рівня професійної підготовки офіцерів та солдат. У цьому контексті питання військової підготовки громадян України за програмою офіцерів запасу набувають особливої актуальності.</w:t>
      </w:r>
    </w:p>
    <w:p w14:paraId="77952566"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Іноземний досвід свідчить [10], що підготовка офіцерів запасу здійснюється в тих країнах, де дбають про захист свого суверенітету. Цьому контингенту військових фахівців відводиться значна роль у поповненні кадрового складу, а також у разі виникнення кризових ситуацій як у самих країнах, так і в різних регіонах світу. Це особливо характерно для збройних сил Великобританії, Ізраїлю, Іспанії, Сполучених Штатів Америки, Франції тощо. Так, близько 30 % кадрових офіцерів збройних сил Великобританії і 40 % збройних сил США проходили навчання на курсах позавійськової підготовки при цивільних навчальних закладах. В Іспанії на дійсну службу щороку призивають близько 4000 офіцерів запасу – випускників цивільних ЗВО. До них, насамперед, відносяться ті, хто закінчив медичні, технічні й теологічні факультети університетів. У Франції масштаби підготовки офіцерів розширюються за рахунок числа студентів, які оволоділи складними технічними, військово-медичними та адміністративно-господарськими спеціальностями.</w:t>
      </w:r>
    </w:p>
    <w:p w14:paraId="2FC8AE1F" w14:textId="77777777" w:rsidR="00385184" w:rsidRPr="003B5892" w:rsidRDefault="00385184" w:rsidP="00023291">
      <w:pPr>
        <w:pBdr>
          <w:top w:val="nil"/>
          <w:left w:val="nil"/>
          <w:bottom w:val="nil"/>
          <w:right w:val="nil"/>
          <w:between w:val="nil"/>
        </w:pBdr>
        <w:tabs>
          <w:tab w:val="left" w:pos="9638"/>
        </w:tabs>
        <w:spacing w:after="0" w:line="240" w:lineRule="auto"/>
        <w:ind w:firstLine="720"/>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Американські військові спеціалісти, що займаються питанням комплектування особовим складом, відмічають, що позавійськова підготовка студентів у поєднанні із вищою цивільною освітою надає випускникам курсів можливість широкого вибору ВОС. При цьому нестача військових знань з відповідної спеціальності поповнюється в процесі підготовки на курсах спеціалізації навчальних центрах і школах родів військ і служб, куди направляються всі випускники курсів ROTC (Reserve Officer Training Course – курс підготовки офіцерів запасу) в обов’язковому порядку перед першим призначенням на офіцерську посаду.</w:t>
      </w:r>
    </w:p>
    <w:p w14:paraId="04A36248" w14:textId="4EF6551A" w:rsidR="00385184" w:rsidRPr="001F540E" w:rsidRDefault="00385184" w:rsidP="001F540E">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b/>
          <w:color w:val="000000"/>
          <w:kern w:val="0"/>
          <w:sz w:val="24"/>
          <w:szCs w:val="24"/>
          <w:lang w:val="uk-UA" w:eastAsia="uk-UA"/>
          <w14:ligatures w14:val="none"/>
        </w:rPr>
      </w:pPr>
      <w:r w:rsidRPr="003B5892">
        <w:rPr>
          <w:rFonts w:ascii="Times New Roman" w:eastAsia="Times New Roman" w:hAnsi="Times New Roman" w:cs="Times New Roman"/>
          <w:b/>
          <w:bCs/>
          <w:color w:val="000000"/>
          <w:kern w:val="0"/>
          <w:sz w:val="24"/>
          <w:szCs w:val="24"/>
          <w:lang w:val="uk-UA" w:eastAsia="uk-UA"/>
          <w14:ligatures w14:val="none"/>
        </w:rPr>
        <w:t>Сучасний стан і актуальні проблеми підготовки офіцерів запасу</w:t>
      </w:r>
      <w:r w:rsidRPr="003B5892">
        <w:rPr>
          <w:rFonts w:ascii="Times New Roman" w:eastAsia="Times New Roman" w:hAnsi="Times New Roman" w:cs="Times New Roman"/>
          <w:color w:val="000000"/>
          <w:kern w:val="0"/>
          <w:sz w:val="24"/>
          <w:szCs w:val="24"/>
          <w:lang w:val="uk-UA" w:eastAsia="uk-UA"/>
          <w14:ligatures w14:val="none"/>
        </w:rPr>
        <w:t xml:space="preserve">. </w:t>
      </w:r>
      <w:r w:rsidRPr="003B5892">
        <w:rPr>
          <w:rFonts w:ascii="Times New Roman" w:eastAsia="Times New Roman" w:hAnsi="Times New Roman" w:cs="Times New Roman"/>
          <w:kern w:val="0"/>
          <w:sz w:val="24"/>
          <w:szCs w:val="24"/>
          <w:lang w:val="uk-UA" w:eastAsia="uk-UA"/>
          <w14:ligatures w14:val="none"/>
        </w:rPr>
        <w:t>На сьогодні перед ВВНЗ і ВНП ЗВО, які здійснюють військову підготовку громадян України за програмою офіцерів запасу для формування резерву ЗС України, стоїть завдання підготовки кваліфікованих фахівців високої професійної компетентності з розвиненим творчим мисленням, високою готовністю до захисту Батьківщини. Це завдання може бути вирішене тільки при тісному взаємозв’язку навчального процесу і одержаних знань по основній цивільній спеціальності та здобутих додаткових знань під час військової підготовки на КВП.</w:t>
      </w:r>
    </w:p>
    <w:p w14:paraId="0AFE17EF" w14:textId="77777777" w:rsidR="00385184" w:rsidRPr="003B5892" w:rsidRDefault="00385184" w:rsidP="00023291">
      <w:pPr>
        <w:pBdr>
          <w:top w:val="nil"/>
          <w:left w:val="nil"/>
          <w:bottom w:val="nil"/>
          <w:right w:val="nil"/>
          <w:between w:val="nil"/>
        </w:pBdr>
        <w:tabs>
          <w:tab w:val="left" w:pos="9638"/>
        </w:tabs>
        <w:spacing w:after="0" w:line="240" w:lineRule="auto"/>
        <w:ind w:firstLine="720"/>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 xml:space="preserve">Відповідно до Порядку проведення військової підготовки громадян України за програмою підготовки офіцерів запасу, затвердженого Постановою Кабінету Міністрів України від 05 грудня 2025 р. № 1612 схвалений Перелік закладів вищої освіти, на базі яких проводиться військова підготовка громадян України за програмою підготовки офіцерів запасу. На цей час до зазначеного переліку ВВНЗ та ВНП ЗВО, на базі яких здійснюється військова підготовка, входять: 2 військові університети, 3 військові академії, 6 військових інститутів, 32 кафедри військової підготовки (з їх числа підготовку офіцерів здійснюють                   5 КВП) та 10 кафедр медицини катастроф та військової медицини [4]. </w:t>
      </w:r>
    </w:p>
    <w:p w14:paraId="50E8F301" w14:textId="77777777" w:rsidR="00385184" w:rsidRPr="003B5892" w:rsidRDefault="00385184" w:rsidP="00023291">
      <w:pPr>
        <w:pBdr>
          <w:top w:val="nil"/>
          <w:left w:val="nil"/>
          <w:bottom w:val="nil"/>
          <w:right w:val="nil"/>
          <w:between w:val="nil"/>
        </w:pBdr>
        <w:tabs>
          <w:tab w:val="left" w:pos="9638"/>
        </w:tabs>
        <w:spacing w:after="0" w:line="240" w:lineRule="auto"/>
        <w:ind w:firstLine="720"/>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Крім цих закладів, підготовку офіцерів запасу здійснюють: Національна академія Національної гвардії України (м. Харків), Національна академія Державної прикордонної служби України імені Богдана Хмельницького (м. Хмельницький) та Національна академія Служби безпеки України (м. Київ) [4].</w:t>
      </w:r>
    </w:p>
    <w:p w14:paraId="13BF5CA3"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 xml:space="preserve">Аналіз результатів набору громадян </w:t>
      </w:r>
      <w:r w:rsidRPr="003B5892">
        <w:rPr>
          <w:rFonts w:ascii="Times New Roman" w:eastAsia="Times New Roman" w:hAnsi="Times New Roman" w:cs="Times New Roman"/>
          <w:kern w:val="0"/>
          <w:sz w:val="24"/>
          <w:szCs w:val="24"/>
          <w:lang w:val="uk-UA" w:eastAsia="uk-UA"/>
          <w14:ligatures w14:val="none"/>
        </w:rPr>
        <w:t>України за програмою підготовки офіцерів запасу</w:t>
      </w:r>
      <w:r w:rsidRPr="003B5892">
        <w:rPr>
          <w:rFonts w:ascii="Times New Roman" w:eastAsia="Times New Roman" w:hAnsi="Times New Roman" w:cs="Times New Roman"/>
          <w:color w:val="000000"/>
          <w:kern w:val="0"/>
          <w:sz w:val="24"/>
          <w:szCs w:val="24"/>
          <w:lang w:val="uk-UA" w:eastAsia="uk-UA"/>
          <w14:ligatures w14:val="none"/>
        </w:rPr>
        <w:t xml:space="preserve"> свідчить, що починаючи з 2020 року відбувається значне зниження бажаючих здійснювати таку підготовку. У кращому випадку плани прийому виконуються на 50%, а на присвоєння офіцерського звання атестуються (закінчують підготовку) близько 35-40%.</w:t>
      </w:r>
    </w:p>
    <w:p w14:paraId="2F518294"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lastRenderedPageBreak/>
        <w:t>Станом на 24.02.2022 на обліку було близько 500–600 осіб,</w:t>
      </w:r>
      <w:r w:rsidRPr="003B5892">
        <w:rPr>
          <w:rFonts w:ascii="Times New Roman" w:eastAsia="Times New Roman" w:hAnsi="Times New Roman" w:cs="Times New Roman"/>
          <w:color w:val="FFFFFF"/>
          <w:kern w:val="0"/>
          <w:sz w:val="24"/>
          <w:szCs w:val="24"/>
          <w:lang w:val="uk-UA" w:eastAsia="uk-UA"/>
          <w14:ligatures w14:val="none"/>
        </w:rPr>
        <w:t xml:space="preserve"> </w:t>
      </w:r>
      <w:r w:rsidRPr="003B5892">
        <w:rPr>
          <w:rFonts w:ascii="Times New Roman" w:eastAsia="Times New Roman" w:hAnsi="Times New Roman" w:cs="Times New Roman"/>
          <w:color w:val="000000"/>
          <w:kern w:val="0"/>
          <w:sz w:val="24"/>
          <w:szCs w:val="24"/>
          <w:lang w:val="uk-UA" w:eastAsia="uk-UA"/>
          <w14:ligatures w14:val="none"/>
        </w:rPr>
        <w:t xml:space="preserve"> станом на 01.06.2025 призвано (мобілізовано) близько 80 000 осіб. Станом на 01.09.2025 на військовому обліку у Територіальних центрах комплектування та соціальної підтримки знаходилось 454 046 офіцерів запасу, у тому числі 38 8148 – на загальному військовому обліку, 65 904 – на спеціальному обліку. Залишки вільних ресурсів – 38 8466 осіб, у тому числі, яких можливо призвати – 181 507, не підлягали призову відповідно чинного законодавства – 87 729, перебувають у розшуку – 119 229.</w:t>
      </w:r>
    </w:p>
    <w:p w14:paraId="650B256E"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 xml:space="preserve">Такий стан викликаний, як об’єктивними, так і суб’єктивними причинами. </w:t>
      </w:r>
    </w:p>
    <w:p w14:paraId="77A7D99B"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До об’єктивних причин, перш за все, можна віднести загальну демографічну ситуацію в Україні. Суб’єктивними причинами, як показали результати опитування серед студентів, що було проведено представниками благодійного фонду Сергія Притули, які проходять навчання на КВП, є:</w:t>
      </w:r>
    </w:p>
    <w:p w14:paraId="7D53F7AE"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 xml:space="preserve">контрактну форму підготовки </w:t>
      </w:r>
      <w:r w:rsidRPr="003B5892">
        <w:rPr>
          <w:rFonts w:ascii="Times New Roman" w:eastAsia="Times New Roman" w:hAnsi="Times New Roman" w:cs="Times New Roman"/>
          <w:kern w:val="0"/>
          <w:sz w:val="24"/>
          <w:szCs w:val="24"/>
          <w:lang w:val="uk-UA" w:eastAsia="uk-UA"/>
          <w14:ligatures w14:val="none"/>
        </w:rPr>
        <w:t>за програмою офіцерів запасу</w:t>
      </w:r>
      <w:r w:rsidRPr="003B5892">
        <w:rPr>
          <w:rFonts w:ascii="Times New Roman" w:eastAsia="Times New Roman" w:hAnsi="Times New Roman" w:cs="Times New Roman"/>
          <w:color w:val="000000"/>
          <w:kern w:val="0"/>
          <w:sz w:val="24"/>
          <w:szCs w:val="24"/>
          <w:lang w:val="uk-UA" w:eastAsia="uk-UA"/>
          <w14:ligatures w14:val="none"/>
        </w:rPr>
        <w:t xml:space="preserve"> студенти обирають, щоб не зобов’язувати себе службою у ЗС України. Така підготовка для більшості студентів є другорядним завданням;</w:t>
      </w:r>
    </w:p>
    <w:p w14:paraId="1951CF77"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офіцерське звання для студентів є пріоритетною причиною мотивації, тоді як знання та навички для них є не найважливішою цінністю. Формат служби для студентів має більше значення, ніж її обов’язковість.</w:t>
      </w:r>
    </w:p>
    <w:p w14:paraId="7290C871"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 xml:space="preserve">У зв’язку зі значною ступеню небезпеки військово-політичних викликів, які постали сьогодні перед Україною, що пов’язані з повномасштабною агресією рф, питання трансформації системи підготовки офіцерів запасу стають одним із пріоритетних завдань. </w:t>
      </w:r>
      <w:r w:rsidRPr="003B5892">
        <w:rPr>
          <w:rFonts w:ascii="Times New Roman" w:eastAsia="Times New Roman" w:hAnsi="Times New Roman" w:cs="Times New Roman"/>
          <w:color w:val="000000"/>
          <w:kern w:val="0"/>
          <w:sz w:val="24"/>
          <w:szCs w:val="24"/>
          <w:lang w:val="uk-UA" w:eastAsia="uk-UA"/>
          <w14:ligatures w14:val="none"/>
        </w:rPr>
        <w:t xml:space="preserve">Суттєвим проблемним питанням сьогодення є створення дієвої, озброєної інноваційними технологіями системи підготовки офіцерів запасу для ЗС України та інших військових формувань. </w:t>
      </w:r>
    </w:p>
    <w:p w14:paraId="37668A71"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 xml:space="preserve">Водночас, відсутність єдиних поглядів на перспективи подальшого розвитку </w:t>
      </w:r>
      <w:r w:rsidRPr="003B5892">
        <w:rPr>
          <w:rFonts w:ascii="Times New Roman" w:eastAsia="Times New Roman" w:hAnsi="Times New Roman" w:cs="Times New Roman"/>
          <w:color w:val="000000"/>
          <w:kern w:val="0"/>
          <w:sz w:val="24"/>
          <w:szCs w:val="24"/>
          <w:lang w:val="uk-UA" w:eastAsia="uk-UA"/>
          <w14:ligatures w14:val="none"/>
        </w:rPr>
        <w:t>системи підготовки офіцерів запасу</w:t>
      </w:r>
      <w:r w:rsidRPr="003B5892">
        <w:rPr>
          <w:rFonts w:ascii="Times New Roman" w:eastAsia="Times New Roman" w:hAnsi="Times New Roman" w:cs="Times New Roman"/>
          <w:kern w:val="0"/>
          <w:sz w:val="24"/>
          <w:szCs w:val="24"/>
          <w:lang w:val="uk-UA" w:eastAsia="uk-UA"/>
          <w14:ligatures w14:val="none"/>
        </w:rPr>
        <w:t xml:space="preserve">, наявність </w:t>
      </w:r>
      <w:r w:rsidRPr="003B5892">
        <w:rPr>
          <w:rFonts w:ascii="Times New Roman" w:eastAsia="Times New Roman" w:hAnsi="Times New Roman" w:cs="Times New Roman"/>
          <w:color w:val="000000"/>
          <w:kern w:val="0"/>
          <w:sz w:val="24"/>
          <w:szCs w:val="24"/>
          <w:lang w:val="uk-UA" w:eastAsia="uk-UA"/>
          <w14:ligatures w14:val="none"/>
        </w:rPr>
        <w:t>проблемних питань впровадження в освітній процес інноваційних змін не дозволяють на цей час якісно оцінити ефективність функціонування окремих ВНП</w:t>
      </w:r>
      <w:r w:rsidRPr="003B5892">
        <w:rPr>
          <w:rFonts w:ascii="Times New Roman" w:eastAsia="Times New Roman" w:hAnsi="Times New Roman" w:cs="Times New Roman"/>
          <w:color w:val="FF0000"/>
          <w:kern w:val="0"/>
          <w:sz w:val="24"/>
          <w:szCs w:val="24"/>
          <w:lang w:val="uk-UA" w:eastAsia="uk-UA"/>
          <w14:ligatures w14:val="none"/>
        </w:rPr>
        <w:t xml:space="preserve"> </w:t>
      </w:r>
      <w:r w:rsidRPr="003B5892">
        <w:rPr>
          <w:rFonts w:ascii="Times New Roman" w:eastAsia="Times New Roman" w:hAnsi="Times New Roman" w:cs="Times New Roman"/>
          <w:kern w:val="0"/>
          <w:sz w:val="24"/>
          <w:szCs w:val="24"/>
          <w:lang w:val="uk-UA" w:eastAsia="uk-UA"/>
          <w14:ligatures w14:val="none"/>
        </w:rPr>
        <w:t>ЗВО</w:t>
      </w:r>
      <w:r w:rsidRPr="003B5892">
        <w:rPr>
          <w:rFonts w:ascii="Times New Roman" w:eastAsia="Times New Roman" w:hAnsi="Times New Roman" w:cs="Times New Roman"/>
          <w:color w:val="000000"/>
          <w:kern w:val="0"/>
          <w:sz w:val="24"/>
          <w:szCs w:val="24"/>
          <w:lang w:val="uk-UA" w:eastAsia="uk-UA"/>
          <w14:ligatures w14:val="none"/>
        </w:rPr>
        <w:t xml:space="preserve"> у загальній системі підготовки офіцерів запасу </w:t>
      </w:r>
      <w:r w:rsidRPr="003B5892">
        <w:rPr>
          <w:rFonts w:ascii="Times New Roman" w:eastAsia="Times New Roman" w:hAnsi="Times New Roman" w:cs="Times New Roman"/>
          <w:kern w:val="0"/>
          <w:sz w:val="24"/>
          <w:szCs w:val="24"/>
          <w:lang w:val="uk-UA" w:eastAsia="uk-UA"/>
          <w14:ligatures w14:val="none"/>
        </w:rPr>
        <w:t xml:space="preserve">[12; 13; 14; 15; 16; 17; 18]. </w:t>
      </w:r>
    </w:p>
    <w:p w14:paraId="73D9E066"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 xml:space="preserve">Результати роботи КВП за період 2022-2026 років свідчать, що суттєвих змін за роки війни після вторгнення </w:t>
      </w:r>
      <w:r w:rsidRPr="003B5892">
        <w:rPr>
          <w:rFonts w:ascii="Times New Roman" w:eastAsia="Times New Roman" w:hAnsi="Times New Roman" w:cs="Times New Roman"/>
          <w:kern w:val="0"/>
          <w:sz w:val="24"/>
          <w:szCs w:val="24"/>
          <w:lang w:val="uk-UA" w:eastAsia="uk-UA"/>
          <w14:ligatures w14:val="none"/>
        </w:rPr>
        <w:t>рф</w:t>
      </w:r>
      <w:r w:rsidRPr="003B5892">
        <w:rPr>
          <w:rFonts w:ascii="Times New Roman" w:eastAsia="Times New Roman" w:hAnsi="Times New Roman" w:cs="Times New Roman"/>
          <w:color w:val="000000"/>
          <w:kern w:val="0"/>
          <w:sz w:val="24"/>
          <w:szCs w:val="24"/>
          <w:lang w:val="uk-UA" w:eastAsia="uk-UA"/>
          <w14:ligatures w14:val="none"/>
        </w:rPr>
        <w:t xml:space="preserve"> в Україну не відбулося. Але, як показує практика та результати функціонування системи підготовки офіцерів запасу у нашій державі, більшість фахівців, призваних до лав ЗС України із запасу, за останні роки не мали достатніх вмінь та навичок, необхідних на сучасній війні.</w:t>
      </w:r>
    </w:p>
    <w:p w14:paraId="0882909C"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 xml:space="preserve">Замовники на </w:t>
      </w:r>
      <w:r w:rsidRPr="003B5892">
        <w:rPr>
          <w:rFonts w:ascii="Times New Roman" w:eastAsia="Times New Roman" w:hAnsi="Times New Roman" w:cs="Times New Roman"/>
          <w:kern w:val="0"/>
          <w:sz w:val="24"/>
          <w:szCs w:val="24"/>
          <w:lang w:val="uk-UA" w:eastAsia="uk-UA"/>
          <w14:ligatures w14:val="none"/>
        </w:rPr>
        <w:t xml:space="preserve">підготовку </w:t>
      </w:r>
      <w:r w:rsidRPr="003B5892">
        <w:rPr>
          <w:rFonts w:ascii="Times New Roman" w:eastAsia="Times New Roman" w:hAnsi="Times New Roman" w:cs="Times New Roman"/>
          <w:color w:val="000000"/>
          <w:kern w:val="0"/>
          <w:sz w:val="24"/>
          <w:szCs w:val="24"/>
          <w:lang w:val="uk-UA" w:eastAsia="uk-UA"/>
          <w14:ligatures w14:val="none"/>
        </w:rPr>
        <w:t xml:space="preserve">громадян </w:t>
      </w:r>
      <w:r w:rsidRPr="003B5892">
        <w:rPr>
          <w:rFonts w:ascii="Times New Roman" w:eastAsia="Times New Roman" w:hAnsi="Times New Roman" w:cs="Times New Roman"/>
          <w:kern w:val="0"/>
          <w:sz w:val="24"/>
          <w:szCs w:val="24"/>
          <w:lang w:val="uk-UA" w:eastAsia="uk-UA"/>
          <w14:ligatures w14:val="none"/>
        </w:rPr>
        <w:t>України за програмою підготовки офіцерів запасу,</w:t>
      </w:r>
      <w:r w:rsidRPr="003B5892">
        <w:rPr>
          <w:rFonts w:ascii="Times New Roman" w:eastAsia="Times New Roman" w:hAnsi="Times New Roman" w:cs="Times New Roman"/>
          <w:color w:val="000000"/>
          <w:kern w:val="0"/>
          <w:sz w:val="24"/>
          <w:szCs w:val="24"/>
          <w:lang w:val="uk-UA" w:eastAsia="uk-UA"/>
          <w14:ligatures w14:val="none"/>
        </w:rPr>
        <w:t xml:space="preserve"> вивченням стану справ на КВП з освітньої діяльності цілеспрямовано не займалися та не забезпечили організацію надання практичної та методичної допомоги керівному складу ВНП ЗВО. </w:t>
      </w:r>
    </w:p>
    <w:p w14:paraId="13F26559"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 xml:space="preserve">Покращення з забезпеченням ВНП ЗВО сучасними зразками ОВТ, іншими технічними засобами, спеціалізованим програмним забезпеченням здебільшого не сталося. </w:t>
      </w:r>
    </w:p>
    <w:p w14:paraId="5526D568"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Допомога керівництву КВП щодо отримання інформаційних та інших матеріалів стосовно особливостей дій військ (сил) з урахуванням досвіду війни 2022-2026 років в необхідній частині для підготовки офіцерів запасу замовниками не здійснюється</w:t>
      </w:r>
      <w:r w:rsidRPr="003B5892">
        <w:rPr>
          <w:rFonts w:ascii="Times New Roman" w:eastAsia="Times New Roman" w:hAnsi="Times New Roman" w:cs="Times New Roman"/>
          <w:color w:val="000000"/>
          <w:kern w:val="0"/>
          <w:sz w:val="28"/>
          <w:szCs w:val="28"/>
          <w:lang w:val="uk-UA" w:eastAsia="uk-UA"/>
          <w14:ligatures w14:val="none"/>
        </w:rPr>
        <w:t xml:space="preserve">. </w:t>
      </w:r>
    </w:p>
    <w:p w14:paraId="4DD5DAF6"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 xml:space="preserve">У зв’язку з цим, на КВП бойовий досвід війни 2022-2026 років </w:t>
      </w:r>
      <w:r w:rsidRPr="003B5892">
        <w:rPr>
          <w:rFonts w:ascii="Times New Roman" w:eastAsia="Times New Roman" w:hAnsi="Times New Roman" w:cs="Times New Roman"/>
          <w:kern w:val="0"/>
          <w:sz w:val="24"/>
          <w:szCs w:val="24"/>
          <w:lang w:val="uk-UA" w:eastAsia="uk-UA"/>
          <w14:ligatures w14:val="none"/>
        </w:rPr>
        <w:t>рф</w:t>
      </w:r>
      <w:r w:rsidRPr="003B5892">
        <w:rPr>
          <w:rFonts w:ascii="Times New Roman" w:eastAsia="Times New Roman" w:hAnsi="Times New Roman" w:cs="Times New Roman"/>
          <w:color w:val="000000"/>
          <w:kern w:val="0"/>
          <w:sz w:val="24"/>
          <w:szCs w:val="24"/>
          <w:lang w:val="uk-UA" w:eastAsia="uk-UA"/>
          <w14:ligatures w14:val="none"/>
        </w:rPr>
        <w:t xml:space="preserve"> проти України щодо особливостей підготовки офіцерів запасу тактичного рівня за конкретними ВОС н</w:t>
      </w:r>
      <w:r w:rsidRPr="003B5892">
        <w:rPr>
          <w:rFonts w:ascii="Times New Roman" w:eastAsia="Times New Roman" w:hAnsi="Times New Roman" w:cs="Times New Roman"/>
          <w:kern w:val="0"/>
          <w:sz w:val="24"/>
          <w:szCs w:val="24"/>
          <w:lang w:val="uk-UA" w:eastAsia="uk-UA"/>
          <w14:ligatures w14:val="none"/>
        </w:rPr>
        <w:t xml:space="preserve">е достатньо враховується, а </w:t>
      </w:r>
      <w:r w:rsidRPr="003B5892">
        <w:rPr>
          <w:rFonts w:ascii="Times New Roman" w:eastAsia="Times New Roman" w:hAnsi="Times New Roman" w:cs="Times New Roman"/>
          <w:color w:val="000000"/>
          <w:kern w:val="0"/>
          <w:sz w:val="24"/>
          <w:szCs w:val="24"/>
          <w:lang w:val="uk-UA" w:eastAsia="uk-UA"/>
          <w14:ligatures w14:val="none"/>
        </w:rPr>
        <w:t>методичні розробки, лекції, тощо на КВП ЗВО потребують доопрацювання з урахуванням існуючого досвіду.</w:t>
      </w:r>
    </w:p>
    <w:p w14:paraId="203DE397"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Викладачі більшості КВП не мають належного рівня навичок володіння процедурами планування та прийняття рішень за стандартами НАТО. Навчально-методичні матеріали щодо процедур планування та прийняття рішень за стандартами НАТО (TLP) потребують доопрацювання з урахуванням вимог сучасності.</w:t>
      </w:r>
    </w:p>
    <w:p w14:paraId="0150D1A1"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lastRenderedPageBreak/>
        <w:t xml:space="preserve">Недостатній рівень знань викладацьким складом КВП сучасного досвіду бойового застосування військ (сил) щодо ведення бойових дій. Зазначене обумовлено недостатньою підготовкою викладацького складу КВП, у порівнянні з НПП ВВНЗ та не відповідає вимогам сьогодення. Підвищення кваліфікації педагогічних працівників КВП здійснюється не регулярно. Це не сприяє максимальному наближенню теоретичної підготовки викладачів до їх спроможності з навчання необхідними практичним навичками. </w:t>
      </w:r>
    </w:p>
    <w:p w14:paraId="1486C2B1"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Зазначене не дозволяє готувати студентів тому, що потрібно знати та вміти на полі бою. З цією метою до викладацької діяльності доцільно залучати офіцерів запасу, можливо з числа поранених, які мають бойовий досвід та спроможні навчити тому, що необхідно в сучасних умовах. Водночас, основною перешкодою стає низькій рівень заробітної плати. Як наслідок, офіцери запасу не отримують необхідні знання з питань підготовки і ведення сучасного бою, роботи з особовим складом, бойової роботи на військовій техніці, що приводить до неспроможності виконувати завдання та необхідності їх додаткової підготовки на зборах після призову до лав ЗС України протягом тривалого часу.</w:t>
      </w:r>
    </w:p>
    <w:p w14:paraId="10E7B26F"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Відсутність у більшості ВНП ЗВО власної польової матеріально-технічної бази не дозволяє досягнути необхідного рівня польової виучки. Це обумовлено тим, що деякими ректорами ЗВО забезпечення КВП здійснюється за залишковим принципом, як наслідок, майбутні офіцери матимуть нижчий рівень навчання, ніж їхні підлеглі, які пройшли підготовку у навчальних центрах. Переважна більшість офіцерів запасу після завершення навчання неспроможна в короткі терміни опанувати посаду та виконувати завдання за призначенням без додаткової підготовки (перепідготовки).</w:t>
      </w:r>
    </w:p>
    <w:p w14:paraId="23B4F8CC"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Ігнорування замовниками на підготовку офіцерів запасу та керівництвом ЗВО, де здійснюється їх підготовка, вимог Порядку проведення військової підготовки громадян України за програмою підготовки офіцерів запасу [4]</w:t>
      </w:r>
      <w:r w:rsidRPr="003B5892">
        <w:rPr>
          <w:rFonts w:ascii="Times New Roman" w:eastAsia="Times New Roman" w:hAnsi="Times New Roman" w:cs="Times New Roman"/>
          <w:color w:val="FF0000"/>
          <w:kern w:val="0"/>
          <w:sz w:val="28"/>
          <w:szCs w:val="28"/>
          <w:lang w:val="uk-UA"/>
          <w14:ligatures w14:val="none"/>
        </w:rPr>
        <w:t xml:space="preserve"> </w:t>
      </w:r>
      <w:r w:rsidRPr="003B5892">
        <w:rPr>
          <w:rFonts w:ascii="Times New Roman" w:eastAsia="Times New Roman" w:hAnsi="Times New Roman" w:cs="Times New Roman"/>
          <w:kern w:val="0"/>
          <w:sz w:val="24"/>
          <w:szCs w:val="24"/>
          <w:lang w:val="uk-UA" w:eastAsia="uk-UA"/>
          <w14:ligatures w14:val="none"/>
        </w:rPr>
        <w:t>приводить до негативних наслідків у питаннях забезпечення не тільки необхідними зразками ОВТ, але і вкрай потрібною навчальною літературою, бойовими статутами та настановами, відповідними організаційно-методичними вказівками.</w:t>
      </w:r>
    </w:p>
    <w:p w14:paraId="70B9693C"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 xml:space="preserve">Замовниками на підготовку офіцерів запасу після проведення підсумкового іспиту на КВП ЗВО аналіз результатів здійснюється формально, заходи щодо покращення якості підготовки офіцерів запасу не визначаються та не проводяться. </w:t>
      </w:r>
    </w:p>
    <w:p w14:paraId="1407110F"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Таким чином, враховуючи викладене, удосконалення системи підготовки офіцерів запасу в контексті сучасних безпекових викликів і загроз пропонується реалізовувати шляхом проведення:</w:t>
      </w:r>
    </w:p>
    <w:p w14:paraId="6E2617AE" w14:textId="77777777" w:rsidR="00385184" w:rsidRPr="003B5892" w:rsidRDefault="00385184" w:rsidP="00023291">
      <w:pP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обґрунтування потреб у підготовці офіцерів запасу за ВОС, які необхідні в першу чергу для поповнення та комплектування військ (сил), у разі необхідності, з урахуванням набутого досвіду протягом 2022-2026 років, здійснення відповідної їх оптимізації;</w:t>
      </w:r>
    </w:p>
    <w:p w14:paraId="466766FF"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оптимізації мережі КВП ЗВО, які мають відповідні спроможності для підготовки військових фахівців за визначеними ВОС, з урахуванням територіального принципу. Особливу увагу приділити ретельному аналізу організації та якості підготовки офіцерів запасу з метою визначення доцільності підготовки їх на КВП ЗВО, які не набули відповідних спроможностей та не мають необхідної матеріально-технічної бази;</w:t>
      </w:r>
    </w:p>
    <w:p w14:paraId="07E716FD" w14:textId="77777777" w:rsidR="00385184" w:rsidRPr="003B5892" w:rsidRDefault="00385184" w:rsidP="00023291">
      <w:pPr>
        <w:pBdr>
          <w:top w:val="nil"/>
          <w:left w:val="nil"/>
          <w:bottom w:val="nil"/>
          <w:right w:val="nil"/>
          <w:between w:val="nil"/>
        </w:pBdr>
        <w:tabs>
          <w:tab w:val="left" w:pos="1134"/>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з урахуванням отриманого досвіду бойових дій розглянути питання удосконалення організаційно-штатних структур КВП ЗВО. У разі необхідності прийняти рішення щодо введення додаткових посад на КВП ЗВО в залежності від складності ВОС, за якими здійснюється підготовка громадян України за програмою офіцерів запасу (наприклад, інструкторів (штаб-сержантів) за рахунок МО України), та термінів опанування спеціальності шляхом внесення відповідних змін до нормативно-правових актів, що регламентують таку підготовку.</w:t>
      </w:r>
    </w:p>
    <w:p w14:paraId="47698CED"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Крім цього, на думку авторів існує необхідність в уточненні та доопрацюванні:</w:t>
      </w:r>
    </w:p>
    <w:p w14:paraId="37502F99"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lastRenderedPageBreak/>
        <w:t>оновленого переліку компетентностей майбутнього офіцера запасу, що є необхідним для успішного виконання службово-бойових завдань;</w:t>
      </w:r>
    </w:p>
    <w:p w14:paraId="1A3ECFB5"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дієвого механізму щодо заключення контрактів зі студентами з метою унеможливлювання розриву ними контракту за місяць до завершення навчання, крім випадків пов’язаних зі станом здоров’я;</w:t>
      </w:r>
    </w:p>
    <w:p w14:paraId="76B32566" w14:textId="77777777" w:rsidR="00385184" w:rsidRPr="003B5892" w:rsidRDefault="00385184" w:rsidP="00023291">
      <w:pPr>
        <w:pBdr>
          <w:top w:val="nil"/>
          <w:left w:val="nil"/>
          <w:bottom w:val="nil"/>
          <w:right w:val="nil"/>
          <w:between w:val="nil"/>
        </w:pBdr>
        <w:tabs>
          <w:tab w:val="left" w:pos="1134"/>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єдиних методичних підходів (методик, рекомендацій для кожної (групи) ВОС, з урахуванням досвіду війни, тощо) стосовно особливостей навчання, контролю та перевірки якості підготовки офіцерів запасу.</w:t>
      </w:r>
    </w:p>
    <w:p w14:paraId="51AEA14E" w14:textId="77777777" w:rsidR="00385184" w:rsidRPr="003B5892" w:rsidRDefault="00385184" w:rsidP="00023291">
      <w:pPr>
        <w:pBdr>
          <w:top w:val="nil"/>
          <w:left w:val="nil"/>
          <w:bottom w:val="nil"/>
          <w:right w:val="nil"/>
          <w:between w:val="nil"/>
        </w:pBdr>
        <w:tabs>
          <w:tab w:val="left" w:pos="1134"/>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 xml:space="preserve">Окремими завданнями щодо підвищення якості підготовки офіцерів запасу, крім </w:t>
      </w:r>
      <w:r w:rsidRPr="003B5892">
        <w:rPr>
          <w:rFonts w:ascii="Times New Roman" w:eastAsia="Times New Roman" w:hAnsi="Times New Roman" w:cs="Times New Roman"/>
          <w:kern w:val="0"/>
          <w:sz w:val="24"/>
          <w:szCs w:val="24"/>
          <w:lang w:val="uk-UA" w:eastAsia="uk-UA"/>
          <w14:ligatures w14:val="none"/>
        </w:rPr>
        <w:t xml:space="preserve">постійного її моніторингу та перевірок, відповідно до Положення про особливості організації освітнього процесу у ВВНЗ Міністерства оборони України, ВНП ЗВО, закладах фахової передвищої військової освіти, затвердженим наказом Міністерства оборони України від 15.02.2024 № 120, має стати закріплення </w:t>
      </w:r>
      <w:r w:rsidRPr="003B5892">
        <w:rPr>
          <w:rFonts w:ascii="Times New Roman" w:eastAsia="Times New Roman" w:hAnsi="Times New Roman" w:cs="Times New Roman"/>
          <w:color w:val="000000"/>
          <w:kern w:val="0"/>
          <w:sz w:val="24"/>
          <w:szCs w:val="24"/>
          <w:lang w:val="uk-UA" w:eastAsia="uk-UA"/>
          <w14:ligatures w14:val="none"/>
        </w:rPr>
        <w:t>в обов’язках замовників щодо їх безумовної участі в організації та проведенні занять, навчань</w:t>
      </w:r>
      <w:r w:rsidRPr="003B5892">
        <w:rPr>
          <w:rFonts w:ascii="Times New Roman" w:eastAsia="Times New Roman" w:hAnsi="Times New Roman" w:cs="Times New Roman"/>
          <w:kern w:val="0"/>
          <w:sz w:val="24"/>
          <w:szCs w:val="24"/>
          <w:lang w:val="uk-UA" w:eastAsia="uk-UA"/>
          <w14:ligatures w14:val="none"/>
        </w:rPr>
        <w:t xml:space="preserve">. </w:t>
      </w:r>
    </w:p>
    <w:p w14:paraId="336F12DD" w14:textId="77777777" w:rsidR="00385184" w:rsidRPr="003B5892" w:rsidRDefault="00385184" w:rsidP="00023291">
      <w:pPr>
        <w:pBdr>
          <w:top w:val="nil"/>
          <w:left w:val="nil"/>
          <w:bottom w:val="nil"/>
          <w:right w:val="nil"/>
          <w:between w:val="nil"/>
        </w:pBdr>
        <w:tabs>
          <w:tab w:val="left" w:pos="1134"/>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Також замовникам та керівникам ВНП ЗВО слід організувати роботу щодо поступової заміни викладацького складу особами, які мають досвід участі в бойових діях та спроможні навчати тому, що необхідно знати та вміти на полі бою. Результати перевірки КВП у 2022 – 2026 роках свідчать, що рівень підготовки викладацького складу в деяких випадках лише частково відповідає вимогам керівних документів та потребує організації їх навчання на відповідних курсах.</w:t>
      </w:r>
    </w:p>
    <w:p w14:paraId="473386D8"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З огляду на викладене, п</w:t>
      </w:r>
      <w:r w:rsidRPr="003B5892">
        <w:rPr>
          <w:rFonts w:ascii="Times New Roman" w:eastAsia="Times New Roman" w:hAnsi="Times New Roman" w:cs="Times New Roman"/>
          <w:color w:val="000000"/>
          <w:kern w:val="0"/>
          <w:sz w:val="24"/>
          <w:szCs w:val="24"/>
          <w:lang w:val="uk-UA" w:eastAsia="uk-UA"/>
          <w14:ligatures w14:val="none"/>
        </w:rPr>
        <w:t>ідготовка офіцерів запасу має бути виправдана як з військової, так і з економічної точок зору. При цьому, доцільність підготовки офіцерів запасу із числа громадян, які мають або здобувають ступінь вищої освіти не нижче бакалавра в цивільних ЗВО обумовлена декількома факторами:</w:t>
      </w:r>
    </w:p>
    <w:p w14:paraId="1EC8EF27"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 xml:space="preserve">по-перше, оволодіння відповідною ВОС на базі та паралельно з отримуваною, чи вже отриманою, основною спеціальністю в цивільному ЗВО істотно дешевша; </w:t>
      </w:r>
    </w:p>
    <w:p w14:paraId="1D8B671D"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 xml:space="preserve">по-друге, ступінь володіння необхідними компетенціями у офіцера – випускника цивільного ЗВО в більшості випадків має бути не нижча, ніж у випускника ВВНЗ. При цьому існуючі відмінності між ними нівелюються протягом перших місяців служби; </w:t>
      </w:r>
    </w:p>
    <w:p w14:paraId="07FF8301"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по-третє, додаткова кваліфікація дозволить випускнику вишу бути більш конкурентоспроможними на ринку праці.</w:t>
      </w:r>
    </w:p>
    <w:p w14:paraId="70516B11" w14:textId="77777777" w:rsidR="00385184" w:rsidRPr="003B5892" w:rsidRDefault="00385184" w:rsidP="00023291">
      <w:pPr>
        <w:pBdr>
          <w:top w:val="nil"/>
          <w:left w:val="nil"/>
          <w:bottom w:val="nil"/>
          <w:right w:val="nil"/>
          <w:between w:val="nil"/>
        </w:pBdr>
        <w:tabs>
          <w:tab w:val="left" w:pos="1134"/>
          <w:tab w:val="left" w:pos="9638"/>
        </w:tabs>
        <w:spacing w:after="0" w:line="216" w:lineRule="auto"/>
        <w:ind w:firstLine="709"/>
        <w:jc w:val="both"/>
        <w:rPr>
          <w:rFonts w:ascii="Times New Roman" w:eastAsia="Times New Roman" w:hAnsi="Times New Roman" w:cs="Times New Roman"/>
          <w:color w:val="000000"/>
          <w:kern w:val="0"/>
          <w:sz w:val="28"/>
          <w:szCs w:val="28"/>
          <w:lang w:val="uk-UA" w:eastAsia="uk-UA"/>
          <w14:ligatures w14:val="none"/>
        </w:rPr>
      </w:pPr>
      <w:r w:rsidRPr="003B5892">
        <w:rPr>
          <w:rFonts w:ascii="Times New Roman" w:eastAsia="Times New Roman" w:hAnsi="Times New Roman" w:cs="Times New Roman"/>
          <w:kern w:val="0"/>
          <w:sz w:val="24"/>
          <w:szCs w:val="24"/>
          <w:lang w:val="uk-UA" w:eastAsia="uk-UA"/>
          <w14:ligatures w14:val="none"/>
        </w:rPr>
        <w:t>Таким чином, з</w:t>
      </w:r>
      <w:r w:rsidRPr="003B5892">
        <w:rPr>
          <w:rFonts w:ascii="Times New Roman" w:eastAsia="Times New Roman" w:hAnsi="Times New Roman" w:cs="Times New Roman"/>
          <w:color w:val="000000"/>
          <w:kern w:val="0"/>
          <w:sz w:val="24"/>
          <w:szCs w:val="24"/>
          <w:lang w:val="uk-UA" w:eastAsia="uk-UA"/>
          <w14:ligatures w14:val="none"/>
        </w:rPr>
        <w:t>а результатами проведеного аналізу, на рисунку 1 пропонується варіант перспективної моделі військової підготовки офіцерів запасу</w:t>
      </w:r>
      <w:r w:rsidRPr="003B5892">
        <w:rPr>
          <w:rFonts w:ascii="Times New Roman" w:eastAsia="Times New Roman" w:hAnsi="Times New Roman" w:cs="Times New Roman"/>
          <w:bCs/>
          <w:color w:val="000000"/>
          <w:kern w:val="0"/>
          <w:sz w:val="24"/>
          <w:szCs w:val="24"/>
          <w:lang w:val="uk-UA" w:eastAsia="uk-UA"/>
          <w14:ligatures w14:val="none"/>
        </w:rPr>
        <w:t>. А</w:t>
      </w:r>
      <w:r w:rsidRPr="003B5892">
        <w:rPr>
          <w:rFonts w:ascii="Times New Roman" w:eastAsia="Times New Roman" w:hAnsi="Times New Roman" w:cs="Times New Roman"/>
          <w:color w:val="000000"/>
          <w:kern w:val="0"/>
          <w:sz w:val="24"/>
          <w:szCs w:val="24"/>
          <w:lang w:val="uk-UA" w:eastAsia="uk-UA"/>
          <w14:ligatures w14:val="none"/>
        </w:rPr>
        <w:t>лгоритм залучення офіцерів запасу до військової служби наданий на рисунку 2.</w:t>
      </w:r>
    </w:p>
    <w:p w14:paraId="7E8563BB" w14:textId="77777777" w:rsidR="00385184" w:rsidRPr="003B5892" w:rsidRDefault="00385184" w:rsidP="00023291">
      <w:pPr>
        <w:pBdr>
          <w:top w:val="nil"/>
          <w:left w:val="nil"/>
          <w:bottom w:val="nil"/>
          <w:right w:val="nil"/>
          <w:between w:val="nil"/>
        </w:pBdr>
        <w:tabs>
          <w:tab w:val="left" w:pos="1134"/>
          <w:tab w:val="left" w:pos="9638"/>
        </w:tabs>
        <w:spacing w:after="0" w:line="216" w:lineRule="auto"/>
        <w:jc w:val="both"/>
        <w:rPr>
          <w:rFonts w:ascii="Times New Roman" w:eastAsia="Times New Roman" w:hAnsi="Times New Roman" w:cs="Times New Roman"/>
          <w:color w:val="000000"/>
          <w:kern w:val="0"/>
          <w:sz w:val="28"/>
          <w:szCs w:val="28"/>
          <w:lang w:val="uk-UA" w:eastAsia="uk-UA"/>
          <w14:ligatures w14:val="none"/>
        </w:rPr>
      </w:pPr>
      <w:r w:rsidRPr="003B5892">
        <w:rPr>
          <w:rFonts w:ascii="Times New Roman" w:eastAsia="Times New Roman" w:hAnsi="Times New Roman" w:cs="Times New Roman"/>
          <w:noProof/>
          <w:color w:val="000000"/>
          <w:kern w:val="0"/>
          <w:sz w:val="28"/>
          <w:szCs w:val="28"/>
          <w:lang w:val="uk-UA" w:eastAsia="uk-UA"/>
          <w14:ligatures w14:val="none"/>
        </w:rPr>
        <w:drawing>
          <wp:inline distT="0" distB="0" distL="0" distR="0" wp14:anchorId="7DFAAB3B" wp14:editId="1907249E">
            <wp:extent cx="6347460" cy="2301147"/>
            <wp:effectExtent l="0" t="0" r="0" b="4445"/>
            <wp:docPr id="5449097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6"/>
                    <a:srcRect/>
                    <a:stretch>
                      <a:fillRect/>
                    </a:stretch>
                  </pic:blipFill>
                  <pic:spPr>
                    <a:xfrm>
                      <a:off x="0" y="0"/>
                      <a:ext cx="6501475" cy="2356982"/>
                    </a:xfrm>
                    <a:prstGeom prst="rect">
                      <a:avLst/>
                    </a:prstGeom>
                    <a:ln/>
                  </pic:spPr>
                </pic:pic>
              </a:graphicData>
            </a:graphic>
          </wp:inline>
        </w:drawing>
      </w:r>
    </w:p>
    <w:p w14:paraId="5E50072D" w14:textId="77777777" w:rsidR="00385184" w:rsidRPr="003B5892" w:rsidRDefault="00385184" w:rsidP="00023291">
      <w:pPr>
        <w:pBdr>
          <w:top w:val="nil"/>
          <w:left w:val="nil"/>
          <w:bottom w:val="nil"/>
          <w:right w:val="nil"/>
          <w:between w:val="nil"/>
        </w:pBdr>
        <w:tabs>
          <w:tab w:val="left" w:pos="1134"/>
          <w:tab w:val="left" w:pos="9638"/>
        </w:tabs>
        <w:spacing w:after="0" w:line="216"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Рис.1. Перспективна модель військової підготовки офіцерів запасу.</w:t>
      </w:r>
    </w:p>
    <w:p w14:paraId="3F302822" w14:textId="77777777" w:rsidR="00385184" w:rsidRPr="003B5892" w:rsidRDefault="00385184" w:rsidP="00023291">
      <w:pPr>
        <w:pBdr>
          <w:top w:val="nil"/>
          <w:left w:val="nil"/>
          <w:bottom w:val="nil"/>
          <w:right w:val="nil"/>
          <w:between w:val="nil"/>
        </w:pBdr>
        <w:tabs>
          <w:tab w:val="left" w:pos="1134"/>
          <w:tab w:val="left" w:pos="9638"/>
        </w:tabs>
        <w:spacing w:after="0" w:line="216" w:lineRule="auto"/>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noProof/>
          <w:color w:val="000000"/>
          <w:kern w:val="0"/>
          <w:sz w:val="28"/>
          <w:szCs w:val="28"/>
          <w:lang w:val="uk-UA" w:eastAsia="uk-UA"/>
          <w14:ligatures w14:val="none"/>
        </w:rPr>
        <w:lastRenderedPageBreak/>
        <w:drawing>
          <wp:inline distT="0" distB="0" distL="0" distR="0" wp14:anchorId="3B870592" wp14:editId="4F46FFB1">
            <wp:extent cx="6250305" cy="3641698"/>
            <wp:effectExtent l="0" t="0" r="0" b="3810"/>
            <wp:docPr id="50427287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177"/>
                    <a:srcRect t="11446" b="2607"/>
                    <a:stretch>
                      <a:fillRect/>
                    </a:stretch>
                  </pic:blipFill>
                  <pic:spPr bwMode="auto">
                    <a:xfrm>
                      <a:off x="0" y="0"/>
                      <a:ext cx="6269805" cy="3653060"/>
                    </a:xfrm>
                    <a:prstGeom prst="rect">
                      <a:avLst/>
                    </a:prstGeom>
                    <a:ln>
                      <a:noFill/>
                    </a:ln>
                    <a:extLst>
                      <a:ext uri="{53640926-AAD7-44D8-BBD7-CCE9431645EC}">
                        <a14:shadowObscured xmlns:a14="http://schemas.microsoft.com/office/drawing/2010/main"/>
                      </a:ext>
                    </a:extLst>
                  </pic:spPr>
                </pic:pic>
              </a:graphicData>
            </a:graphic>
          </wp:inline>
        </w:drawing>
      </w:r>
    </w:p>
    <w:p w14:paraId="35807193" w14:textId="77777777" w:rsidR="00385184" w:rsidRPr="003B5892" w:rsidRDefault="00385184" w:rsidP="00023291">
      <w:pPr>
        <w:pBdr>
          <w:top w:val="nil"/>
          <w:left w:val="nil"/>
          <w:bottom w:val="nil"/>
          <w:right w:val="nil"/>
          <w:between w:val="nil"/>
        </w:pBdr>
        <w:tabs>
          <w:tab w:val="left" w:pos="1134"/>
          <w:tab w:val="left" w:pos="9638"/>
        </w:tabs>
        <w:spacing w:after="0" w:line="216" w:lineRule="auto"/>
        <w:ind w:firstLine="709"/>
        <w:jc w:val="both"/>
        <w:rPr>
          <w:rFonts w:ascii="Times New Roman" w:eastAsia="Times New Roman" w:hAnsi="Times New Roman" w:cs="Times New Roman"/>
          <w:color w:val="000000"/>
          <w:kern w:val="0"/>
          <w:sz w:val="24"/>
          <w:szCs w:val="24"/>
          <w:lang w:val="uk-UA" w:eastAsia="uk-UA"/>
          <w14:ligatures w14:val="none"/>
        </w:rPr>
      </w:pPr>
    </w:p>
    <w:p w14:paraId="1B91EA59" w14:textId="71CC114C" w:rsidR="00385184" w:rsidRPr="003B5892" w:rsidRDefault="00385184" w:rsidP="00023291">
      <w:pPr>
        <w:pBdr>
          <w:top w:val="nil"/>
          <w:left w:val="nil"/>
          <w:bottom w:val="nil"/>
          <w:right w:val="nil"/>
          <w:between w:val="nil"/>
        </w:pBdr>
        <w:tabs>
          <w:tab w:val="left" w:pos="1134"/>
          <w:tab w:val="left" w:pos="9638"/>
        </w:tabs>
        <w:spacing w:after="0" w:line="216"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Рис. 2. Алгоритм залучення офіцерів запасу до військової служби</w:t>
      </w:r>
    </w:p>
    <w:p w14:paraId="47D818EC" w14:textId="77777777" w:rsidR="00385184" w:rsidRPr="003B5892" w:rsidRDefault="00385184" w:rsidP="00023291">
      <w:pPr>
        <w:pBdr>
          <w:top w:val="nil"/>
          <w:left w:val="nil"/>
          <w:bottom w:val="nil"/>
          <w:right w:val="nil"/>
          <w:between w:val="nil"/>
        </w:pBdr>
        <w:tabs>
          <w:tab w:val="left" w:pos="1134"/>
          <w:tab w:val="left" w:pos="9638"/>
        </w:tabs>
        <w:spacing w:after="0" w:line="216" w:lineRule="auto"/>
        <w:ind w:firstLine="709"/>
        <w:jc w:val="both"/>
        <w:rPr>
          <w:rFonts w:ascii="Times New Roman" w:eastAsia="Times New Roman" w:hAnsi="Times New Roman" w:cs="Times New Roman"/>
          <w:color w:val="000000"/>
          <w:kern w:val="0"/>
          <w:sz w:val="24"/>
          <w:szCs w:val="24"/>
          <w:lang w:val="uk-UA" w:eastAsia="uk-UA"/>
          <w14:ligatures w14:val="none"/>
        </w:rPr>
      </w:pPr>
    </w:p>
    <w:p w14:paraId="4840DF3D" w14:textId="77777777" w:rsidR="00385184" w:rsidRPr="003B5892" w:rsidRDefault="00385184" w:rsidP="00023291">
      <w:pPr>
        <w:pBdr>
          <w:top w:val="nil"/>
          <w:left w:val="nil"/>
          <w:bottom w:val="nil"/>
          <w:right w:val="nil"/>
          <w:between w:val="nil"/>
        </w:pBdr>
        <w:tabs>
          <w:tab w:val="left" w:pos="1134"/>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b/>
          <w:bCs/>
          <w:color w:val="000000"/>
          <w:kern w:val="0"/>
          <w:sz w:val="24"/>
          <w:szCs w:val="24"/>
          <w:lang w:val="uk-UA" w:eastAsia="uk-UA"/>
          <w14:ligatures w14:val="none"/>
        </w:rPr>
        <w:t xml:space="preserve">Висновки. </w:t>
      </w:r>
      <w:r w:rsidRPr="003B5892">
        <w:rPr>
          <w:rFonts w:ascii="Times New Roman" w:eastAsia="Times New Roman" w:hAnsi="Times New Roman" w:cs="Times New Roman"/>
          <w:bCs/>
          <w:color w:val="000000"/>
          <w:kern w:val="0"/>
          <w:sz w:val="24"/>
          <w:szCs w:val="24"/>
          <w:lang w:val="uk-UA" w:eastAsia="uk-UA"/>
          <w14:ligatures w14:val="none"/>
        </w:rPr>
        <w:t xml:space="preserve">Таким чином, на підставі проведеного аналізу стану військової підготовки громадян України за програмою офіцерів запасу у ВВНЗ, ВНП ЗВО та проблемних питань їх підготовки авторами запропоновані </w:t>
      </w:r>
      <w:r w:rsidRPr="003B5892">
        <w:rPr>
          <w:rFonts w:ascii="Times New Roman" w:eastAsia="Times New Roman" w:hAnsi="Times New Roman" w:cs="Times New Roman"/>
          <w:color w:val="000000"/>
          <w:kern w:val="0"/>
          <w:sz w:val="24"/>
          <w:szCs w:val="24"/>
          <w:lang w:val="uk-UA" w:eastAsia="uk-UA"/>
          <w14:ligatures w14:val="none"/>
        </w:rPr>
        <w:t>перспективна модель військової підготовки офіцерів запасу</w:t>
      </w:r>
      <w:r w:rsidRPr="003B5892">
        <w:rPr>
          <w:rFonts w:ascii="Times New Roman" w:eastAsia="Times New Roman" w:hAnsi="Times New Roman" w:cs="Times New Roman"/>
          <w:bCs/>
          <w:color w:val="000000"/>
          <w:kern w:val="0"/>
          <w:sz w:val="24"/>
          <w:szCs w:val="24"/>
          <w:lang w:val="uk-UA" w:eastAsia="uk-UA"/>
          <w14:ligatures w14:val="none"/>
        </w:rPr>
        <w:t xml:space="preserve"> та можливий </w:t>
      </w:r>
      <w:r w:rsidRPr="003B5892">
        <w:rPr>
          <w:rFonts w:ascii="Times New Roman" w:eastAsia="Times New Roman" w:hAnsi="Times New Roman" w:cs="Times New Roman"/>
          <w:color w:val="000000"/>
          <w:kern w:val="0"/>
          <w:sz w:val="24"/>
          <w:szCs w:val="24"/>
          <w:lang w:val="uk-UA" w:eastAsia="uk-UA"/>
          <w14:ligatures w14:val="none"/>
        </w:rPr>
        <w:t xml:space="preserve">алгоритм їх залучення до військової служби. При цьому, </w:t>
      </w:r>
      <w:r w:rsidRPr="003B5892">
        <w:rPr>
          <w:rFonts w:ascii="Times New Roman" w:eastAsia="Times New Roman" w:hAnsi="Times New Roman" w:cs="Times New Roman"/>
          <w:bCs/>
          <w:color w:val="000000"/>
          <w:kern w:val="0"/>
          <w:sz w:val="24"/>
          <w:szCs w:val="24"/>
          <w:lang w:val="uk-UA" w:eastAsia="uk-UA"/>
          <w14:ligatures w14:val="none"/>
        </w:rPr>
        <w:t xml:space="preserve">в </w:t>
      </w:r>
      <w:r w:rsidRPr="003B5892">
        <w:rPr>
          <w:rFonts w:ascii="Times New Roman" w:eastAsia="Times New Roman" w:hAnsi="Times New Roman" w:cs="Times New Roman"/>
          <w:color w:val="000000"/>
          <w:kern w:val="0"/>
          <w:sz w:val="24"/>
          <w:szCs w:val="24"/>
          <w:lang w:val="uk-UA" w:eastAsia="uk-UA"/>
          <w14:ligatures w14:val="none"/>
        </w:rPr>
        <w:t xml:space="preserve">сучасних умовах </w:t>
      </w:r>
      <w:r w:rsidRPr="003B5892">
        <w:rPr>
          <w:rFonts w:ascii="Times New Roman" w:eastAsia="Times New Roman" w:hAnsi="Times New Roman" w:cs="Times New Roman"/>
          <w:bCs/>
          <w:color w:val="000000"/>
          <w:kern w:val="0"/>
          <w:sz w:val="24"/>
          <w:szCs w:val="24"/>
          <w:lang w:val="uk-UA" w:eastAsia="uk-UA"/>
          <w14:ligatures w14:val="none"/>
        </w:rPr>
        <w:t>о</w:t>
      </w:r>
      <w:r w:rsidRPr="003B5892">
        <w:rPr>
          <w:rFonts w:ascii="Times New Roman" w:eastAsia="Times New Roman" w:hAnsi="Times New Roman" w:cs="Times New Roman"/>
          <w:color w:val="000000"/>
          <w:kern w:val="0"/>
          <w:sz w:val="24"/>
          <w:szCs w:val="24"/>
          <w:lang w:val="uk-UA" w:eastAsia="uk-UA"/>
          <w14:ligatures w14:val="none"/>
        </w:rPr>
        <w:t>сновними принципами під час організації та проведення військової підготовки громадян України за програмою підготовки офіцерів запасу мають бути такі:</w:t>
      </w:r>
    </w:p>
    <w:p w14:paraId="7BC10844"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пріоритет національних інтересів і національної безпеки при формуванні змісту навчання та вимог до військових фахівців, єдність освітньої політики щодо підготовки офіцерів кадрів та запасу у ВВНЗ і ВНП ЗВО (безумовне виконання кваліфікаційних характеристик і програм військової підготовки офіцерів запасу, які розробляються органами військового управління структурними підрозділами МО України, Генерального штабу ЗС України та іншими органами військового управління для потреб яких здійснюється підготовка офіцерів запасу за відповідними ВОС);</w:t>
      </w:r>
    </w:p>
    <w:p w14:paraId="37670221"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практичне спрямування навчання (забезпечення поширення використання елементів дистанційного навчання з метою вивчення теоретичних питань військової підготовки під час самостійної роботи та включення часу, який використовувався для їх вивчення,  до практичної складової навчання; впровадження комплексних практичних занять з вивчення курсу первинної військово-професійної підготовки та тактичної медицини);</w:t>
      </w:r>
    </w:p>
    <w:p w14:paraId="05C97559"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 xml:space="preserve">зв’язок з військами (впровадження в освітній процес досвіду ведення бойових дій             ЗС України та іншими складовими сил оборони, бойової підготовки військ; проведення на базі військової частини навчального збору, на якому вдосконалюються командирські та методичні навички студентів, отримані ними під час засвоєння програми військової підготовки, виконання вправ зі стрільб, водіння військової (бойової) техніки та вирішуються інші практичні завдання); </w:t>
      </w:r>
    </w:p>
    <w:p w14:paraId="1CA78424"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 xml:space="preserve">самостійність й творчість навчання (навчальний процес будується так, щоб майбутні офіцери запасу самостійно вчилися отримувати, обробляти і використовувати інформацію; </w:t>
      </w:r>
      <w:r w:rsidRPr="003B5892">
        <w:rPr>
          <w:rFonts w:ascii="Times New Roman" w:eastAsia="Times New Roman" w:hAnsi="Times New Roman" w:cs="Times New Roman"/>
          <w:color w:val="000000"/>
          <w:kern w:val="0"/>
          <w:sz w:val="24"/>
          <w:szCs w:val="24"/>
          <w:lang w:val="uk-UA" w:eastAsia="uk-UA"/>
          <w14:ligatures w14:val="none"/>
        </w:rPr>
        <w:lastRenderedPageBreak/>
        <w:t>впроваджувати сучасні інформаційні технології, результати науково-дослідних робіт ВВНЗ та ВНП ЗВО − це має сприяти як збільшенню обсягу навчальної інформації, так і підвищенню зацікавленості тих, хто навчається, до вивчення відповідних розділів програм військової підготовки);</w:t>
      </w:r>
    </w:p>
    <w:p w14:paraId="61852461"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 xml:space="preserve">вибір оптимальних технологій, форм, методів і засобів навчання (необхідно впроваджувати в навчальний процес передові методики підготовки військових фахівців, у тому числі, і збройних сил держав − членів НАТО, а також технології дистанційного навчання); </w:t>
      </w:r>
    </w:p>
    <w:p w14:paraId="4BD18C22" w14:textId="77777777" w:rsidR="00385184" w:rsidRPr="003B5892" w:rsidRDefault="00385184" w:rsidP="00023291">
      <w:pPr>
        <w:pBdr>
          <w:top w:val="nil"/>
          <w:left w:val="nil"/>
          <w:bottom w:val="nil"/>
          <w:right w:val="nil"/>
          <w:between w:val="nil"/>
        </w:pBdr>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uk-UA"/>
          <w14:ligatures w14:val="none"/>
        </w:rPr>
      </w:pPr>
      <w:r w:rsidRPr="003B5892">
        <w:rPr>
          <w:rFonts w:ascii="Times New Roman" w:eastAsia="Times New Roman" w:hAnsi="Times New Roman" w:cs="Times New Roman"/>
          <w:color w:val="000000"/>
          <w:kern w:val="0"/>
          <w:sz w:val="24"/>
          <w:szCs w:val="24"/>
          <w:lang w:val="uk-UA" w:eastAsia="uk-UA"/>
          <w14:ligatures w14:val="none"/>
        </w:rPr>
        <w:t>відповідність фінансового, інформаційного, матеріально-технічного забезпечення процесу підготовки офіцерів запасу за відповідними програмами (метою має бути оновлення та забезпечення матеріально-технічної бази підготовки офіцерів запасу сучасним ОВТ).</w:t>
      </w:r>
    </w:p>
    <w:p w14:paraId="40F9C799" w14:textId="77777777" w:rsidR="00385184" w:rsidRPr="003B5892" w:rsidRDefault="00385184" w:rsidP="00023291">
      <w:pPr>
        <w:tabs>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b/>
          <w:kern w:val="0"/>
          <w:sz w:val="24"/>
          <w:szCs w:val="24"/>
          <w:lang w:val="uk-UA" w:eastAsia="uk-UA"/>
          <w14:ligatures w14:val="none"/>
        </w:rPr>
        <w:t>Перспективи подальших досліджень.</w:t>
      </w:r>
      <w:r w:rsidRPr="003B5892">
        <w:rPr>
          <w:rFonts w:ascii="Times New Roman" w:eastAsia="Times New Roman" w:hAnsi="Times New Roman" w:cs="Times New Roman"/>
          <w:kern w:val="0"/>
          <w:sz w:val="24"/>
          <w:szCs w:val="24"/>
          <w:lang w:val="uk-UA" w:eastAsia="uk-UA"/>
          <w14:ligatures w14:val="none"/>
        </w:rPr>
        <w:t xml:space="preserve"> У перспективі доцільним вбачається продовжити дослідження ефективності функціонування системи підготовки офіцерів запасу, з урахуванням кращих практик військової підготовки громадян України за програмою офіцерів запасу на КВП у ВВНЗ та ВНП ЗВО, досвіду передових країн світу. За результатами аналізу зазначених практик та закордонного досвіду опрацювати пропозиції щодо внесення необхідних змін у діючі нормативно-правові акти щодо удосконалення системи підготовки офіцерів запасу для ЗС України та інших військових формувань.</w:t>
      </w:r>
    </w:p>
    <w:p w14:paraId="496B0ADA" w14:textId="77777777" w:rsidR="00385184" w:rsidRPr="003B5892" w:rsidRDefault="00385184" w:rsidP="00023291">
      <w:pPr>
        <w:tabs>
          <w:tab w:val="left" w:pos="1134"/>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p>
    <w:p w14:paraId="2A8C37F8" w14:textId="77777777" w:rsidR="00385184" w:rsidRPr="003B5892" w:rsidRDefault="00385184" w:rsidP="00023291">
      <w:pPr>
        <w:tabs>
          <w:tab w:val="left" w:pos="1134"/>
          <w:tab w:val="left" w:pos="9638"/>
        </w:tabs>
        <w:spacing w:after="0" w:line="240" w:lineRule="auto"/>
        <w:ind w:hanging="142"/>
        <w:jc w:val="center"/>
        <w:rPr>
          <w:rFonts w:ascii="Times New Roman" w:eastAsia="Times New Roman" w:hAnsi="Times New Roman" w:cs="Times New Roman"/>
          <w:b/>
          <w:kern w:val="0"/>
          <w:sz w:val="24"/>
          <w:szCs w:val="24"/>
          <w:lang w:val="uk-UA" w:eastAsia="uk-UA"/>
          <w14:ligatures w14:val="none"/>
        </w:rPr>
      </w:pPr>
      <w:r w:rsidRPr="003B5892">
        <w:rPr>
          <w:rFonts w:ascii="Times New Roman" w:eastAsia="Times New Roman" w:hAnsi="Times New Roman" w:cs="Times New Roman"/>
          <w:b/>
          <w:kern w:val="0"/>
          <w:sz w:val="24"/>
          <w:szCs w:val="24"/>
          <w:lang w:val="uk-UA" w:eastAsia="uk-UA"/>
          <w14:ligatures w14:val="none"/>
        </w:rPr>
        <w:t>ЛІТЕРАТУРА</w:t>
      </w:r>
    </w:p>
    <w:p w14:paraId="604BF8B6" w14:textId="77777777" w:rsidR="00385184" w:rsidRPr="003B5892" w:rsidRDefault="00385184" w:rsidP="00023291">
      <w:pPr>
        <w:tabs>
          <w:tab w:val="left" w:pos="9638"/>
        </w:tabs>
        <w:spacing w:after="0" w:line="240" w:lineRule="auto"/>
        <w:ind w:left="-51" w:firstLine="760"/>
        <w:jc w:val="both"/>
        <w:rPr>
          <w:rFonts w:ascii="Times New Roman" w:eastAsia="Calibri" w:hAnsi="Times New Roman" w:cs="Times New Roman"/>
          <w:kern w:val="0"/>
          <w:sz w:val="24"/>
          <w:szCs w:val="24"/>
          <w14:ligatures w14:val="none"/>
        </w:rPr>
      </w:pPr>
      <w:r w:rsidRPr="003B5892">
        <w:rPr>
          <w:rFonts w:ascii="Times New Roman" w:eastAsia="Calibri" w:hAnsi="Times New Roman" w:cs="Times New Roman"/>
          <w:kern w:val="0"/>
          <w:sz w:val="24"/>
          <w:szCs w:val="24"/>
          <w:lang w:val="uk-UA"/>
          <w14:ligatures w14:val="none"/>
        </w:rPr>
        <w:t xml:space="preserve">1. Стратегія менеджменту системи військової освіти затверджена </w:t>
      </w:r>
      <w:r w:rsidRPr="003B5892">
        <w:rPr>
          <w:rFonts w:ascii="Times New Roman" w:eastAsia="Calibri" w:hAnsi="Times New Roman" w:cs="Times New Roman"/>
          <w:kern w:val="0"/>
          <w:sz w:val="24"/>
          <w:szCs w:val="24"/>
          <w:lang w:val="uk-UA" w:eastAsia="uk"/>
          <w14:ligatures w14:val="none"/>
        </w:rPr>
        <w:t>Міністром оборони</w:t>
      </w:r>
      <w:r w:rsidRPr="003B5892">
        <w:rPr>
          <w:rFonts w:ascii="Times New Roman" w:eastAsia="Calibri" w:hAnsi="Times New Roman" w:cs="Times New Roman"/>
          <w:kern w:val="0"/>
          <w:sz w:val="24"/>
          <w:szCs w:val="24"/>
          <w:lang w:val="uk" w:eastAsia="uk"/>
          <w14:ligatures w14:val="none"/>
        </w:rPr>
        <w:t xml:space="preserve"> України </w:t>
      </w:r>
      <w:r w:rsidRPr="003B5892">
        <w:rPr>
          <w:rFonts w:ascii="Times New Roman" w:eastAsia="Calibri" w:hAnsi="Times New Roman" w:cs="Times New Roman"/>
          <w:kern w:val="0"/>
          <w:sz w:val="24"/>
          <w:szCs w:val="24"/>
          <w:lang w:val="ru-RU"/>
          <w14:ligatures w14:val="none"/>
        </w:rPr>
        <w:t>12.12.2023 року</w:t>
      </w:r>
      <w:r w:rsidRPr="003B5892">
        <w:rPr>
          <w:rFonts w:ascii="Times New Roman" w:eastAsia="Calibri" w:hAnsi="Times New Roman" w:cs="Times New Roman"/>
          <w:kern w:val="0"/>
          <w:sz w:val="24"/>
          <w:szCs w:val="24"/>
          <w:lang w:val="uk-UA"/>
          <w14:ligatures w14:val="none"/>
        </w:rPr>
        <w:t>.</w:t>
      </w:r>
      <w:r w:rsidRPr="003B5892">
        <w:rPr>
          <w:rFonts w:ascii="Times New Roman" w:eastAsia="Calibri" w:hAnsi="Times New Roman" w:cs="Calibri"/>
          <w:kern w:val="0"/>
          <w:sz w:val="24"/>
          <w:szCs w:val="24"/>
          <w:lang w:val="ru-RU"/>
          <w14:ligatures w14:val="none"/>
        </w:rPr>
        <w:t xml:space="preserve"> </w:t>
      </w:r>
      <w:r w:rsidRPr="003B5892">
        <w:rPr>
          <w:rFonts w:ascii="Times New Roman" w:eastAsia="Calibri" w:hAnsi="Times New Roman" w:cs="Times New Roman"/>
          <w:kern w:val="0"/>
          <w:sz w:val="24"/>
          <w:szCs w:val="24"/>
          <w:lang w:val="uk-UA"/>
          <w14:ligatures w14:val="none"/>
        </w:rPr>
        <w:t xml:space="preserve">URL: </w:t>
      </w:r>
      <w:hyperlink r:id="rId178" w:history="1">
        <w:r w:rsidRPr="003B5892">
          <w:rPr>
            <w:rFonts w:ascii="Times New Roman" w:eastAsia="Calibri" w:hAnsi="Times New Roman" w:cs="Times New Roman"/>
            <w:kern w:val="0"/>
            <w:sz w:val="24"/>
            <w:szCs w:val="24"/>
            <w:u w:val="single"/>
            <w14:ligatures w14:val="none"/>
          </w:rPr>
          <w:t>https://mod.gov.ua/diyalnist/normativno-pravova-baza/strategiia-menedzhmentu-sistemi-viiskovoi-osviti</w:t>
        </w:r>
      </w:hyperlink>
      <w:r w:rsidRPr="003B5892">
        <w:rPr>
          <w:rFonts w:ascii="Times New Roman" w:eastAsia="Calibri" w:hAnsi="Times New Roman" w:cs="Times New Roman"/>
          <w:kern w:val="0"/>
          <w:sz w:val="24"/>
          <w:szCs w:val="24"/>
          <w:lang w:val="uk-UA"/>
          <w14:ligatures w14:val="none"/>
        </w:rPr>
        <w:t>.</w:t>
      </w:r>
      <w:r w:rsidRPr="003B5892">
        <w:rPr>
          <w:rFonts w:ascii="Times New Roman" w:eastAsia="Calibri" w:hAnsi="Times New Roman" w:cs="Times New Roman"/>
          <w:kern w:val="0"/>
          <w:sz w:val="24"/>
          <w:szCs w:val="24"/>
          <w14:ligatures w14:val="none"/>
        </w:rPr>
        <w:t xml:space="preserve"> </w:t>
      </w:r>
    </w:p>
    <w:p w14:paraId="5D91533B" w14:textId="77777777" w:rsidR="00385184" w:rsidRPr="003B5892" w:rsidRDefault="00385184" w:rsidP="00023291">
      <w:pPr>
        <w:tabs>
          <w:tab w:val="left" w:pos="9638"/>
        </w:tabs>
        <w:spacing w:after="0" w:line="240" w:lineRule="auto"/>
        <w:ind w:left="-51" w:firstLine="760"/>
        <w:jc w:val="both"/>
        <w:rPr>
          <w:rFonts w:ascii="Times New Roman" w:eastAsia="Calibri" w:hAnsi="Times New Roman" w:cs="Times New Roman"/>
          <w:kern w:val="0"/>
          <w:sz w:val="24"/>
          <w:szCs w:val="24"/>
          <w:lang w:val="uk-UA"/>
          <w14:ligatures w14:val="none"/>
        </w:rPr>
      </w:pPr>
      <w:r w:rsidRPr="003B5892">
        <w:rPr>
          <w:rFonts w:ascii="Times New Roman" w:eastAsia="Calibri" w:hAnsi="Times New Roman" w:cs="Times New Roman"/>
          <w:kern w:val="0"/>
          <w:sz w:val="24"/>
          <w:szCs w:val="24"/>
          <w14:ligatures w14:val="none"/>
        </w:rPr>
        <w:t xml:space="preserve">2. </w:t>
      </w:r>
      <w:r w:rsidRPr="003B5892">
        <w:rPr>
          <w:rFonts w:ascii="Times New Roman" w:eastAsia="Calibri" w:hAnsi="Times New Roman" w:cs="Times New Roman"/>
          <w:kern w:val="0"/>
          <w:sz w:val="24"/>
          <w:szCs w:val="24"/>
          <w:lang w:val="uk-UA"/>
          <w14:ligatures w14:val="none"/>
        </w:rPr>
        <w:t>Концепція трансформації системи військової освіти (в редакції постанови Кабінету Міністрів України від 30 грудня 2022 р. № 1490)</w:t>
      </w:r>
      <w:r w:rsidRPr="003B5892">
        <w:rPr>
          <w:rFonts w:ascii="Times New Roman" w:eastAsia="Calibri" w:hAnsi="Times New Roman" w:cs="Calibri"/>
          <w:kern w:val="0"/>
          <w:sz w:val="24"/>
          <w:szCs w:val="24"/>
          <w14:ligatures w14:val="none"/>
        </w:rPr>
        <w:t xml:space="preserve">. </w:t>
      </w:r>
      <w:r w:rsidRPr="003B5892">
        <w:rPr>
          <w:rFonts w:ascii="Times New Roman" w:eastAsia="Calibri" w:hAnsi="Times New Roman" w:cs="Times New Roman"/>
          <w:kern w:val="0"/>
          <w:sz w:val="24"/>
          <w:szCs w:val="24"/>
          <w:lang w:val="uk-UA"/>
          <w14:ligatures w14:val="none"/>
        </w:rPr>
        <w:t xml:space="preserve">URL: </w:t>
      </w:r>
      <w:hyperlink r:id="rId179" w:anchor="Text" w:history="1">
        <w:r w:rsidRPr="003B5892">
          <w:rPr>
            <w:rFonts w:ascii="Times New Roman" w:eastAsia="Calibri" w:hAnsi="Times New Roman" w:cs="Times New Roman"/>
            <w:kern w:val="0"/>
            <w:sz w:val="24"/>
            <w:szCs w:val="24"/>
            <w:u w:val="single"/>
            <w:lang w:val="uk-UA"/>
            <w14:ligatures w14:val="none"/>
          </w:rPr>
          <w:t>https://zakon.rada.gov.ua/laws/show/1410-97-%D0%BF#Text</w:t>
        </w:r>
      </w:hyperlink>
      <w:r w:rsidRPr="003B5892">
        <w:rPr>
          <w:rFonts w:ascii="Times New Roman" w:eastAsia="Calibri" w:hAnsi="Times New Roman" w:cs="Times New Roman"/>
          <w:kern w:val="0"/>
          <w:sz w:val="24"/>
          <w:szCs w:val="24"/>
          <w:lang w:val="uk-UA"/>
          <w14:ligatures w14:val="none"/>
        </w:rPr>
        <w:t xml:space="preserve">. </w:t>
      </w:r>
    </w:p>
    <w:p w14:paraId="2B32D49A" w14:textId="77777777" w:rsidR="00385184" w:rsidRPr="003B5892" w:rsidRDefault="00385184" w:rsidP="00023291">
      <w:pPr>
        <w:tabs>
          <w:tab w:val="left" w:pos="9638"/>
        </w:tabs>
        <w:spacing w:after="0" w:line="240" w:lineRule="auto"/>
        <w:ind w:left="-51" w:firstLine="760"/>
        <w:jc w:val="both"/>
        <w:rPr>
          <w:rFonts w:ascii="Times New Roman" w:eastAsia="Calibri" w:hAnsi="Times New Roman" w:cs="Times New Roman"/>
          <w:spacing w:val="-2"/>
          <w:kern w:val="0"/>
          <w:sz w:val="24"/>
          <w:szCs w:val="24"/>
          <w:lang w:val="uk-UA"/>
          <w14:ligatures w14:val="none"/>
        </w:rPr>
      </w:pPr>
      <w:r w:rsidRPr="003B5892">
        <w:rPr>
          <w:rFonts w:ascii="Times New Roman" w:eastAsia="Calibri" w:hAnsi="Times New Roman" w:cs="Times New Roman"/>
          <w:kern w:val="0"/>
          <w:sz w:val="24"/>
          <w:szCs w:val="24"/>
          <w:lang w:val="uk-UA"/>
          <w14:ligatures w14:val="none"/>
        </w:rPr>
        <w:t xml:space="preserve">3. </w:t>
      </w:r>
      <w:r w:rsidRPr="003B5892">
        <w:rPr>
          <w:rFonts w:ascii="Times New Roman" w:eastAsia="Calibri" w:hAnsi="Times New Roman" w:cs="Times New Roman"/>
          <w:spacing w:val="-2"/>
          <w:kern w:val="0"/>
          <w:sz w:val="24"/>
          <w:szCs w:val="24"/>
          <w:lang w:val="uk-UA"/>
          <w14:ligatures w14:val="none"/>
        </w:rPr>
        <w:t>Концепція військової кадрової політики у Збройних Силах України</w:t>
      </w:r>
      <w:r w:rsidRPr="003B5892">
        <w:rPr>
          <w:rFonts w:ascii="Times New Roman" w:eastAsia="Calibri" w:hAnsi="Times New Roman" w:cs="Times New Roman"/>
          <w:kern w:val="0"/>
          <w:sz w:val="24"/>
          <w:szCs w:val="24"/>
          <w:shd w:val="clear" w:color="auto" w:fill="FFFFFF"/>
          <w:lang w:val="ru-RU"/>
          <w14:ligatures w14:val="none"/>
        </w:rPr>
        <w:t xml:space="preserve"> в системі Міністерства оборони України на період до 2028 року</w:t>
      </w:r>
      <w:r w:rsidRPr="003B5892">
        <w:rPr>
          <w:rFonts w:ascii="Times New Roman" w:eastAsia="Calibri" w:hAnsi="Times New Roman" w:cs="Times New Roman"/>
          <w:spacing w:val="-2"/>
          <w:kern w:val="0"/>
          <w:sz w:val="24"/>
          <w:szCs w:val="24"/>
          <w:lang w:val="uk-UA"/>
          <w14:ligatures w14:val="none"/>
        </w:rPr>
        <w:t xml:space="preserve">: </w:t>
      </w:r>
      <w:r w:rsidRPr="003B5892">
        <w:rPr>
          <w:rFonts w:ascii="Times New Roman" w:eastAsia="Calibri" w:hAnsi="Times New Roman" w:cs="Times New Roman"/>
          <w:kern w:val="0"/>
          <w:sz w:val="24"/>
          <w:szCs w:val="24"/>
          <w:lang w:val="uk-UA" w:eastAsia="uk"/>
          <w14:ligatures w14:val="none"/>
        </w:rPr>
        <w:t xml:space="preserve">наказ Міністерства оборони України </w:t>
      </w:r>
      <w:r w:rsidRPr="003B5892">
        <w:rPr>
          <w:rFonts w:ascii="Times New Roman" w:eastAsia="Calibri" w:hAnsi="Times New Roman" w:cs="Times New Roman"/>
          <w:spacing w:val="-2"/>
          <w:kern w:val="0"/>
          <w:sz w:val="24"/>
          <w:szCs w:val="24"/>
          <w:lang w:val="uk-UA"/>
          <w14:ligatures w14:val="none"/>
        </w:rPr>
        <w:t>від 27.10.2023 № 637.</w:t>
      </w:r>
      <w:r w:rsidRPr="003B5892">
        <w:rPr>
          <w:rFonts w:ascii="Times New Roman" w:eastAsia="Calibri" w:hAnsi="Times New Roman" w:cs="Times New Roman"/>
          <w:kern w:val="0"/>
          <w:sz w:val="24"/>
          <w:szCs w:val="24"/>
          <w:lang w:val="uk-UA"/>
          <w14:ligatures w14:val="none"/>
        </w:rPr>
        <w:t xml:space="preserve"> URL:</w:t>
      </w:r>
      <w:r w:rsidRPr="003B5892">
        <w:rPr>
          <w:rFonts w:ascii="Times New Roman" w:eastAsia="Calibri" w:hAnsi="Times New Roman" w:cs="Times New Roman"/>
          <w:spacing w:val="-2"/>
          <w:kern w:val="0"/>
          <w:sz w:val="24"/>
          <w:szCs w:val="24"/>
          <w:lang w:val="uk-UA"/>
          <w14:ligatures w14:val="none"/>
        </w:rPr>
        <w:t xml:space="preserve"> </w:t>
      </w:r>
      <w:hyperlink r:id="rId180" w:anchor="Text" w:history="1">
        <w:r w:rsidRPr="003B5892">
          <w:rPr>
            <w:rFonts w:ascii="Times New Roman" w:eastAsia="Calibri" w:hAnsi="Times New Roman" w:cs="Times New Roman"/>
            <w:spacing w:val="-2"/>
            <w:kern w:val="0"/>
            <w:sz w:val="24"/>
            <w:szCs w:val="24"/>
            <w:u w:val="single"/>
            <w:lang w:val="uk-UA"/>
            <w14:ligatures w14:val="none"/>
          </w:rPr>
          <w:t>https://zakon.rada.gov.ua/rada/show/v0637322-23#Text</w:t>
        </w:r>
      </w:hyperlink>
      <w:r w:rsidRPr="003B5892">
        <w:rPr>
          <w:rFonts w:ascii="Times New Roman" w:eastAsia="Calibri" w:hAnsi="Times New Roman" w:cs="Times New Roman"/>
          <w:kern w:val="0"/>
          <w:sz w:val="24"/>
          <w:szCs w:val="24"/>
          <w:lang w:val="uk" w:eastAsia="uk"/>
          <w14:ligatures w14:val="none"/>
        </w:rPr>
        <w:t>.</w:t>
      </w:r>
      <w:r w:rsidRPr="003B5892">
        <w:rPr>
          <w:rFonts w:ascii="Times New Roman" w:eastAsia="Calibri" w:hAnsi="Times New Roman" w:cs="Times New Roman"/>
          <w:spacing w:val="-2"/>
          <w:kern w:val="0"/>
          <w:sz w:val="24"/>
          <w:szCs w:val="24"/>
          <w:lang w:val="uk-UA"/>
          <w14:ligatures w14:val="none"/>
        </w:rPr>
        <w:t xml:space="preserve"> </w:t>
      </w:r>
    </w:p>
    <w:p w14:paraId="5812ED70" w14:textId="77777777" w:rsidR="00385184" w:rsidRPr="003B5892" w:rsidRDefault="00385184" w:rsidP="00023291">
      <w:pPr>
        <w:tabs>
          <w:tab w:val="left" w:pos="9638"/>
        </w:tabs>
        <w:spacing w:after="0" w:line="240" w:lineRule="auto"/>
        <w:ind w:left="-51" w:firstLine="760"/>
        <w:jc w:val="both"/>
        <w:rPr>
          <w:rFonts w:ascii="Calibri" w:eastAsia="Calibri" w:hAnsi="Calibri" w:cs="Calibri"/>
          <w:kern w:val="0"/>
          <w:sz w:val="24"/>
          <w:szCs w:val="24"/>
          <w:lang w:val="uk-UA"/>
          <w14:ligatures w14:val="none"/>
        </w:rPr>
      </w:pPr>
      <w:r w:rsidRPr="003B5892">
        <w:rPr>
          <w:rFonts w:ascii="Calibri" w:eastAsia="Calibri" w:hAnsi="Calibri" w:cs="Calibri"/>
          <w:kern w:val="0"/>
          <w:sz w:val="24"/>
          <w:szCs w:val="24"/>
          <w:lang w:val="uk-UA"/>
          <w14:ligatures w14:val="none"/>
        </w:rPr>
        <w:t>4</w:t>
      </w:r>
      <w:r w:rsidRPr="003B5892">
        <w:rPr>
          <w:rFonts w:ascii="Calibri" w:eastAsia="Calibri" w:hAnsi="Calibri" w:cs="Calibri"/>
          <w:kern w:val="0"/>
          <w:sz w:val="24"/>
          <w:szCs w:val="24"/>
          <w:lang w:val="ru-RU"/>
          <w14:ligatures w14:val="none"/>
        </w:rPr>
        <w:t xml:space="preserve">. </w:t>
      </w:r>
      <w:r w:rsidRPr="003B5892">
        <w:rPr>
          <w:rFonts w:ascii="Times New Roman" w:eastAsia="Calibri" w:hAnsi="Times New Roman" w:cs="Times New Roman"/>
          <w:kern w:val="0"/>
          <w:sz w:val="24"/>
          <w:szCs w:val="24"/>
          <w:lang w:val="uk-UA"/>
          <w14:ligatures w14:val="none"/>
        </w:rPr>
        <w:t xml:space="preserve">Про внесення змін до </w:t>
      </w:r>
      <w:hyperlink r:id="rId181" w:anchor="n9" w:tgtFrame="_blank" w:history="1">
        <w:r w:rsidRPr="003B5892">
          <w:rPr>
            <w:rFonts w:ascii="Times New Roman" w:eastAsia="Calibri" w:hAnsi="Times New Roman" w:cs="Times New Roman"/>
            <w:kern w:val="0"/>
            <w:sz w:val="24"/>
            <w:szCs w:val="24"/>
            <w:lang w:val="uk-UA"/>
            <w14:ligatures w14:val="none"/>
          </w:rPr>
          <w:t>Порядку проведення військової підготовки громадян України за програмою підготовки офіцерів запасу</w:t>
        </w:r>
      </w:hyperlink>
      <w:r w:rsidRPr="003B5892">
        <w:rPr>
          <w:rFonts w:ascii="Times New Roman" w:eastAsia="Calibri" w:hAnsi="Times New Roman" w:cs="Times New Roman"/>
          <w:kern w:val="0"/>
          <w:sz w:val="24"/>
          <w:szCs w:val="24"/>
          <w:lang w:val="uk-UA"/>
          <w14:ligatures w14:val="none"/>
        </w:rPr>
        <w:t xml:space="preserve">, затвердженого постановою Кабінету Міністрів України від 1 лютого 2012 р. № 48: Постанова Кабінету Міністрів України від 05 грудня 2025 р. № 1612 </w:t>
      </w:r>
      <w:r w:rsidRPr="003B5892">
        <w:rPr>
          <w:rFonts w:ascii="Times New Roman" w:eastAsia="Calibri" w:hAnsi="Times New Roman" w:cs="Calibri"/>
          <w:kern w:val="0"/>
          <w:sz w:val="24"/>
          <w:szCs w:val="24"/>
          <w:lang w:val="uk-UA"/>
          <w14:ligatures w14:val="none"/>
        </w:rPr>
        <w:t xml:space="preserve">– [Електронний ресурс]. </w:t>
      </w:r>
      <w:r w:rsidRPr="003B5892">
        <w:rPr>
          <w:rFonts w:ascii="Times New Roman" w:eastAsia="Calibri" w:hAnsi="Times New Roman" w:cs="Calibri"/>
          <w:iCs/>
          <w:kern w:val="0"/>
          <w:sz w:val="24"/>
          <w:szCs w:val="24"/>
          <w:lang w:val="pl-PL"/>
          <w14:ligatures w14:val="none"/>
        </w:rPr>
        <w:t>URL</w:t>
      </w:r>
      <w:r w:rsidRPr="003B5892">
        <w:rPr>
          <w:rFonts w:ascii="Times New Roman" w:eastAsia="Calibri" w:hAnsi="Times New Roman" w:cs="Times New Roman"/>
          <w:kern w:val="0"/>
          <w:sz w:val="24"/>
          <w:szCs w:val="24"/>
          <w:lang w:val="uk-UA"/>
          <w14:ligatures w14:val="none"/>
        </w:rPr>
        <w:t xml:space="preserve"> https://zakon.rada.gov.ua/laws/show/1612-2025-%D0%BF#Text.</w:t>
      </w:r>
    </w:p>
    <w:p w14:paraId="692BC531" w14:textId="77777777" w:rsidR="00385184" w:rsidRPr="003B5892" w:rsidRDefault="00385184" w:rsidP="00023291">
      <w:pPr>
        <w:tabs>
          <w:tab w:val="left" w:pos="9638"/>
        </w:tabs>
        <w:spacing w:after="0" w:line="240" w:lineRule="auto"/>
        <w:ind w:left="-51" w:firstLine="760"/>
        <w:jc w:val="both"/>
        <w:rPr>
          <w:rFonts w:ascii="Times New Roman" w:eastAsia="Calibri" w:hAnsi="Times New Roman" w:cs="Times New Roman"/>
          <w:kern w:val="0"/>
          <w:sz w:val="24"/>
          <w:szCs w:val="24"/>
          <w:lang w:val="uk-UA"/>
          <w14:ligatures w14:val="none"/>
        </w:rPr>
      </w:pPr>
      <w:r w:rsidRPr="003B5892">
        <w:rPr>
          <w:rFonts w:ascii="Times New Roman" w:eastAsia="Calibri" w:hAnsi="Times New Roman" w:cs="Times New Roman"/>
          <w:kern w:val="0"/>
          <w:sz w:val="24"/>
          <w:szCs w:val="24"/>
          <w:lang w:val="uk-UA"/>
          <w14:ligatures w14:val="none"/>
        </w:rPr>
        <w:t xml:space="preserve">5. Звіт про науково-дослідну роботу “Обґрунтування доцільних шляхів удосконалення системи загальновійськової підготовки офіцерів запасу для потреб Збройних Сил України”. Шифр “Маневр” (остаточний), інв. 12370. Національний університет оборони України, Київ, 2023. 251с. URL: </w:t>
      </w:r>
      <w:hyperlink r:id="rId182" w:history="1">
        <w:r w:rsidRPr="003B5892">
          <w:rPr>
            <w:rFonts w:ascii="Times New Roman" w:eastAsia="Calibri" w:hAnsi="Times New Roman" w:cs="Times New Roman"/>
            <w:kern w:val="0"/>
            <w:sz w:val="24"/>
            <w:szCs w:val="24"/>
            <w:u w:val="single"/>
            <w:lang w:val="uk-UA"/>
            <w14:ligatures w14:val="none"/>
          </w:rPr>
          <w:t>https://nuou.org.ua/assets/files/kvp/kvp-manevr-2023.pdf</w:t>
        </w:r>
      </w:hyperlink>
      <w:r w:rsidRPr="003B5892">
        <w:rPr>
          <w:rFonts w:ascii="Times New Roman" w:eastAsia="Calibri" w:hAnsi="Times New Roman" w:cs="Times New Roman"/>
          <w:kern w:val="0"/>
          <w:sz w:val="24"/>
          <w:szCs w:val="24"/>
          <w:lang w:val="uk-UA"/>
          <w14:ligatures w14:val="none"/>
        </w:rPr>
        <w:t>.</w:t>
      </w:r>
    </w:p>
    <w:p w14:paraId="4F38CB08" w14:textId="77777777" w:rsidR="00385184" w:rsidRPr="003B5892" w:rsidRDefault="00385184" w:rsidP="00023291">
      <w:pPr>
        <w:tabs>
          <w:tab w:val="left" w:pos="9638"/>
        </w:tabs>
        <w:spacing w:after="0" w:line="240" w:lineRule="auto"/>
        <w:ind w:left="-51" w:firstLine="760"/>
        <w:jc w:val="both"/>
        <w:rPr>
          <w:rFonts w:ascii="Times New Roman" w:eastAsia="Calibri" w:hAnsi="Times New Roman" w:cs="Times New Roman"/>
          <w:kern w:val="0"/>
          <w:sz w:val="24"/>
          <w:szCs w:val="24"/>
          <w:lang w:val="uk-UA"/>
          <w14:ligatures w14:val="none"/>
        </w:rPr>
      </w:pPr>
      <w:r w:rsidRPr="003B5892">
        <w:rPr>
          <w:rFonts w:ascii="Times New Roman" w:eastAsia="Calibri" w:hAnsi="Times New Roman" w:cs="Times New Roman"/>
          <w:kern w:val="0"/>
          <w:sz w:val="24"/>
          <w:szCs w:val="24"/>
          <w:lang w:val="uk-UA"/>
          <w14:ligatures w14:val="none"/>
        </w:rPr>
        <w:t>6. Звіт про оперативне завдання “Розроблення рекомендацій до перспективної моделі військової підготовки громадян України за програмою підготовки офіцерів запасу”. Ш</w:t>
      </w:r>
      <w:r w:rsidRPr="003B5892">
        <w:rPr>
          <w:rFonts w:ascii="Times New Roman" w:eastAsia="Calibri" w:hAnsi="Times New Roman" w:cs="Times New Roman"/>
          <w:kern w:val="0"/>
          <w:sz w:val="24"/>
          <w:szCs w:val="24"/>
          <w:lang w:val="ru-RU"/>
          <w14:ligatures w14:val="none"/>
        </w:rPr>
        <w:t>ифр “Резерв”</w:t>
      </w:r>
      <w:r w:rsidRPr="003B5892">
        <w:rPr>
          <w:rFonts w:ascii="Times New Roman" w:eastAsia="Calibri" w:hAnsi="Times New Roman" w:cs="Times New Roman"/>
          <w:kern w:val="0"/>
          <w:sz w:val="24"/>
          <w:szCs w:val="24"/>
          <w:lang w:val="uk-UA"/>
          <w14:ligatures w14:val="none"/>
        </w:rPr>
        <w:t>.</w:t>
      </w:r>
      <w:r w:rsidRPr="003B5892">
        <w:rPr>
          <w:rFonts w:ascii="Times New Roman" w:eastAsia="Calibri" w:hAnsi="Times New Roman" w:cs="Times New Roman"/>
          <w:kern w:val="0"/>
          <w:sz w:val="24"/>
          <w:szCs w:val="24"/>
          <w:lang w:val="ru-RU"/>
          <w14:ligatures w14:val="none"/>
        </w:rPr>
        <w:t xml:space="preserve"> </w:t>
      </w:r>
      <w:r w:rsidRPr="003B5892">
        <w:rPr>
          <w:rFonts w:ascii="Times New Roman" w:eastAsia="Calibri" w:hAnsi="Times New Roman" w:cs="Times New Roman"/>
          <w:kern w:val="0"/>
          <w:sz w:val="24"/>
          <w:szCs w:val="24"/>
          <w:lang w:val="uk-UA"/>
          <w14:ligatures w14:val="none"/>
        </w:rPr>
        <w:t>Національний університет оборони України імені Міністерства оборони України, Київ, 2023. 107 с.</w:t>
      </w:r>
    </w:p>
    <w:p w14:paraId="50D1D0C4" w14:textId="77777777" w:rsidR="00385184" w:rsidRPr="003B5892" w:rsidRDefault="00385184" w:rsidP="00023291">
      <w:pPr>
        <w:tabs>
          <w:tab w:val="left" w:pos="9638"/>
        </w:tabs>
        <w:spacing w:after="0" w:line="240" w:lineRule="auto"/>
        <w:ind w:left="-51" w:firstLine="760"/>
        <w:jc w:val="both"/>
        <w:rPr>
          <w:rFonts w:ascii="Times New Roman" w:eastAsia="Calibri" w:hAnsi="Times New Roman" w:cs="Times New Roman"/>
          <w:kern w:val="0"/>
          <w:sz w:val="24"/>
          <w:szCs w:val="24"/>
          <w:lang w:val="uk-UA"/>
          <w14:ligatures w14:val="none"/>
        </w:rPr>
      </w:pPr>
      <w:r w:rsidRPr="003B5892">
        <w:rPr>
          <w:rFonts w:ascii="Times New Roman" w:eastAsia="Calibri" w:hAnsi="Times New Roman" w:cs="Times New Roman"/>
          <w:kern w:val="0"/>
          <w:sz w:val="24"/>
          <w:szCs w:val="24"/>
          <w:lang w:val="uk-UA"/>
          <w14:ligatures w14:val="none"/>
        </w:rPr>
        <w:t xml:space="preserve">7. Брижатий Є. Військова освіта в контексті національної безпеки та оборони сучасний підхід // </w:t>
      </w:r>
      <w:r w:rsidRPr="003B5892">
        <w:rPr>
          <w:rFonts w:ascii="Times New Roman" w:eastAsia="Calibri" w:hAnsi="Times New Roman" w:cs="Times New Roman"/>
          <w:i/>
          <w:kern w:val="0"/>
          <w:sz w:val="24"/>
          <w:szCs w:val="24"/>
          <w:lang w:val="uk-UA"/>
          <w14:ligatures w14:val="none"/>
        </w:rPr>
        <w:t>Військова освіта.</w:t>
      </w:r>
      <w:r w:rsidRPr="003B5892">
        <w:rPr>
          <w:rFonts w:ascii="Times New Roman" w:eastAsia="Calibri" w:hAnsi="Times New Roman" w:cs="Times New Roman"/>
          <w:kern w:val="0"/>
          <w:sz w:val="24"/>
          <w:szCs w:val="24"/>
          <w:lang w:val="uk-UA"/>
          <w14:ligatures w14:val="none"/>
        </w:rPr>
        <w:t xml:space="preserve"> Зб. наук. пр. Національного університету оборони України ім. Івана Черняховського. 2020. №1(41). С.35-45.</w:t>
      </w:r>
    </w:p>
    <w:p w14:paraId="1C42C765" w14:textId="77777777" w:rsidR="00385184" w:rsidRPr="003B5892" w:rsidRDefault="00385184" w:rsidP="00023291">
      <w:pPr>
        <w:tabs>
          <w:tab w:val="left" w:pos="9638"/>
        </w:tabs>
        <w:spacing w:after="0" w:line="240" w:lineRule="auto"/>
        <w:ind w:left="-51" w:firstLine="760"/>
        <w:jc w:val="both"/>
        <w:rPr>
          <w:rFonts w:ascii="Times New Roman" w:eastAsia="Calibri" w:hAnsi="Times New Roman" w:cs="Times New Roman"/>
          <w:kern w:val="0"/>
          <w:sz w:val="24"/>
          <w:szCs w:val="24"/>
          <w:lang w:val="uk-UA"/>
          <w14:ligatures w14:val="none"/>
        </w:rPr>
      </w:pPr>
      <w:r w:rsidRPr="003B5892">
        <w:rPr>
          <w:rFonts w:ascii="Times New Roman" w:eastAsia="Calibri" w:hAnsi="Times New Roman" w:cs="Times New Roman"/>
          <w:kern w:val="0"/>
          <w:sz w:val="24"/>
          <w:szCs w:val="24"/>
          <w:lang w:val="uk-UA"/>
          <w14:ligatures w14:val="none"/>
        </w:rPr>
        <w:t xml:space="preserve">8. Морозов С.М. Педагогічні засади професійної підготовки офіцерів запасу вищих навчальних закладів / С. М. Морозов // </w:t>
      </w:r>
      <w:r w:rsidRPr="003B5892">
        <w:rPr>
          <w:rFonts w:ascii="Times New Roman" w:eastAsia="Calibri" w:hAnsi="Times New Roman" w:cs="Times New Roman"/>
          <w:i/>
          <w:kern w:val="0"/>
          <w:sz w:val="24"/>
          <w:szCs w:val="24"/>
          <w:lang w:val="uk-UA"/>
          <w14:ligatures w14:val="none"/>
        </w:rPr>
        <w:t>Збірник наукових праць Національної академії Державної прикордонної служби України</w:t>
      </w:r>
      <w:r w:rsidRPr="003B5892">
        <w:rPr>
          <w:rFonts w:ascii="Times New Roman" w:eastAsia="Calibri" w:hAnsi="Times New Roman" w:cs="Times New Roman"/>
          <w:kern w:val="0"/>
          <w:sz w:val="24"/>
          <w:szCs w:val="24"/>
          <w:lang w:val="uk-UA"/>
          <w14:ligatures w14:val="none"/>
        </w:rPr>
        <w:t xml:space="preserve">. Серія: Педагогічні та психологічні науки – 2013. – № 1 (66). – С. 127-137. URL: </w:t>
      </w:r>
      <w:hyperlink r:id="rId183" w:history="1">
        <w:r w:rsidRPr="003B5892">
          <w:rPr>
            <w:rFonts w:ascii="Times New Roman" w:eastAsia="Times New Roman" w:hAnsi="Times New Roman" w:cs="Times New Roman"/>
            <w:kern w:val="0"/>
            <w:sz w:val="24"/>
            <w:szCs w:val="24"/>
            <w:u w:val="single"/>
            <w:lang w:val="uk-UA" w:eastAsia="uk-UA"/>
            <w14:ligatures w14:val="none"/>
          </w:rPr>
          <w:t>http://nbuv.gov.ua/UJRN/znpnapv_ppn_2013_1_16</w:t>
        </w:r>
      </w:hyperlink>
      <w:r w:rsidRPr="003B5892">
        <w:rPr>
          <w:rFonts w:ascii="Times New Roman" w:eastAsia="Calibri" w:hAnsi="Times New Roman" w:cs="Times New Roman"/>
          <w:kern w:val="0"/>
          <w:sz w:val="24"/>
          <w:szCs w:val="24"/>
          <w:lang w:val="uk" w:eastAsia="uk"/>
          <w14:ligatures w14:val="none"/>
        </w:rPr>
        <w:t>.</w:t>
      </w:r>
    </w:p>
    <w:p w14:paraId="48E83F83" w14:textId="77777777" w:rsidR="00385184" w:rsidRPr="003B5892" w:rsidRDefault="00385184" w:rsidP="00023291">
      <w:pPr>
        <w:tabs>
          <w:tab w:val="left" w:pos="9638"/>
        </w:tabs>
        <w:spacing w:after="0" w:line="240" w:lineRule="auto"/>
        <w:ind w:left="-51" w:firstLine="760"/>
        <w:jc w:val="both"/>
        <w:rPr>
          <w:rFonts w:ascii="Times New Roman" w:eastAsia="Calibri" w:hAnsi="Times New Roman" w:cs="Times New Roman"/>
          <w:kern w:val="0"/>
          <w:sz w:val="24"/>
          <w:szCs w:val="24"/>
          <w:lang w:val="uk-UA"/>
          <w14:ligatures w14:val="none"/>
        </w:rPr>
      </w:pPr>
      <w:r w:rsidRPr="003B5892">
        <w:rPr>
          <w:rFonts w:ascii="Times New Roman" w:eastAsia="Calibri" w:hAnsi="Times New Roman" w:cs="Times New Roman"/>
          <w:kern w:val="0"/>
          <w:sz w:val="24"/>
          <w:szCs w:val="24"/>
          <w:lang w:val="uk-UA"/>
          <w14:ligatures w14:val="none"/>
        </w:rPr>
        <w:lastRenderedPageBreak/>
        <w:t xml:space="preserve">9. Чабаненко В.П. Особливості організації військово-педагогічного процесу на кафедрах військової підготовки цивільних вищих навчальних закладів / В. П. Чабаненко// Збірник наукових праць: </w:t>
      </w:r>
      <w:r w:rsidRPr="003B5892">
        <w:rPr>
          <w:rFonts w:ascii="Times New Roman" w:eastAsia="Calibri" w:hAnsi="Times New Roman" w:cs="Times New Roman"/>
          <w:i/>
          <w:kern w:val="0"/>
          <w:sz w:val="24"/>
          <w:szCs w:val="24"/>
          <w:lang w:val="uk-UA"/>
          <w14:ligatures w14:val="none"/>
        </w:rPr>
        <w:t>Військова освіта</w:t>
      </w:r>
      <w:r w:rsidRPr="003B5892">
        <w:rPr>
          <w:rFonts w:ascii="Times New Roman" w:eastAsia="Calibri" w:hAnsi="Times New Roman" w:cs="Times New Roman"/>
          <w:kern w:val="0"/>
          <w:sz w:val="24"/>
          <w:szCs w:val="24"/>
          <w:lang w:val="uk-UA"/>
          <w14:ligatures w14:val="none"/>
        </w:rPr>
        <w:t xml:space="preserve"> – 2007. – Вип. 2 (20). – С. 32-39.</w:t>
      </w:r>
    </w:p>
    <w:p w14:paraId="10D96BEB" w14:textId="77777777" w:rsidR="00385184" w:rsidRPr="003B5892" w:rsidRDefault="00385184" w:rsidP="00023291">
      <w:pPr>
        <w:tabs>
          <w:tab w:val="left" w:pos="9638"/>
        </w:tabs>
        <w:spacing w:after="0" w:line="240" w:lineRule="auto"/>
        <w:ind w:left="-51" w:firstLine="760"/>
        <w:jc w:val="both"/>
        <w:rPr>
          <w:rFonts w:ascii="Times New Roman" w:eastAsia="Calibri" w:hAnsi="Times New Roman" w:cs="Times New Roman"/>
          <w:kern w:val="0"/>
          <w:sz w:val="24"/>
          <w:szCs w:val="24"/>
          <w:lang w:val="uk-UA"/>
          <w14:ligatures w14:val="none"/>
        </w:rPr>
      </w:pPr>
      <w:r w:rsidRPr="003B5892">
        <w:rPr>
          <w:rFonts w:ascii="Times New Roman" w:eastAsia="Calibri" w:hAnsi="Times New Roman" w:cs="Times New Roman"/>
          <w:kern w:val="0"/>
          <w:sz w:val="24"/>
          <w:szCs w:val="24"/>
          <w:lang w:val="uk-UA"/>
          <w14:ligatures w14:val="none"/>
        </w:rPr>
        <w:t xml:space="preserve">10. Сквoрок І. М. Підготовка офіцерів запасу в зарубіжних країнах. </w:t>
      </w:r>
      <w:r w:rsidRPr="003B5892">
        <w:rPr>
          <w:rFonts w:ascii="Times New Roman" w:eastAsia="Calibri" w:hAnsi="Times New Roman" w:cs="Times New Roman"/>
          <w:i/>
          <w:kern w:val="0"/>
          <w:sz w:val="24"/>
          <w:szCs w:val="24"/>
          <w:lang w:val="uk-UA"/>
          <w14:ligatures w14:val="none"/>
        </w:rPr>
        <w:t>Військова освіта</w:t>
      </w:r>
      <w:r w:rsidRPr="003B5892">
        <w:rPr>
          <w:rFonts w:ascii="Times New Roman" w:eastAsia="Calibri" w:hAnsi="Times New Roman" w:cs="Times New Roman"/>
          <w:kern w:val="0"/>
          <w:sz w:val="24"/>
          <w:szCs w:val="24"/>
          <w:lang w:val="uk-UA"/>
          <w14:ligatures w14:val="none"/>
        </w:rPr>
        <w:t>. 2013. № 1. С. 207–216.</w:t>
      </w:r>
    </w:p>
    <w:p w14:paraId="000DDC5C" w14:textId="77777777" w:rsidR="00385184" w:rsidRPr="003B5892" w:rsidRDefault="00385184" w:rsidP="00023291">
      <w:pPr>
        <w:tabs>
          <w:tab w:val="left" w:pos="9638"/>
        </w:tabs>
        <w:spacing w:after="0" w:line="240" w:lineRule="auto"/>
        <w:ind w:left="-51" w:firstLine="760"/>
        <w:jc w:val="both"/>
        <w:rPr>
          <w:rFonts w:ascii="Times New Roman" w:eastAsia="Calibri" w:hAnsi="Times New Roman" w:cs="Times New Roman"/>
          <w:kern w:val="0"/>
          <w:sz w:val="24"/>
          <w:szCs w:val="24"/>
          <w:lang w:val="uk-UA"/>
          <w14:ligatures w14:val="none"/>
        </w:rPr>
      </w:pPr>
      <w:r w:rsidRPr="003B5892">
        <w:rPr>
          <w:rFonts w:ascii="Times New Roman" w:eastAsia="Calibri" w:hAnsi="Times New Roman" w:cs="Times New Roman"/>
          <w:kern w:val="0"/>
          <w:sz w:val="24"/>
          <w:szCs w:val="24"/>
          <w:lang w:val="uk-UA"/>
          <w14:ligatures w14:val="none"/>
        </w:rPr>
        <w:t xml:space="preserve">11. Дерев’янчук А.Й. Мотивація і стимулювання студентів кафедр військової підготовки в умовах обмежених часом і озброєнням / А. Й. Дерев’янчук, О. Ф. Супрун // Імідж сучасного педагога. – 2014. – № 7. – С. 24-27. URL: </w:t>
      </w:r>
      <w:hyperlink r:id="rId184" w:history="1">
        <w:r w:rsidRPr="003B5892">
          <w:rPr>
            <w:rFonts w:ascii="Times New Roman" w:eastAsia="Calibri" w:hAnsi="Times New Roman" w:cs="Times New Roman"/>
            <w:kern w:val="0"/>
            <w:sz w:val="24"/>
            <w:szCs w:val="24"/>
            <w:u w:val="single"/>
            <w:lang w:val="uk-UA"/>
            <w14:ligatures w14:val="none"/>
          </w:rPr>
          <w:t>http://nbuv.gov.ua/UJRN/isp_2014_7_9</w:t>
        </w:r>
      </w:hyperlink>
      <w:r w:rsidRPr="003B5892">
        <w:rPr>
          <w:rFonts w:ascii="Times New Roman" w:eastAsia="Calibri" w:hAnsi="Times New Roman" w:cs="Times New Roman"/>
          <w:kern w:val="0"/>
          <w:sz w:val="24"/>
          <w:szCs w:val="24"/>
          <w:lang w:val="uk-UA"/>
          <w14:ligatures w14:val="none"/>
        </w:rPr>
        <w:t xml:space="preserve">. </w:t>
      </w:r>
    </w:p>
    <w:p w14:paraId="2ECB5B90" w14:textId="77777777" w:rsidR="00385184" w:rsidRPr="003B5892" w:rsidRDefault="00385184" w:rsidP="00023291">
      <w:pPr>
        <w:tabs>
          <w:tab w:val="left" w:pos="9638"/>
        </w:tabs>
        <w:spacing w:after="0" w:line="240" w:lineRule="auto"/>
        <w:ind w:left="-51" w:firstLine="760"/>
        <w:jc w:val="both"/>
        <w:rPr>
          <w:rFonts w:ascii="Times New Roman" w:eastAsia="Calibri" w:hAnsi="Times New Roman" w:cs="Times New Roman"/>
          <w:kern w:val="0"/>
          <w:sz w:val="24"/>
          <w:szCs w:val="24"/>
          <w:lang w:val="uk-UA"/>
          <w14:ligatures w14:val="none"/>
        </w:rPr>
      </w:pPr>
      <w:r w:rsidRPr="003B5892">
        <w:rPr>
          <w:rFonts w:ascii="Times New Roman" w:eastAsia="Calibri" w:hAnsi="Times New Roman" w:cs="Times New Roman"/>
          <w:kern w:val="0"/>
          <w:sz w:val="24"/>
          <w:szCs w:val="24"/>
          <w:lang w:val="uk-UA"/>
          <w14:ligatures w14:val="none"/>
        </w:rPr>
        <w:t xml:space="preserve">12. Про Вищу освіту: Закон України від 1 липня 2014 р. № 1556-VII. Відомості Верховної Ради України. </w:t>
      </w:r>
      <w:hyperlink r:id="rId185" w:anchor="Text" w:history="1">
        <w:r w:rsidRPr="003B5892">
          <w:rPr>
            <w:rFonts w:ascii="Times New Roman" w:eastAsia="Calibri" w:hAnsi="Times New Roman" w:cs="Calibri"/>
            <w:kern w:val="0"/>
            <w:sz w:val="24"/>
            <w:szCs w:val="24"/>
            <w:lang w:val="ru-RU"/>
            <w14:ligatures w14:val="none"/>
          </w:rPr>
          <w:t xml:space="preserve"> – [Електронний ресурс]. </w:t>
        </w:r>
        <w:r w:rsidRPr="003B5892">
          <w:rPr>
            <w:rFonts w:ascii="Times New Roman" w:eastAsia="Calibri" w:hAnsi="Times New Roman" w:cs="Calibri"/>
            <w:iCs/>
            <w:kern w:val="0"/>
            <w:sz w:val="24"/>
            <w:szCs w:val="24"/>
            <w:lang w:val="pl-PL"/>
            <w14:ligatures w14:val="none"/>
          </w:rPr>
          <w:t>URL</w:t>
        </w:r>
        <w:r w:rsidRPr="003B5892">
          <w:rPr>
            <w:rFonts w:ascii="Times New Roman" w:eastAsia="Calibri" w:hAnsi="Times New Roman" w:cs="Times New Roman"/>
            <w:kern w:val="0"/>
            <w:sz w:val="24"/>
            <w:szCs w:val="24"/>
            <w:u w:val="single"/>
            <w:lang w:val="uk-UA"/>
            <w14:ligatures w14:val="none"/>
          </w:rPr>
          <w:t>: https://zakon.rada.gov.ua/laws/show/1556-18#Text</w:t>
        </w:r>
      </w:hyperlink>
      <w:r w:rsidRPr="003B5892">
        <w:rPr>
          <w:rFonts w:ascii="Times New Roman" w:eastAsia="Calibri" w:hAnsi="Times New Roman" w:cs="Times New Roman"/>
          <w:kern w:val="0"/>
          <w:sz w:val="24"/>
          <w:szCs w:val="24"/>
          <w:lang w:val="uk-UA"/>
          <w14:ligatures w14:val="none"/>
        </w:rPr>
        <w:t>.</w:t>
      </w:r>
    </w:p>
    <w:p w14:paraId="4A84683F" w14:textId="77777777" w:rsidR="00385184" w:rsidRPr="003B5892" w:rsidRDefault="00385184" w:rsidP="00023291">
      <w:pPr>
        <w:tabs>
          <w:tab w:val="left" w:pos="9638"/>
        </w:tabs>
        <w:spacing w:after="0" w:line="240" w:lineRule="auto"/>
        <w:ind w:left="-51" w:firstLine="760"/>
        <w:jc w:val="both"/>
        <w:rPr>
          <w:rFonts w:ascii="Times New Roman" w:eastAsia="Calibri" w:hAnsi="Times New Roman" w:cs="Times New Roman"/>
          <w:kern w:val="0"/>
          <w:sz w:val="24"/>
          <w:szCs w:val="24"/>
          <w:lang w:val="uk-UA"/>
          <w14:ligatures w14:val="none"/>
        </w:rPr>
      </w:pPr>
      <w:r w:rsidRPr="003B5892">
        <w:rPr>
          <w:rFonts w:ascii="Times New Roman" w:eastAsia="Calibri" w:hAnsi="Times New Roman" w:cs="Times New Roman"/>
          <w:kern w:val="0"/>
          <w:sz w:val="24"/>
          <w:szCs w:val="24"/>
          <w:lang w:val="uk-UA"/>
          <w14:ligatures w14:val="none"/>
        </w:rPr>
        <w:t>13.</w:t>
      </w:r>
      <w:r w:rsidRPr="003B5892">
        <w:rPr>
          <w:rFonts w:ascii="Times New Roman" w:eastAsia="Calibri" w:hAnsi="Times New Roman" w:cs="Times New Roman"/>
          <w:b/>
          <w:kern w:val="0"/>
          <w:sz w:val="24"/>
          <w:szCs w:val="24"/>
          <w:lang w:val="uk-UA"/>
          <w14:ligatures w14:val="none"/>
        </w:rPr>
        <w:t xml:space="preserve"> </w:t>
      </w:r>
      <w:r w:rsidRPr="003B5892">
        <w:rPr>
          <w:rFonts w:ascii="Times New Roman" w:eastAsia="Calibri" w:hAnsi="Times New Roman" w:cs="Times New Roman"/>
          <w:kern w:val="0"/>
          <w:sz w:val="24"/>
          <w:szCs w:val="24"/>
          <w:lang w:val="uk-UA" w:eastAsia="uk"/>
          <w14:ligatures w14:val="none"/>
        </w:rPr>
        <w:t xml:space="preserve">Про затвердження Положення про особливості організації освітнього процесу у вищих військових навчальних закладах Міністерства оборони України, військових навчальних підрозділах закладів вищої освіти, закладах фахової передвищої військової освіти: наказ Міністерства оборони України від 15.02.2024 № 120. </w:t>
      </w:r>
      <w:r w:rsidRPr="003B5892">
        <w:rPr>
          <w:rFonts w:ascii="Times New Roman" w:eastAsia="Calibri" w:hAnsi="Times New Roman" w:cs="Calibri"/>
          <w:kern w:val="0"/>
          <w:sz w:val="24"/>
          <w:szCs w:val="24"/>
          <w:lang w:val="uk-UA"/>
          <w14:ligatures w14:val="none"/>
        </w:rPr>
        <w:t xml:space="preserve">– [Електронний ресурс]. </w:t>
      </w:r>
      <w:r w:rsidRPr="003B5892">
        <w:rPr>
          <w:rFonts w:ascii="Times New Roman" w:eastAsia="Calibri" w:hAnsi="Times New Roman" w:cs="Calibri"/>
          <w:iCs/>
          <w:kern w:val="0"/>
          <w:sz w:val="24"/>
          <w:szCs w:val="24"/>
          <w:lang w:val="pl-PL"/>
          <w14:ligatures w14:val="none"/>
        </w:rPr>
        <w:t>URL</w:t>
      </w:r>
      <w:r w:rsidRPr="003B5892">
        <w:rPr>
          <w:rFonts w:ascii="Times New Roman" w:eastAsia="Calibri" w:hAnsi="Times New Roman" w:cs="Calibri"/>
          <w:iCs/>
          <w:kern w:val="0"/>
          <w:sz w:val="24"/>
          <w:szCs w:val="24"/>
          <w:lang w:val="uk-UA"/>
          <w14:ligatures w14:val="none"/>
        </w:rPr>
        <w:t>:</w:t>
      </w:r>
      <w:r w:rsidRPr="003B5892">
        <w:rPr>
          <w:rFonts w:ascii="Calibri" w:eastAsia="Calibri" w:hAnsi="Calibri" w:cs="Calibri"/>
          <w:kern w:val="0"/>
          <w:sz w:val="24"/>
          <w:szCs w:val="24"/>
          <w14:ligatures w14:val="none"/>
        </w:rPr>
        <w:t xml:space="preserve"> </w:t>
      </w:r>
      <w:hyperlink r:id="rId186" w:anchor="Text" w:history="1">
        <w:r w:rsidRPr="003B5892">
          <w:rPr>
            <w:rFonts w:ascii="Times New Roman" w:eastAsia="Calibri" w:hAnsi="Times New Roman" w:cs="Times New Roman"/>
            <w:kern w:val="0"/>
            <w:sz w:val="24"/>
            <w:szCs w:val="24"/>
            <w:u w:val="single"/>
            <w:lang w:val="uk" w:eastAsia="uk"/>
            <w14:ligatures w14:val="none"/>
          </w:rPr>
          <w:t>https://zakon.rada.gov.ua/laws/show/z0453-24#Text</w:t>
        </w:r>
      </w:hyperlink>
      <w:r w:rsidRPr="003B5892">
        <w:rPr>
          <w:rFonts w:ascii="Times New Roman" w:eastAsia="Calibri" w:hAnsi="Times New Roman" w:cs="Times New Roman"/>
          <w:kern w:val="0"/>
          <w:sz w:val="24"/>
          <w:szCs w:val="24"/>
          <w:lang w:val="uk" w:eastAsia="uk"/>
          <w14:ligatures w14:val="none"/>
        </w:rPr>
        <w:t>.</w:t>
      </w:r>
    </w:p>
    <w:p w14:paraId="54A0248F" w14:textId="77777777" w:rsidR="00385184" w:rsidRPr="003B5892" w:rsidRDefault="00385184" w:rsidP="00023291">
      <w:pPr>
        <w:tabs>
          <w:tab w:val="left" w:pos="9638"/>
        </w:tabs>
        <w:spacing w:after="0" w:line="240" w:lineRule="auto"/>
        <w:ind w:left="-51" w:firstLine="760"/>
        <w:jc w:val="both"/>
        <w:rPr>
          <w:rFonts w:ascii="Times New Roman" w:eastAsia="Calibri" w:hAnsi="Times New Roman" w:cs="Times New Roman"/>
          <w:kern w:val="0"/>
          <w:sz w:val="24"/>
          <w:szCs w:val="24"/>
          <w:lang w:val="uk-UA"/>
          <w14:ligatures w14:val="none"/>
        </w:rPr>
      </w:pPr>
      <w:r w:rsidRPr="003B5892">
        <w:rPr>
          <w:rFonts w:ascii="Times New Roman" w:eastAsia="Calibri" w:hAnsi="Times New Roman" w:cs="Times New Roman"/>
          <w:kern w:val="0"/>
          <w:sz w:val="24"/>
          <w:szCs w:val="24"/>
          <w:lang w:val="uk-UA"/>
          <w14:ligatures w14:val="none"/>
        </w:rPr>
        <w:t xml:space="preserve">14. Про затвердження Розподілу основних завдань з подальшого розвитку військової освіти між Міністерством оборони України та органами військового управління Збройних Сил України: </w:t>
      </w:r>
      <w:r w:rsidRPr="003B5892">
        <w:rPr>
          <w:rFonts w:ascii="Times New Roman" w:eastAsia="Calibri" w:hAnsi="Times New Roman" w:cs="Times New Roman"/>
          <w:kern w:val="0"/>
          <w:sz w:val="24"/>
          <w:szCs w:val="24"/>
          <w:lang w:val="uk-UA" w:eastAsia="uk"/>
          <w14:ligatures w14:val="none"/>
        </w:rPr>
        <w:t>наказ</w:t>
      </w:r>
      <w:r w:rsidRPr="003B5892">
        <w:rPr>
          <w:rFonts w:ascii="Times New Roman" w:eastAsia="Calibri" w:hAnsi="Times New Roman" w:cs="Times New Roman"/>
          <w:b/>
          <w:kern w:val="0"/>
          <w:sz w:val="24"/>
          <w:szCs w:val="24"/>
          <w:lang w:val="uk-UA" w:eastAsia="uk"/>
          <w14:ligatures w14:val="none"/>
        </w:rPr>
        <w:t xml:space="preserve"> </w:t>
      </w:r>
      <w:r w:rsidRPr="003B5892">
        <w:rPr>
          <w:rFonts w:ascii="Times New Roman" w:eastAsia="Calibri" w:hAnsi="Times New Roman" w:cs="Times New Roman"/>
          <w:kern w:val="0"/>
          <w:sz w:val="24"/>
          <w:szCs w:val="24"/>
          <w:lang w:val="uk-UA" w:eastAsia="uk"/>
          <w14:ligatures w14:val="none"/>
        </w:rPr>
        <w:t xml:space="preserve">Міністерства оборони України від 24.06.2024 № 414. </w:t>
      </w:r>
      <w:r w:rsidRPr="003B5892">
        <w:rPr>
          <w:rFonts w:ascii="Times New Roman" w:eastAsia="Calibri" w:hAnsi="Times New Roman" w:cs="Calibri"/>
          <w:kern w:val="0"/>
          <w:sz w:val="24"/>
          <w:szCs w:val="24"/>
          <w:lang w:val="uk-UA"/>
          <w14:ligatures w14:val="none"/>
        </w:rPr>
        <w:t xml:space="preserve">– [Електронний ресурс]. </w:t>
      </w:r>
      <w:r w:rsidRPr="003B5892">
        <w:rPr>
          <w:rFonts w:ascii="Times New Roman" w:eastAsia="Calibri" w:hAnsi="Times New Roman" w:cs="Times New Roman"/>
          <w:kern w:val="0"/>
          <w:sz w:val="24"/>
          <w:szCs w:val="24"/>
          <w:lang w:val="uk-UA"/>
          <w14:ligatures w14:val="none"/>
        </w:rPr>
        <w:t xml:space="preserve">URL: </w:t>
      </w:r>
      <w:hyperlink r:id="rId187" w:history="1">
        <w:r w:rsidRPr="003B5892">
          <w:rPr>
            <w:rFonts w:ascii="Times New Roman" w:eastAsia="Calibri" w:hAnsi="Times New Roman" w:cs="Times New Roman"/>
            <w:kern w:val="0"/>
            <w:sz w:val="24"/>
            <w:szCs w:val="24"/>
            <w:u w:val="single"/>
            <w:lang w:val="uk-UA"/>
            <w14:ligatures w14:val="none"/>
          </w:rPr>
          <w:t>https://mod.gov.ua/diyalnist/normativno-pravova-baza/nakaz-ministerstva-oboroni-ukraini-vid-24-06-2024-n-414-pro-zatverdzhennia-rozpodilu-osnovnikh-zavdan-z-podalshogo-rozvitku-viiskovoi-osviti-mizh-ministerstvom-oboroni-ukraini-ta-organami-viiskovogo</w:t>
        </w:r>
      </w:hyperlink>
      <w:r w:rsidRPr="003B5892">
        <w:rPr>
          <w:rFonts w:ascii="Times New Roman" w:eastAsia="Calibri" w:hAnsi="Times New Roman" w:cs="Times New Roman"/>
          <w:kern w:val="0"/>
          <w:sz w:val="24"/>
          <w:szCs w:val="24"/>
          <w:lang w:val="uk-UA"/>
          <w14:ligatures w14:val="none"/>
        </w:rPr>
        <w:t>.</w:t>
      </w:r>
    </w:p>
    <w:p w14:paraId="1EA75C77" w14:textId="77777777" w:rsidR="00385184" w:rsidRPr="003B5892" w:rsidRDefault="00385184" w:rsidP="00023291">
      <w:pPr>
        <w:tabs>
          <w:tab w:val="left" w:pos="9638"/>
        </w:tabs>
        <w:spacing w:after="0" w:line="240" w:lineRule="auto"/>
        <w:ind w:left="-51" w:firstLine="760"/>
        <w:jc w:val="both"/>
        <w:rPr>
          <w:rFonts w:ascii="Times New Roman" w:eastAsia="Calibri" w:hAnsi="Times New Roman" w:cs="Times New Roman"/>
          <w:kern w:val="0"/>
          <w:sz w:val="24"/>
          <w:szCs w:val="24"/>
          <w:lang w:val="uk-UA"/>
          <w14:ligatures w14:val="none"/>
        </w:rPr>
      </w:pPr>
      <w:r w:rsidRPr="003B5892">
        <w:rPr>
          <w:rFonts w:ascii="Times New Roman" w:eastAsia="Calibri" w:hAnsi="Times New Roman" w:cs="Times New Roman"/>
          <w:kern w:val="0"/>
          <w:sz w:val="24"/>
          <w:szCs w:val="24"/>
          <w:lang w:val="uk-UA"/>
          <w14:ligatures w14:val="none"/>
        </w:rPr>
        <w:t xml:space="preserve">15. </w:t>
      </w:r>
      <w:r w:rsidRPr="003B5892">
        <w:rPr>
          <w:rFonts w:ascii="Times New Roman" w:eastAsia="Calibri" w:hAnsi="Times New Roman" w:cs="Times New Roman"/>
          <w:bCs/>
          <w:kern w:val="0"/>
          <w:sz w:val="24"/>
          <w:szCs w:val="24"/>
          <w:lang w:val="uk-UA"/>
          <w14:ligatures w14:val="none"/>
        </w:rPr>
        <w:t xml:space="preserve">Про затвердження Порядку проведення військової підготовки громадян України за програмою підготовки офіцерів запасу: </w:t>
      </w:r>
      <w:r w:rsidRPr="003B5892">
        <w:rPr>
          <w:rFonts w:ascii="Times New Roman" w:eastAsia="Calibri" w:hAnsi="Times New Roman" w:cs="Times New Roman"/>
          <w:kern w:val="0"/>
          <w:sz w:val="24"/>
          <w:szCs w:val="24"/>
          <w:lang w:val="uk-UA"/>
          <w14:ligatures w14:val="none"/>
        </w:rPr>
        <w:t xml:space="preserve">Постанова Кабінету Міністрів України </w:t>
      </w:r>
      <w:r w:rsidRPr="003B5892">
        <w:rPr>
          <w:rFonts w:ascii="Times New Roman" w:eastAsia="Calibri" w:hAnsi="Times New Roman" w:cs="Times New Roman"/>
          <w:bCs/>
          <w:kern w:val="0"/>
          <w:sz w:val="24"/>
          <w:szCs w:val="24"/>
          <w:lang w:val="uk-UA"/>
          <w14:ligatures w14:val="none"/>
        </w:rPr>
        <w:t xml:space="preserve">від 1 лютого 2012 р. № 48 </w:t>
      </w:r>
      <w:r w:rsidRPr="003B5892">
        <w:rPr>
          <w:rFonts w:ascii="Times New Roman" w:eastAsia="Calibri" w:hAnsi="Times New Roman" w:cs="Times New Roman"/>
          <w:kern w:val="0"/>
          <w:sz w:val="24"/>
          <w:szCs w:val="24"/>
          <w:lang w:val="uk-UA"/>
          <w14:ligatures w14:val="none"/>
        </w:rPr>
        <w:t xml:space="preserve">(зі змінами). </w:t>
      </w:r>
      <w:r w:rsidRPr="003B5892">
        <w:rPr>
          <w:rFonts w:ascii="Times New Roman" w:eastAsia="Calibri" w:hAnsi="Times New Roman" w:cs="Calibri"/>
          <w:kern w:val="0"/>
          <w:sz w:val="24"/>
          <w:szCs w:val="24"/>
          <w:lang w:val="uk-UA"/>
          <w14:ligatures w14:val="none"/>
        </w:rPr>
        <w:t xml:space="preserve">– [Електронний ресурс]. </w:t>
      </w:r>
      <w:r w:rsidRPr="003B5892">
        <w:rPr>
          <w:rFonts w:ascii="Times New Roman" w:eastAsia="Calibri" w:hAnsi="Times New Roman" w:cs="Times New Roman"/>
          <w:kern w:val="0"/>
          <w:sz w:val="24"/>
          <w:szCs w:val="24"/>
          <w:lang w:val="uk-UA"/>
          <w14:ligatures w14:val="none"/>
        </w:rPr>
        <w:t xml:space="preserve"> URL:</w:t>
      </w:r>
      <w:r w:rsidRPr="003B5892">
        <w:rPr>
          <w:rFonts w:ascii="Times New Roman" w:eastAsia="Calibri" w:hAnsi="Times New Roman" w:cs="Times New Roman"/>
          <w:kern w:val="0"/>
          <w:sz w:val="24"/>
          <w:szCs w:val="24"/>
          <w14:ligatures w14:val="none"/>
        </w:rPr>
        <w:t xml:space="preserve"> </w:t>
      </w:r>
      <w:hyperlink r:id="rId188" w:anchor="Text" w:history="1">
        <w:r w:rsidRPr="003B5892">
          <w:rPr>
            <w:rFonts w:ascii="Times New Roman" w:eastAsia="Calibri" w:hAnsi="Times New Roman" w:cs="Times New Roman"/>
            <w:kern w:val="0"/>
            <w:sz w:val="24"/>
            <w:szCs w:val="24"/>
            <w:u w:val="single"/>
            <w:lang w:val="uk-UA"/>
            <w14:ligatures w14:val="none"/>
          </w:rPr>
          <w:t>https://zakon.rada.gov.ua/laws/show/48-2012-%D0%BF#Text</w:t>
        </w:r>
      </w:hyperlink>
      <w:r w:rsidRPr="003B5892">
        <w:rPr>
          <w:rFonts w:ascii="Times New Roman" w:eastAsia="Calibri" w:hAnsi="Times New Roman" w:cs="Times New Roman"/>
          <w:kern w:val="0"/>
          <w:sz w:val="24"/>
          <w:szCs w:val="24"/>
          <w:lang w:val="uk-UA"/>
          <w14:ligatures w14:val="none"/>
        </w:rPr>
        <w:t>.</w:t>
      </w:r>
    </w:p>
    <w:p w14:paraId="159304E5" w14:textId="77777777" w:rsidR="00385184" w:rsidRPr="003B5892" w:rsidRDefault="00385184" w:rsidP="00023291">
      <w:pPr>
        <w:tabs>
          <w:tab w:val="left" w:pos="9638"/>
        </w:tabs>
        <w:spacing w:after="0" w:line="240" w:lineRule="auto"/>
        <w:ind w:left="-51" w:firstLine="760"/>
        <w:jc w:val="both"/>
        <w:rPr>
          <w:rFonts w:ascii="Times New Roman" w:eastAsia="Calibri" w:hAnsi="Times New Roman" w:cs="Times New Roman"/>
          <w:kern w:val="0"/>
          <w:sz w:val="24"/>
          <w:szCs w:val="24"/>
          <w:lang w:val="uk-UA"/>
          <w14:ligatures w14:val="none"/>
        </w:rPr>
      </w:pPr>
      <w:r w:rsidRPr="003B5892">
        <w:rPr>
          <w:rFonts w:ascii="Times New Roman" w:eastAsia="Calibri" w:hAnsi="Times New Roman" w:cs="Times New Roman"/>
          <w:kern w:val="0"/>
          <w:sz w:val="24"/>
          <w:szCs w:val="24"/>
          <w:lang w:val="uk-UA"/>
          <w14:ligatures w14:val="none"/>
        </w:rPr>
        <w:t xml:space="preserve">16. Про затвердження Інструкції про організацію та проведення військово-професійної орієнтації молоді та прийому до вищих військових навчальних закладів та військових навчальних підрозділів закладів вищої освіти: наказ Міністерства оборони України від 05.06.2014 № 360 (зі змінами) ). </w:t>
      </w:r>
      <w:r w:rsidRPr="003B5892">
        <w:rPr>
          <w:rFonts w:ascii="Times New Roman" w:eastAsia="Calibri" w:hAnsi="Times New Roman" w:cs="Calibri"/>
          <w:kern w:val="0"/>
          <w:sz w:val="24"/>
          <w:szCs w:val="24"/>
          <w:lang w:val="uk-UA"/>
          <w14:ligatures w14:val="none"/>
        </w:rPr>
        <w:t xml:space="preserve">– [Електронний ресурс]. </w:t>
      </w:r>
      <w:r w:rsidRPr="003B5892">
        <w:rPr>
          <w:rFonts w:ascii="Times New Roman" w:eastAsia="Calibri" w:hAnsi="Times New Roman" w:cs="Times New Roman"/>
          <w:kern w:val="0"/>
          <w:sz w:val="24"/>
          <w:szCs w:val="24"/>
          <w:lang w:val="uk-UA"/>
          <w14:ligatures w14:val="none"/>
        </w:rPr>
        <w:t xml:space="preserve"> URL:</w:t>
      </w:r>
      <w:r w:rsidRPr="003B5892">
        <w:rPr>
          <w:rFonts w:ascii="Times New Roman" w:eastAsia="Calibri" w:hAnsi="Times New Roman" w:cs="Times New Roman"/>
          <w:kern w:val="0"/>
          <w:sz w:val="24"/>
          <w:szCs w:val="24"/>
          <w14:ligatures w14:val="none"/>
        </w:rPr>
        <w:t xml:space="preserve"> </w:t>
      </w:r>
      <w:r w:rsidRPr="003B5892">
        <w:rPr>
          <w:rFonts w:ascii="Times New Roman" w:eastAsia="Calibri" w:hAnsi="Times New Roman" w:cs="Times New Roman"/>
          <w:kern w:val="0"/>
          <w:sz w:val="24"/>
          <w:szCs w:val="24"/>
          <w:lang w:val="uk-UA" w:eastAsia="uk"/>
          <w14:ligatures w14:val="none"/>
        </w:rPr>
        <w:t>https://zakon.rada.gov.ua/laws/show/z1285-24#Text.</w:t>
      </w:r>
    </w:p>
    <w:p w14:paraId="442F797E" w14:textId="77777777" w:rsidR="00385184" w:rsidRPr="003B5892" w:rsidRDefault="00385184" w:rsidP="00023291">
      <w:pPr>
        <w:tabs>
          <w:tab w:val="left" w:pos="9638"/>
        </w:tabs>
        <w:spacing w:after="0" w:line="240" w:lineRule="auto"/>
        <w:ind w:left="-51" w:firstLine="760"/>
        <w:jc w:val="both"/>
        <w:rPr>
          <w:rFonts w:ascii="Times New Roman" w:eastAsia="Calibri" w:hAnsi="Times New Roman" w:cs="Times New Roman"/>
          <w:kern w:val="0"/>
          <w:sz w:val="24"/>
          <w:szCs w:val="24"/>
          <w:lang w:val="uk-UA"/>
          <w14:ligatures w14:val="none"/>
        </w:rPr>
      </w:pPr>
      <w:r w:rsidRPr="003B5892">
        <w:rPr>
          <w:rFonts w:ascii="Times New Roman" w:eastAsia="Calibri" w:hAnsi="Times New Roman" w:cs="Times New Roman"/>
          <w:kern w:val="0"/>
          <w:sz w:val="24"/>
          <w:szCs w:val="24"/>
          <w:lang w:val="uk-UA"/>
          <w14:ligatures w14:val="none"/>
        </w:rPr>
        <w:t xml:space="preserve">17. Про затвердження Інструкції про організацію та проведення військово-професійної орієнтації громадян України і прийому на навчання до закладів фахової передвищої військової освіти, вищих військових навчальних закладів, військових навчальних підрозділів закладів вищої освіти та наукових установ у системі Міністерства оборони України: наказ Міністерства оборони України від 16.07.2024 № 479. </w:t>
      </w:r>
      <w:r w:rsidRPr="003B5892">
        <w:rPr>
          <w:rFonts w:ascii="Times New Roman" w:eastAsia="Calibri" w:hAnsi="Times New Roman" w:cs="Calibri"/>
          <w:kern w:val="0"/>
          <w:sz w:val="24"/>
          <w:szCs w:val="24"/>
          <w:lang w:val="uk-UA"/>
          <w14:ligatures w14:val="none"/>
        </w:rPr>
        <w:t xml:space="preserve">– [Електронний ресурс]. </w:t>
      </w:r>
      <w:r w:rsidRPr="003B5892">
        <w:rPr>
          <w:rFonts w:ascii="Times New Roman" w:eastAsia="Calibri" w:hAnsi="Times New Roman" w:cs="Calibri"/>
          <w:iCs/>
          <w:kern w:val="0"/>
          <w:sz w:val="24"/>
          <w:szCs w:val="24"/>
          <w:lang w:val="pl-PL"/>
          <w14:ligatures w14:val="none"/>
        </w:rPr>
        <w:t>URL</w:t>
      </w:r>
      <w:r w:rsidRPr="003B5892">
        <w:rPr>
          <w:rFonts w:ascii="Times New Roman" w:eastAsia="Calibri" w:hAnsi="Times New Roman" w:cs="Times New Roman"/>
          <w:kern w:val="0"/>
          <w:sz w:val="24"/>
          <w:szCs w:val="24"/>
          <w:lang w:val="uk-UA"/>
          <w14:ligatures w14:val="none"/>
        </w:rPr>
        <w:t xml:space="preserve">: </w:t>
      </w:r>
      <w:hyperlink r:id="rId189" w:anchor="Text" w:history="1">
        <w:r w:rsidRPr="003B5892">
          <w:rPr>
            <w:rFonts w:ascii="Times New Roman" w:eastAsia="Calibri" w:hAnsi="Times New Roman" w:cs="Times New Roman"/>
            <w:kern w:val="0"/>
            <w:sz w:val="24"/>
            <w:szCs w:val="24"/>
            <w:u w:val="single"/>
            <w:lang w:val="uk-UA"/>
            <w14:ligatures w14:val="none"/>
          </w:rPr>
          <w:t>https://zakon.rada.gov.ua/laws/show/z1285-24#Text</w:t>
        </w:r>
      </w:hyperlink>
      <w:r w:rsidRPr="003B5892">
        <w:rPr>
          <w:rFonts w:ascii="Times New Roman" w:eastAsia="Calibri" w:hAnsi="Times New Roman" w:cs="Times New Roman"/>
          <w:kern w:val="0"/>
          <w:sz w:val="24"/>
          <w:szCs w:val="24"/>
          <w:u w:val="single"/>
          <w:lang w:val="uk-UA"/>
          <w14:ligatures w14:val="none"/>
        </w:rPr>
        <w:t>.</w:t>
      </w:r>
    </w:p>
    <w:p w14:paraId="6C54A85E" w14:textId="77777777" w:rsidR="00385184" w:rsidRPr="003B5892" w:rsidRDefault="00385184" w:rsidP="00023291">
      <w:pPr>
        <w:tabs>
          <w:tab w:val="left" w:pos="9638"/>
        </w:tabs>
        <w:spacing w:after="0" w:line="240" w:lineRule="auto"/>
        <w:ind w:left="-51" w:firstLine="760"/>
        <w:jc w:val="both"/>
        <w:rPr>
          <w:rFonts w:ascii="Times New Roman" w:eastAsia="Calibri" w:hAnsi="Times New Roman" w:cs="Times New Roman"/>
          <w:kern w:val="0"/>
          <w:sz w:val="24"/>
          <w:szCs w:val="24"/>
          <w:lang w:eastAsia="uk"/>
          <w14:ligatures w14:val="none"/>
        </w:rPr>
      </w:pPr>
      <w:r w:rsidRPr="003B5892">
        <w:rPr>
          <w:rFonts w:ascii="Times New Roman" w:eastAsia="Calibri" w:hAnsi="Times New Roman" w:cs="Times New Roman"/>
          <w:kern w:val="0"/>
          <w:sz w:val="24"/>
          <w:szCs w:val="24"/>
          <w:lang w:val="uk-UA"/>
          <w14:ligatures w14:val="none"/>
        </w:rPr>
        <w:t xml:space="preserve">18. Про організацію підготовки офіцерського, сержантського і старшинського складу у вищих військових навчальних закладах, закладах фахової передвищої військової освіти Міністерства оборони України та військових навчальних підрозділах закладів вищої освіти: наказ </w:t>
      </w:r>
      <w:r w:rsidRPr="003B5892">
        <w:rPr>
          <w:rFonts w:ascii="Times New Roman" w:eastAsia="Calibri" w:hAnsi="Times New Roman" w:cs="Times New Roman"/>
          <w:bCs/>
          <w:kern w:val="0"/>
          <w:sz w:val="24"/>
          <w:szCs w:val="24"/>
          <w:lang w:val="uk-UA"/>
          <w14:ligatures w14:val="none"/>
        </w:rPr>
        <w:t xml:space="preserve">Міністерства оборони України </w:t>
      </w:r>
      <w:r w:rsidRPr="003B5892">
        <w:rPr>
          <w:rFonts w:ascii="Times New Roman" w:eastAsia="Calibri" w:hAnsi="Times New Roman" w:cs="Times New Roman"/>
          <w:kern w:val="0"/>
          <w:sz w:val="24"/>
          <w:szCs w:val="24"/>
          <w:lang w:val="uk-UA"/>
          <w14:ligatures w14:val="none"/>
        </w:rPr>
        <w:t xml:space="preserve">від 05.07.2022 №175. </w:t>
      </w:r>
      <w:r w:rsidRPr="003B5892">
        <w:rPr>
          <w:rFonts w:ascii="Times New Roman" w:eastAsia="Calibri" w:hAnsi="Times New Roman" w:cs="Calibri"/>
          <w:kern w:val="0"/>
          <w:sz w:val="24"/>
          <w:szCs w:val="24"/>
          <w:lang w:val="uk-UA"/>
          <w14:ligatures w14:val="none"/>
        </w:rPr>
        <w:t xml:space="preserve">– [Електронний ресурс]. </w:t>
      </w:r>
      <w:r w:rsidRPr="003B5892">
        <w:rPr>
          <w:rFonts w:ascii="Times New Roman" w:eastAsia="Calibri" w:hAnsi="Times New Roman" w:cs="Times New Roman"/>
          <w:kern w:val="0"/>
          <w:sz w:val="24"/>
          <w:szCs w:val="24"/>
          <w:lang w:val="uk-UA"/>
          <w14:ligatures w14:val="none"/>
        </w:rPr>
        <w:t xml:space="preserve">URL: </w:t>
      </w:r>
      <w:hyperlink r:id="rId190" w:anchor="Text" w:history="1">
        <w:r w:rsidRPr="003B5892">
          <w:rPr>
            <w:rFonts w:ascii="Times New Roman" w:eastAsia="Calibri" w:hAnsi="Times New Roman" w:cs="Times New Roman"/>
            <w:kern w:val="0"/>
            <w:sz w:val="24"/>
            <w:szCs w:val="24"/>
            <w:u w:val="single"/>
            <w:lang w:val="uk-UA"/>
            <w14:ligatures w14:val="none"/>
          </w:rPr>
          <w:t>https://zakon.rada.gov.ua/rada/show/v0175322-22#Text</w:t>
        </w:r>
      </w:hyperlink>
      <w:r w:rsidRPr="003B5892">
        <w:rPr>
          <w:rFonts w:ascii="Times New Roman" w:eastAsia="Calibri" w:hAnsi="Times New Roman" w:cs="Times New Roman"/>
          <w:kern w:val="0"/>
          <w:sz w:val="24"/>
          <w:szCs w:val="24"/>
          <w14:ligatures w14:val="none"/>
        </w:rPr>
        <w:t>.</w:t>
      </w:r>
    </w:p>
    <w:p w14:paraId="06CC16F0" w14:textId="77777777" w:rsidR="00385184" w:rsidRPr="003B5892" w:rsidRDefault="00385184" w:rsidP="00023291">
      <w:pPr>
        <w:tabs>
          <w:tab w:val="left" w:pos="9638"/>
        </w:tabs>
        <w:spacing w:after="0" w:line="240" w:lineRule="auto"/>
        <w:ind w:left="-51" w:firstLine="760"/>
        <w:jc w:val="both"/>
        <w:rPr>
          <w:rFonts w:ascii="Times New Roman" w:eastAsia="Calibri" w:hAnsi="Times New Roman" w:cs="Times New Roman"/>
          <w:kern w:val="0"/>
          <w:sz w:val="24"/>
          <w:szCs w:val="24"/>
          <w:lang w:val="uk" w:eastAsia="uk"/>
          <w14:ligatures w14:val="none"/>
        </w:rPr>
      </w:pPr>
    </w:p>
    <w:p w14:paraId="206BE05D" w14:textId="77777777" w:rsidR="00385184" w:rsidRPr="003B5892" w:rsidRDefault="00385184" w:rsidP="00023291">
      <w:pPr>
        <w:tabs>
          <w:tab w:val="left" w:pos="9638"/>
        </w:tabs>
        <w:spacing w:after="0" w:line="240" w:lineRule="auto"/>
        <w:jc w:val="center"/>
        <w:rPr>
          <w:rFonts w:ascii="Times New Roman" w:eastAsia="Calibri" w:hAnsi="Times New Roman" w:cs="Times New Roman"/>
          <w:b/>
          <w:kern w:val="0"/>
          <w:sz w:val="24"/>
          <w:szCs w:val="24"/>
          <w:lang w:val="uk-UA"/>
          <w14:ligatures w14:val="none"/>
        </w:rPr>
      </w:pPr>
      <w:r w:rsidRPr="003B5892">
        <w:rPr>
          <w:rFonts w:ascii="Times New Roman" w:eastAsia="Calibri" w:hAnsi="Times New Roman" w:cs="Times New Roman"/>
          <w:b/>
          <w:kern w:val="0"/>
          <w:sz w:val="24"/>
          <w:szCs w:val="24"/>
          <w14:ligatures w14:val="none"/>
        </w:rPr>
        <w:t>REFERENCES</w:t>
      </w:r>
    </w:p>
    <w:p w14:paraId="658B1F48" w14:textId="77777777" w:rsidR="00385184" w:rsidRPr="003B5892" w:rsidRDefault="00385184" w:rsidP="0002329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noProof/>
          <w:color w:val="000000"/>
          <w:kern w:val="0"/>
          <w:sz w:val="24"/>
          <w:szCs w:val="24"/>
          <w:lang w:eastAsia="uk-UA"/>
          <w14:ligatures w14:val="none"/>
        </w:rPr>
      </w:pPr>
      <w:r w:rsidRPr="003B5892">
        <w:rPr>
          <w:rFonts w:ascii="Times New Roman" w:eastAsia="Times New Roman" w:hAnsi="Times New Roman" w:cs="Times New Roman"/>
          <w:noProof/>
          <w:color w:val="000000"/>
          <w:kern w:val="0"/>
          <w:sz w:val="24"/>
          <w:szCs w:val="24"/>
          <w:lang w:eastAsia="uk-UA"/>
          <w14:ligatures w14:val="none"/>
        </w:rPr>
        <w:t>1. Stratehiia menedzhmentu systemy viiskovoi osvity [</w:t>
      </w:r>
      <w:r w:rsidRPr="003B5892">
        <w:rPr>
          <w:rFonts w:ascii="Times New Roman" w:eastAsia="Times New Roman" w:hAnsi="Times New Roman" w:cs="Times New Roman"/>
          <w:noProof/>
          <w:color w:val="1F1F1F"/>
          <w:kern w:val="0"/>
          <w:sz w:val="24"/>
          <w:szCs w:val="24"/>
          <w:lang w:eastAsia="uk-UA"/>
          <w14:ligatures w14:val="none"/>
        </w:rPr>
        <w:t>The Military Education System Management Strategy]</w:t>
      </w:r>
      <w:r w:rsidRPr="003B5892">
        <w:rPr>
          <w:rFonts w:ascii="Times New Roman" w:eastAsia="Times New Roman" w:hAnsi="Times New Roman" w:cs="Times New Roman"/>
          <w:noProof/>
          <w:color w:val="000000"/>
          <w:kern w:val="0"/>
          <w:sz w:val="24"/>
          <w:szCs w:val="24"/>
          <w:lang w:eastAsia="uk-UA"/>
          <w14:ligatures w14:val="none"/>
        </w:rPr>
        <w:t>:</w:t>
      </w:r>
      <w:r w:rsidRPr="003B5892">
        <w:rPr>
          <w:rFonts w:ascii="Times New Roman" w:eastAsia="Times New Roman" w:hAnsi="Times New Roman" w:cs="Times New Roman"/>
          <w:noProof/>
          <w:color w:val="1F1F1F"/>
          <w:kern w:val="0"/>
          <w:sz w:val="24"/>
          <w:szCs w:val="24"/>
          <w:lang w:eastAsia="uk-UA"/>
          <w14:ligatures w14:val="none"/>
        </w:rPr>
        <w:t xml:space="preserve"> </w:t>
      </w:r>
      <w:r w:rsidRPr="003B5892">
        <w:rPr>
          <w:rFonts w:ascii="Times New Roman" w:eastAsia="Times New Roman" w:hAnsi="Times New Roman" w:cs="Times New Roman"/>
          <w:noProof/>
          <w:color w:val="000000"/>
          <w:kern w:val="0"/>
          <w:sz w:val="24"/>
          <w:szCs w:val="24"/>
          <w:lang w:eastAsia="uk-UA"/>
          <w14:ligatures w14:val="none"/>
        </w:rPr>
        <w:t xml:space="preserve">zatverdzhena Ministrom oborony Ukrainy 12.12.2023 roku. URL: https://mod.gov.ua/diyalnist/normativno-pravova-baza/strategiia-menedzhmentu-sistemi-viiskovoi-osviti. </w:t>
      </w:r>
    </w:p>
    <w:p w14:paraId="253C02A5" w14:textId="77777777" w:rsidR="00385184" w:rsidRPr="003B5892" w:rsidRDefault="00385184" w:rsidP="0002329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noProof/>
          <w:color w:val="000000"/>
          <w:kern w:val="0"/>
          <w:sz w:val="24"/>
          <w:szCs w:val="24"/>
          <w:lang w:eastAsia="uk-UA"/>
          <w14:ligatures w14:val="none"/>
        </w:rPr>
      </w:pPr>
      <w:r w:rsidRPr="003B5892">
        <w:rPr>
          <w:rFonts w:ascii="Times New Roman" w:eastAsia="Times New Roman" w:hAnsi="Times New Roman" w:cs="Times New Roman"/>
          <w:noProof/>
          <w:color w:val="000000"/>
          <w:kern w:val="0"/>
          <w:sz w:val="24"/>
          <w:szCs w:val="24"/>
          <w:lang w:eastAsia="uk-UA"/>
          <w14:ligatures w14:val="none"/>
        </w:rPr>
        <w:lastRenderedPageBreak/>
        <w:t xml:space="preserve">2. Kontseptsiia transformatsii systemy viiskovoi osvity [Concept of Transformation of the Military Education System] : (v redaktsii postanovy Kabinetu Ministriv Ukrainy vid 30 hrudnia 2022 r. № 1490). URL: https://zakon.rada.gov.ua/laws/show/1410-97-%D0%BF#Text. </w:t>
      </w:r>
    </w:p>
    <w:p w14:paraId="0A3E4697" w14:textId="77777777" w:rsidR="00385184" w:rsidRPr="003B5892" w:rsidRDefault="00385184" w:rsidP="0002329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noProof/>
          <w:color w:val="000000"/>
          <w:kern w:val="0"/>
          <w:sz w:val="24"/>
          <w:szCs w:val="24"/>
          <w:lang w:eastAsia="uk-UA"/>
          <w14:ligatures w14:val="none"/>
        </w:rPr>
      </w:pPr>
      <w:r w:rsidRPr="003B5892">
        <w:rPr>
          <w:rFonts w:ascii="Times New Roman" w:eastAsia="Times New Roman" w:hAnsi="Times New Roman" w:cs="Times New Roman"/>
          <w:noProof/>
          <w:color w:val="000000"/>
          <w:kern w:val="0"/>
          <w:sz w:val="24"/>
          <w:szCs w:val="24"/>
          <w:lang w:eastAsia="uk-UA"/>
          <w14:ligatures w14:val="none"/>
        </w:rPr>
        <w:t xml:space="preserve">3. Kontseptsiia viiskovoi kadrovoi polityky u Zbroinykh Sylakh Ukrainy v systemi Ministerstva oborony Ukrainy na period do 2028 roku: Ministerstvo oborony Ukrainy [The concept of military personnel policy in the Armed Forces of Ukraine in the system of the Ministry of Defense of Ukraine for the period until 2028]: nakaz Ministerstva oborony Ukrainy vid 27.10.2023 № 637. URL: https://zakon.rada.gov.ua/rada/show/v0637322-23#Text. </w:t>
      </w:r>
    </w:p>
    <w:p w14:paraId="1226CFBF" w14:textId="77777777" w:rsidR="00385184" w:rsidRPr="003B5892" w:rsidRDefault="00385184" w:rsidP="0002329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noProof/>
          <w:color w:val="000000"/>
          <w:kern w:val="0"/>
          <w:sz w:val="24"/>
          <w:szCs w:val="24"/>
          <w:lang w:val="uk-UA" w:eastAsia="uk-UA"/>
          <w14:ligatures w14:val="none"/>
        </w:rPr>
      </w:pPr>
      <w:r w:rsidRPr="003B5892">
        <w:rPr>
          <w:rFonts w:ascii="Times New Roman" w:eastAsia="Times New Roman" w:hAnsi="Times New Roman" w:cs="Times New Roman"/>
          <w:noProof/>
          <w:color w:val="000000"/>
          <w:kern w:val="0"/>
          <w:sz w:val="24"/>
          <w:szCs w:val="24"/>
          <w:lang w:eastAsia="uk-UA"/>
          <w14:ligatures w14:val="none"/>
        </w:rPr>
        <w:t>4. Pro vnesennia zmin do Poriadku provedennia viiskovoi pidhotovky hromadian Ukrainy za prohramoiu pidhotovky ofitseriv zapasu, zatverdzhenoho postanovoiu Kabinetu Ministriv Ukrainy vid 1 liutoho 2012 r. № 48 [On Amendments to the Procedure for Conducting Military Training of Citizens of Ukraine under the Reserve Officer Training Program, Approved by Resolution of the Cabinet of Ministers of Ukraine of February 1, 2012 No. 48]: Postanova Kabinetu Ministriv Ukrainy vid 05 hrudnia 2025 r. № 1612 – [Elektronnyi resurs]. URL https://zakon.rada.gov.ua/laws/show/1612-2025-%D0%BF#Text</w:t>
      </w:r>
      <w:r w:rsidRPr="003B5892">
        <w:rPr>
          <w:rFonts w:ascii="Times New Roman" w:eastAsia="Times New Roman" w:hAnsi="Times New Roman" w:cs="Times New Roman"/>
          <w:noProof/>
          <w:color w:val="000000"/>
          <w:kern w:val="0"/>
          <w:sz w:val="24"/>
          <w:szCs w:val="24"/>
          <w:lang w:val="uk-UA" w:eastAsia="uk-UA"/>
          <w14:ligatures w14:val="none"/>
        </w:rPr>
        <w:t>.</w:t>
      </w:r>
    </w:p>
    <w:p w14:paraId="75FC9166"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noProof/>
          <w:kern w:val="0"/>
          <w:sz w:val="24"/>
          <w:szCs w:val="24"/>
          <w14:ligatures w14:val="none"/>
        </w:rPr>
      </w:pPr>
      <w:r w:rsidRPr="003B5892">
        <w:rPr>
          <w:rFonts w:ascii="Times New Roman" w:eastAsia="Calibri" w:hAnsi="Times New Roman" w:cs="Times New Roman"/>
          <w:noProof/>
          <w:kern w:val="0"/>
          <w:sz w:val="24"/>
          <w:szCs w:val="24"/>
          <w:lang w:val="uk-UA"/>
          <w14:ligatures w14:val="none"/>
        </w:rPr>
        <w:t xml:space="preserve">5. </w:t>
      </w:r>
      <w:r w:rsidRPr="003B5892">
        <w:rPr>
          <w:rFonts w:ascii="Times New Roman" w:eastAsia="Calibri" w:hAnsi="Times New Roman" w:cs="Times New Roman"/>
          <w:noProof/>
          <w:kern w:val="0"/>
          <w:sz w:val="24"/>
          <w:szCs w:val="24"/>
          <w14:ligatures w14:val="none"/>
        </w:rPr>
        <w:t>Zvit</w:t>
      </w:r>
      <w:r w:rsidRPr="003B5892">
        <w:rPr>
          <w:rFonts w:ascii="Times New Roman" w:eastAsia="Calibri" w:hAnsi="Times New Roman" w:cs="Times New Roman"/>
          <w:noProof/>
          <w:kern w:val="0"/>
          <w:sz w:val="24"/>
          <w:szCs w:val="24"/>
          <w:lang w:val="uk-UA"/>
          <w14:ligatures w14:val="none"/>
        </w:rPr>
        <w:t xml:space="preserve"> </w:t>
      </w:r>
      <w:r w:rsidRPr="003B5892">
        <w:rPr>
          <w:rFonts w:ascii="Times New Roman" w:eastAsia="Calibri" w:hAnsi="Times New Roman" w:cs="Times New Roman"/>
          <w:noProof/>
          <w:kern w:val="0"/>
          <w:sz w:val="24"/>
          <w:szCs w:val="24"/>
          <w14:ligatures w14:val="none"/>
        </w:rPr>
        <w:t>pro</w:t>
      </w:r>
      <w:r w:rsidRPr="003B5892">
        <w:rPr>
          <w:rFonts w:ascii="Times New Roman" w:eastAsia="Calibri" w:hAnsi="Times New Roman" w:cs="Times New Roman"/>
          <w:noProof/>
          <w:kern w:val="0"/>
          <w:sz w:val="24"/>
          <w:szCs w:val="24"/>
          <w:lang w:val="uk-UA"/>
          <w14:ligatures w14:val="none"/>
        </w:rPr>
        <w:t xml:space="preserve"> </w:t>
      </w:r>
      <w:r w:rsidRPr="003B5892">
        <w:rPr>
          <w:rFonts w:ascii="Times New Roman" w:eastAsia="Calibri" w:hAnsi="Times New Roman" w:cs="Times New Roman"/>
          <w:noProof/>
          <w:kern w:val="0"/>
          <w:sz w:val="24"/>
          <w:szCs w:val="24"/>
          <w14:ligatures w14:val="none"/>
        </w:rPr>
        <w:t>naukovo</w:t>
      </w:r>
      <w:r w:rsidRPr="003B5892">
        <w:rPr>
          <w:rFonts w:ascii="Times New Roman" w:eastAsia="Calibri" w:hAnsi="Times New Roman" w:cs="Times New Roman"/>
          <w:noProof/>
          <w:kern w:val="0"/>
          <w:sz w:val="24"/>
          <w:szCs w:val="24"/>
          <w:lang w:val="uk-UA"/>
          <w14:ligatures w14:val="none"/>
        </w:rPr>
        <w:t>-</w:t>
      </w:r>
      <w:r w:rsidRPr="003B5892">
        <w:rPr>
          <w:rFonts w:ascii="Times New Roman" w:eastAsia="Calibri" w:hAnsi="Times New Roman" w:cs="Times New Roman"/>
          <w:noProof/>
          <w:kern w:val="0"/>
          <w:sz w:val="24"/>
          <w:szCs w:val="24"/>
          <w14:ligatures w14:val="none"/>
        </w:rPr>
        <w:t>doslidnu</w:t>
      </w:r>
      <w:r w:rsidRPr="003B5892">
        <w:rPr>
          <w:rFonts w:ascii="Times New Roman" w:eastAsia="Calibri" w:hAnsi="Times New Roman" w:cs="Times New Roman"/>
          <w:noProof/>
          <w:kern w:val="0"/>
          <w:sz w:val="24"/>
          <w:szCs w:val="24"/>
          <w:lang w:val="uk-UA"/>
          <w14:ligatures w14:val="none"/>
        </w:rPr>
        <w:t xml:space="preserve"> </w:t>
      </w:r>
      <w:r w:rsidRPr="003B5892">
        <w:rPr>
          <w:rFonts w:ascii="Times New Roman" w:eastAsia="Calibri" w:hAnsi="Times New Roman" w:cs="Times New Roman"/>
          <w:noProof/>
          <w:kern w:val="0"/>
          <w:sz w:val="24"/>
          <w:szCs w:val="24"/>
          <w14:ligatures w14:val="none"/>
        </w:rPr>
        <w:t>robotu</w:t>
      </w:r>
      <w:r w:rsidRPr="003B5892">
        <w:rPr>
          <w:rFonts w:ascii="Times New Roman" w:eastAsia="Calibri" w:hAnsi="Times New Roman" w:cs="Times New Roman"/>
          <w:noProof/>
          <w:kern w:val="0"/>
          <w:sz w:val="24"/>
          <w:szCs w:val="24"/>
          <w:lang w:val="uk-UA"/>
          <w14:ligatures w14:val="none"/>
        </w:rPr>
        <w:t xml:space="preserve"> “</w:t>
      </w:r>
      <w:r w:rsidRPr="003B5892">
        <w:rPr>
          <w:rFonts w:ascii="Times New Roman" w:eastAsia="Calibri" w:hAnsi="Times New Roman" w:cs="Times New Roman"/>
          <w:noProof/>
          <w:kern w:val="0"/>
          <w:sz w:val="24"/>
          <w:szCs w:val="24"/>
          <w14:ligatures w14:val="none"/>
        </w:rPr>
        <w:t>Obgruntuvannia</w:t>
      </w:r>
      <w:r w:rsidRPr="003B5892">
        <w:rPr>
          <w:rFonts w:ascii="Times New Roman" w:eastAsia="Calibri" w:hAnsi="Times New Roman" w:cs="Times New Roman"/>
          <w:noProof/>
          <w:kern w:val="0"/>
          <w:sz w:val="24"/>
          <w:szCs w:val="24"/>
          <w:lang w:val="uk-UA"/>
          <w14:ligatures w14:val="none"/>
        </w:rPr>
        <w:t xml:space="preserve"> </w:t>
      </w:r>
      <w:r w:rsidRPr="003B5892">
        <w:rPr>
          <w:rFonts w:ascii="Times New Roman" w:eastAsia="Calibri" w:hAnsi="Times New Roman" w:cs="Times New Roman"/>
          <w:noProof/>
          <w:kern w:val="0"/>
          <w:sz w:val="24"/>
          <w:szCs w:val="24"/>
          <w14:ligatures w14:val="none"/>
        </w:rPr>
        <w:t>dotsilnykh</w:t>
      </w:r>
      <w:r w:rsidRPr="003B5892">
        <w:rPr>
          <w:rFonts w:ascii="Times New Roman" w:eastAsia="Calibri" w:hAnsi="Times New Roman" w:cs="Times New Roman"/>
          <w:noProof/>
          <w:kern w:val="0"/>
          <w:sz w:val="24"/>
          <w:szCs w:val="24"/>
          <w:lang w:val="uk-UA"/>
          <w14:ligatures w14:val="none"/>
        </w:rPr>
        <w:t xml:space="preserve"> </w:t>
      </w:r>
      <w:r w:rsidRPr="003B5892">
        <w:rPr>
          <w:rFonts w:ascii="Times New Roman" w:eastAsia="Calibri" w:hAnsi="Times New Roman" w:cs="Times New Roman"/>
          <w:noProof/>
          <w:kern w:val="0"/>
          <w:sz w:val="24"/>
          <w:szCs w:val="24"/>
          <w14:ligatures w14:val="none"/>
        </w:rPr>
        <w:t>shliakhiv</w:t>
      </w:r>
      <w:r w:rsidRPr="003B5892">
        <w:rPr>
          <w:rFonts w:ascii="Times New Roman" w:eastAsia="Calibri" w:hAnsi="Times New Roman" w:cs="Times New Roman"/>
          <w:noProof/>
          <w:kern w:val="0"/>
          <w:sz w:val="24"/>
          <w:szCs w:val="24"/>
          <w:lang w:val="uk-UA"/>
          <w14:ligatures w14:val="none"/>
        </w:rPr>
        <w:t xml:space="preserve"> </w:t>
      </w:r>
      <w:r w:rsidRPr="003B5892">
        <w:rPr>
          <w:rFonts w:ascii="Times New Roman" w:eastAsia="Calibri" w:hAnsi="Times New Roman" w:cs="Times New Roman"/>
          <w:noProof/>
          <w:kern w:val="0"/>
          <w:sz w:val="24"/>
          <w:szCs w:val="24"/>
          <w14:ligatures w14:val="none"/>
        </w:rPr>
        <w:t>udoskonalennia</w:t>
      </w:r>
      <w:r w:rsidRPr="003B5892">
        <w:rPr>
          <w:rFonts w:ascii="Times New Roman" w:eastAsia="Calibri" w:hAnsi="Times New Roman" w:cs="Times New Roman"/>
          <w:noProof/>
          <w:kern w:val="0"/>
          <w:sz w:val="24"/>
          <w:szCs w:val="24"/>
          <w:lang w:val="uk-UA"/>
          <w14:ligatures w14:val="none"/>
        </w:rPr>
        <w:t xml:space="preserve"> </w:t>
      </w:r>
      <w:r w:rsidRPr="003B5892">
        <w:rPr>
          <w:rFonts w:ascii="Times New Roman" w:eastAsia="Calibri" w:hAnsi="Times New Roman" w:cs="Times New Roman"/>
          <w:noProof/>
          <w:kern w:val="0"/>
          <w:sz w:val="24"/>
          <w:szCs w:val="24"/>
          <w14:ligatures w14:val="none"/>
        </w:rPr>
        <w:t>systemy</w:t>
      </w:r>
      <w:r w:rsidRPr="003B5892">
        <w:rPr>
          <w:rFonts w:ascii="Times New Roman" w:eastAsia="Calibri" w:hAnsi="Times New Roman" w:cs="Times New Roman"/>
          <w:noProof/>
          <w:kern w:val="0"/>
          <w:sz w:val="24"/>
          <w:szCs w:val="24"/>
          <w:lang w:val="uk-UA"/>
          <w14:ligatures w14:val="none"/>
        </w:rPr>
        <w:t xml:space="preserve"> </w:t>
      </w:r>
      <w:r w:rsidRPr="003B5892">
        <w:rPr>
          <w:rFonts w:ascii="Times New Roman" w:eastAsia="Calibri" w:hAnsi="Times New Roman" w:cs="Times New Roman"/>
          <w:noProof/>
          <w:kern w:val="0"/>
          <w:sz w:val="24"/>
          <w:szCs w:val="24"/>
          <w14:ligatures w14:val="none"/>
        </w:rPr>
        <w:t>zahalnoviiskovoi</w:t>
      </w:r>
      <w:r w:rsidRPr="003B5892">
        <w:rPr>
          <w:rFonts w:ascii="Times New Roman" w:eastAsia="Calibri" w:hAnsi="Times New Roman" w:cs="Times New Roman"/>
          <w:noProof/>
          <w:kern w:val="0"/>
          <w:sz w:val="24"/>
          <w:szCs w:val="24"/>
          <w:lang w:val="uk-UA"/>
          <w14:ligatures w14:val="none"/>
        </w:rPr>
        <w:t xml:space="preserve"> </w:t>
      </w:r>
      <w:r w:rsidRPr="003B5892">
        <w:rPr>
          <w:rFonts w:ascii="Times New Roman" w:eastAsia="Calibri" w:hAnsi="Times New Roman" w:cs="Times New Roman"/>
          <w:noProof/>
          <w:kern w:val="0"/>
          <w:sz w:val="24"/>
          <w:szCs w:val="24"/>
          <w14:ligatures w14:val="none"/>
        </w:rPr>
        <w:t>pidhotovky</w:t>
      </w:r>
      <w:r w:rsidRPr="003B5892">
        <w:rPr>
          <w:rFonts w:ascii="Times New Roman" w:eastAsia="Calibri" w:hAnsi="Times New Roman" w:cs="Times New Roman"/>
          <w:noProof/>
          <w:kern w:val="0"/>
          <w:sz w:val="24"/>
          <w:szCs w:val="24"/>
          <w:lang w:val="uk-UA"/>
          <w14:ligatures w14:val="none"/>
        </w:rPr>
        <w:t xml:space="preserve"> </w:t>
      </w:r>
      <w:r w:rsidRPr="003B5892">
        <w:rPr>
          <w:rFonts w:ascii="Times New Roman" w:eastAsia="Calibri" w:hAnsi="Times New Roman" w:cs="Times New Roman"/>
          <w:noProof/>
          <w:kern w:val="0"/>
          <w:sz w:val="24"/>
          <w:szCs w:val="24"/>
          <w14:ligatures w14:val="none"/>
        </w:rPr>
        <w:t>ofitseriv</w:t>
      </w:r>
      <w:r w:rsidRPr="003B5892">
        <w:rPr>
          <w:rFonts w:ascii="Times New Roman" w:eastAsia="Calibri" w:hAnsi="Times New Roman" w:cs="Times New Roman"/>
          <w:noProof/>
          <w:kern w:val="0"/>
          <w:sz w:val="24"/>
          <w:szCs w:val="24"/>
          <w:lang w:val="uk-UA"/>
          <w14:ligatures w14:val="none"/>
        </w:rPr>
        <w:t xml:space="preserve"> </w:t>
      </w:r>
      <w:r w:rsidRPr="003B5892">
        <w:rPr>
          <w:rFonts w:ascii="Times New Roman" w:eastAsia="Calibri" w:hAnsi="Times New Roman" w:cs="Times New Roman"/>
          <w:noProof/>
          <w:kern w:val="0"/>
          <w:sz w:val="24"/>
          <w:szCs w:val="24"/>
          <w14:ligatures w14:val="none"/>
        </w:rPr>
        <w:t>zapasu</w:t>
      </w:r>
      <w:r w:rsidRPr="003B5892">
        <w:rPr>
          <w:rFonts w:ascii="Times New Roman" w:eastAsia="Calibri" w:hAnsi="Times New Roman" w:cs="Times New Roman"/>
          <w:noProof/>
          <w:kern w:val="0"/>
          <w:sz w:val="24"/>
          <w:szCs w:val="24"/>
          <w:lang w:val="uk-UA"/>
          <w14:ligatures w14:val="none"/>
        </w:rPr>
        <w:t xml:space="preserve"> </w:t>
      </w:r>
      <w:r w:rsidRPr="003B5892">
        <w:rPr>
          <w:rFonts w:ascii="Times New Roman" w:eastAsia="Calibri" w:hAnsi="Times New Roman" w:cs="Times New Roman"/>
          <w:noProof/>
          <w:kern w:val="0"/>
          <w:sz w:val="24"/>
          <w:szCs w:val="24"/>
          <w14:ligatures w14:val="none"/>
        </w:rPr>
        <w:t>dlia</w:t>
      </w:r>
      <w:r w:rsidRPr="003B5892">
        <w:rPr>
          <w:rFonts w:ascii="Times New Roman" w:eastAsia="Calibri" w:hAnsi="Times New Roman" w:cs="Times New Roman"/>
          <w:noProof/>
          <w:kern w:val="0"/>
          <w:sz w:val="24"/>
          <w:szCs w:val="24"/>
          <w:lang w:val="uk-UA"/>
          <w14:ligatures w14:val="none"/>
        </w:rPr>
        <w:t xml:space="preserve"> </w:t>
      </w:r>
      <w:r w:rsidRPr="003B5892">
        <w:rPr>
          <w:rFonts w:ascii="Times New Roman" w:eastAsia="Calibri" w:hAnsi="Times New Roman" w:cs="Times New Roman"/>
          <w:noProof/>
          <w:kern w:val="0"/>
          <w:sz w:val="24"/>
          <w:szCs w:val="24"/>
          <w14:ligatures w14:val="none"/>
        </w:rPr>
        <w:t>potreb</w:t>
      </w:r>
      <w:r w:rsidRPr="003B5892">
        <w:rPr>
          <w:rFonts w:ascii="Times New Roman" w:eastAsia="Calibri" w:hAnsi="Times New Roman" w:cs="Times New Roman"/>
          <w:noProof/>
          <w:kern w:val="0"/>
          <w:sz w:val="24"/>
          <w:szCs w:val="24"/>
          <w:lang w:val="uk-UA"/>
          <w14:ligatures w14:val="none"/>
        </w:rPr>
        <w:t xml:space="preserve"> </w:t>
      </w:r>
      <w:r w:rsidRPr="003B5892">
        <w:rPr>
          <w:rFonts w:ascii="Times New Roman" w:eastAsia="Calibri" w:hAnsi="Times New Roman" w:cs="Times New Roman"/>
          <w:noProof/>
          <w:kern w:val="0"/>
          <w:sz w:val="24"/>
          <w:szCs w:val="24"/>
          <w14:ligatures w14:val="none"/>
        </w:rPr>
        <w:t>Zbroinykh</w:t>
      </w:r>
      <w:r w:rsidRPr="003B5892">
        <w:rPr>
          <w:rFonts w:ascii="Times New Roman" w:eastAsia="Calibri" w:hAnsi="Times New Roman" w:cs="Times New Roman"/>
          <w:noProof/>
          <w:kern w:val="0"/>
          <w:sz w:val="24"/>
          <w:szCs w:val="24"/>
          <w:lang w:val="uk-UA"/>
          <w14:ligatures w14:val="none"/>
        </w:rPr>
        <w:t xml:space="preserve"> </w:t>
      </w:r>
      <w:r w:rsidRPr="003B5892">
        <w:rPr>
          <w:rFonts w:ascii="Times New Roman" w:eastAsia="Calibri" w:hAnsi="Times New Roman" w:cs="Times New Roman"/>
          <w:noProof/>
          <w:kern w:val="0"/>
          <w:sz w:val="24"/>
          <w:szCs w:val="24"/>
          <w14:ligatures w14:val="none"/>
        </w:rPr>
        <w:t>Syl</w:t>
      </w:r>
      <w:r w:rsidRPr="003B5892">
        <w:rPr>
          <w:rFonts w:ascii="Times New Roman" w:eastAsia="Calibri" w:hAnsi="Times New Roman" w:cs="Times New Roman"/>
          <w:noProof/>
          <w:kern w:val="0"/>
          <w:sz w:val="24"/>
          <w:szCs w:val="24"/>
          <w:lang w:val="uk-UA"/>
          <w14:ligatures w14:val="none"/>
        </w:rPr>
        <w:t xml:space="preserve"> </w:t>
      </w:r>
      <w:r w:rsidRPr="003B5892">
        <w:rPr>
          <w:rFonts w:ascii="Times New Roman" w:eastAsia="Calibri" w:hAnsi="Times New Roman" w:cs="Times New Roman"/>
          <w:noProof/>
          <w:kern w:val="0"/>
          <w:sz w:val="24"/>
          <w:szCs w:val="24"/>
          <w14:ligatures w14:val="none"/>
        </w:rPr>
        <w:t>Ukrainy</w:t>
      </w:r>
      <w:r w:rsidRPr="003B5892">
        <w:rPr>
          <w:rFonts w:ascii="Times New Roman" w:eastAsia="Calibri" w:hAnsi="Times New Roman" w:cs="Times New Roman"/>
          <w:noProof/>
          <w:kern w:val="0"/>
          <w:sz w:val="24"/>
          <w:szCs w:val="24"/>
          <w:lang w:val="uk-UA"/>
          <w14:ligatures w14:val="none"/>
        </w:rPr>
        <w:t xml:space="preserve">”. </w:t>
      </w:r>
      <w:r w:rsidRPr="003B5892">
        <w:rPr>
          <w:rFonts w:ascii="Times New Roman" w:eastAsia="Calibri" w:hAnsi="Times New Roman" w:cs="Times New Roman"/>
          <w:noProof/>
          <w:kern w:val="0"/>
          <w:sz w:val="24"/>
          <w:szCs w:val="24"/>
          <w14:ligatures w14:val="none"/>
        </w:rPr>
        <w:t>Shyfr “Manevr” (ostatochnyi), inv. 12370. Natsionalnyi universytet oborony Ukrainy, Kyiv, 2023. 251s. URL: https://nuou.org.ua/assets/files/kvp/kvp-manevr-2023.pdf.</w:t>
      </w:r>
    </w:p>
    <w:p w14:paraId="7562ED0A"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noProof/>
          <w:kern w:val="0"/>
          <w:sz w:val="24"/>
          <w:szCs w:val="24"/>
          <w14:ligatures w14:val="none"/>
        </w:rPr>
      </w:pPr>
      <w:r w:rsidRPr="003B5892">
        <w:rPr>
          <w:rFonts w:ascii="Times New Roman" w:eastAsia="Calibri" w:hAnsi="Times New Roman" w:cs="Times New Roman"/>
          <w:noProof/>
          <w:kern w:val="0"/>
          <w:sz w:val="24"/>
          <w:szCs w:val="24"/>
          <w14:ligatures w14:val="none"/>
        </w:rPr>
        <w:t>6. Zvit pro operatyvne zavdannia “Rozroblennia rekomendatsii do perspektyvnoi modeli viiskovoi pidhotovky hromadian Ukrainy za prohramoiu pidhotovky ofitseriv zapasu”. Shyfr “Rezerv”. Natsionalnyi universytet oborony Ukrainy imeni Ministerstva oborony Ukrainy, Kyiv, 2023. 107 s.</w:t>
      </w:r>
    </w:p>
    <w:p w14:paraId="6F2C838E"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noProof/>
          <w:kern w:val="0"/>
          <w:sz w:val="24"/>
          <w:szCs w:val="24"/>
          <w:lang w:val="uk-UA"/>
          <w14:ligatures w14:val="none"/>
        </w:rPr>
      </w:pPr>
      <w:r w:rsidRPr="003B5892">
        <w:rPr>
          <w:rFonts w:ascii="Times New Roman" w:eastAsia="Calibri" w:hAnsi="Times New Roman" w:cs="Times New Roman"/>
          <w:noProof/>
          <w:kern w:val="0"/>
          <w:sz w:val="24"/>
          <w:szCs w:val="24"/>
          <w14:ligatures w14:val="none"/>
        </w:rPr>
        <w:t>7. Bryzhatyi Ye. Viiskova osvita v konteksti natsionalnoi bezpeky ta oborony suchasnyi pidkhid // Viiskova osvita. Zb. nauk. pr. Natsionalnoho universytetu oborony Ukrainy im. Ivana Cherniakhovskoho. 2020. №1(41). S.35-45</w:t>
      </w:r>
      <w:r w:rsidRPr="003B5892">
        <w:rPr>
          <w:rFonts w:ascii="Times New Roman" w:eastAsia="Calibri" w:hAnsi="Times New Roman" w:cs="Times New Roman"/>
          <w:noProof/>
          <w:kern w:val="0"/>
          <w:sz w:val="24"/>
          <w:szCs w:val="24"/>
          <w:lang w:val="uk-UA"/>
          <w14:ligatures w14:val="none"/>
        </w:rPr>
        <w:t>.</w:t>
      </w:r>
    </w:p>
    <w:p w14:paraId="19BFC038"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noProof/>
          <w:kern w:val="0"/>
          <w:sz w:val="24"/>
          <w:szCs w:val="24"/>
          <w14:ligatures w14:val="none"/>
        </w:rPr>
      </w:pPr>
      <w:r w:rsidRPr="003B5892">
        <w:rPr>
          <w:rFonts w:ascii="Times New Roman" w:eastAsia="Calibri" w:hAnsi="Times New Roman" w:cs="Times New Roman"/>
          <w:noProof/>
          <w:kern w:val="0"/>
          <w:sz w:val="24"/>
          <w:szCs w:val="24"/>
          <w14:ligatures w14:val="none"/>
        </w:rPr>
        <w:t>8. Morozov S.M. Pedahohichni zasady profesiinoi pidhotovky ofitseriv zapasu vyshchykh navchalnykh zakladiv / S. M. Morozov // Zbirnyk naukovykh prats Natsionalnoi akademii Derzhavnoi prykordonnoi sluzhby Ukrainy. Seriia: Pedahohichni ta psykholohichni nauky – 2013. – № 1 (66). – S. 127-137. URL: http://nbuv.gov.ua/UJRN/znpnapv_ppn_2013_1_16.</w:t>
      </w:r>
    </w:p>
    <w:p w14:paraId="6C3DF1E4"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noProof/>
          <w:kern w:val="0"/>
          <w:sz w:val="24"/>
          <w:szCs w:val="24"/>
          <w14:ligatures w14:val="none"/>
        </w:rPr>
      </w:pPr>
      <w:r w:rsidRPr="003B5892">
        <w:rPr>
          <w:rFonts w:ascii="Times New Roman" w:eastAsia="Calibri" w:hAnsi="Times New Roman" w:cs="Times New Roman"/>
          <w:noProof/>
          <w:kern w:val="0"/>
          <w:sz w:val="24"/>
          <w:szCs w:val="24"/>
          <w14:ligatures w14:val="none"/>
        </w:rPr>
        <w:t>9. Chabanenko V.P. Osoblyvosti orhanizatsii viiskovo-pedahohichnoho protsesu na kafedrakh viiskovoi pidhotovky tsyvilnykh vyshchykh navchalnykh zakladiv / V. P. Chabanenko// Zbirnyk naukovykh prats: Viiskova osvita – 2007. – Vyp. 2 (20). – S. 32-39.</w:t>
      </w:r>
    </w:p>
    <w:p w14:paraId="1F75B7F5"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noProof/>
          <w:kern w:val="0"/>
          <w:sz w:val="24"/>
          <w:szCs w:val="24"/>
          <w14:ligatures w14:val="none"/>
        </w:rPr>
      </w:pPr>
      <w:r w:rsidRPr="003B5892">
        <w:rPr>
          <w:rFonts w:ascii="Times New Roman" w:eastAsia="Calibri" w:hAnsi="Times New Roman" w:cs="Times New Roman"/>
          <w:noProof/>
          <w:kern w:val="0"/>
          <w:sz w:val="24"/>
          <w:szCs w:val="24"/>
          <w14:ligatures w14:val="none"/>
        </w:rPr>
        <w:t>10. Skvorok I. M. Pidhotovka ofitseriv zapasu v zarubizhnykh krainakh. Viiskova osvita. 2013. № 1. S. 207–216.</w:t>
      </w:r>
    </w:p>
    <w:p w14:paraId="021EFCDD"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noProof/>
          <w:kern w:val="0"/>
          <w:sz w:val="24"/>
          <w:szCs w:val="24"/>
          <w14:ligatures w14:val="none"/>
        </w:rPr>
      </w:pPr>
      <w:r w:rsidRPr="003B5892">
        <w:rPr>
          <w:rFonts w:ascii="Times New Roman" w:eastAsia="Calibri" w:hAnsi="Times New Roman" w:cs="Times New Roman"/>
          <w:noProof/>
          <w:kern w:val="0"/>
          <w:sz w:val="24"/>
          <w:szCs w:val="24"/>
          <w14:ligatures w14:val="none"/>
        </w:rPr>
        <w:t xml:space="preserve">11. Derevianchuk A.Y. Motyvatsiia i stymuliuvannia studentiv kafedr viiskovoi pidhotovky v umovakh obmezhenykh chasom i ozbroienniam / A. Y. Derevianchuk, O. F. Suprun // Imidzh suchasnoho pedahoha. – 2014. – № 7. – S. 24-27. URL: http://nbuv.gov.ua/UJRN/isp_2014_7_9. </w:t>
      </w:r>
    </w:p>
    <w:p w14:paraId="79D74901"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noProof/>
          <w:kern w:val="0"/>
          <w:sz w:val="24"/>
          <w:szCs w:val="24"/>
          <w14:ligatures w14:val="none"/>
        </w:rPr>
      </w:pPr>
      <w:r w:rsidRPr="003B5892">
        <w:rPr>
          <w:rFonts w:ascii="Times New Roman" w:eastAsia="Calibri" w:hAnsi="Times New Roman" w:cs="Times New Roman"/>
          <w:noProof/>
          <w:kern w:val="0"/>
          <w:sz w:val="24"/>
          <w:szCs w:val="24"/>
          <w14:ligatures w14:val="none"/>
        </w:rPr>
        <w:t>12. Pro Vyshchu osvitu [On Higher Education]: Zakon Ukrainy vid 1 lypnia 2014 r. № 1556-VII. Vidomosti Verkhovnoi Rady Ukrainy. – [Elektronnyi resurs]. URL: https://zakon.rada.gov.ua/laws/show/1556-18#Text.</w:t>
      </w:r>
    </w:p>
    <w:p w14:paraId="53189756"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noProof/>
          <w:kern w:val="0"/>
          <w:sz w:val="24"/>
          <w:szCs w:val="24"/>
          <w:lang w:val="uk-UA"/>
          <w14:ligatures w14:val="none"/>
        </w:rPr>
      </w:pPr>
      <w:r w:rsidRPr="003B5892">
        <w:rPr>
          <w:rFonts w:ascii="Times New Roman" w:eastAsia="Calibri" w:hAnsi="Times New Roman" w:cs="Times New Roman"/>
          <w:noProof/>
          <w:kern w:val="0"/>
          <w:sz w:val="24"/>
          <w:szCs w:val="24"/>
          <w14:ligatures w14:val="none"/>
        </w:rPr>
        <w:t>13. Pro zatverdzhennia Polozhennia pro osoblyvosti orhanizatsii osvitnoho protsesu u vyshchykh viiskovykh navchalnykh zakladakh Ministerstva oborony Ukrainy, viiskovykh navchalnykh pidrozdilakh zakladiv vyshchoi osvity, zakladakh fakhovoi peredvyshchoi viiskovoi osvity [On approval of the Regulations on the peculiarities of the organization of the educational process in higher military educational institutions of the Ministry of Defense of Ukraine, military training units of higher education institutions, institutions of professional pre-higher military education]: nakaz Ministerstva oborony Ukrainy vid 15.02.2024 № 120. – [Elektronnyi resurs]. URL: https://zakon.rada.gov.ua/laws/show/z0453-24#Text</w:t>
      </w:r>
      <w:r w:rsidRPr="003B5892">
        <w:rPr>
          <w:rFonts w:ascii="Times New Roman" w:eastAsia="Calibri" w:hAnsi="Times New Roman" w:cs="Times New Roman"/>
          <w:noProof/>
          <w:kern w:val="0"/>
          <w:sz w:val="24"/>
          <w:szCs w:val="24"/>
          <w:lang w:val="uk-UA"/>
          <w14:ligatures w14:val="none"/>
        </w:rPr>
        <w:t>.</w:t>
      </w:r>
    </w:p>
    <w:p w14:paraId="7172A544"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noProof/>
          <w:kern w:val="0"/>
          <w:sz w:val="24"/>
          <w:szCs w:val="24"/>
          <w14:ligatures w14:val="none"/>
        </w:rPr>
      </w:pPr>
      <w:r w:rsidRPr="003B5892">
        <w:rPr>
          <w:rFonts w:ascii="Times New Roman" w:eastAsia="Calibri" w:hAnsi="Times New Roman" w:cs="Times New Roman"/>
          <w:noProof/>
          <w:kern w:val="0"/>
          <w:sz w:val="24"/>
          <w:szCs w:val="24"/>
          <w14:ligatures w14:val="none"/>
        </w:rPr>
        <w:lastRenderedPageBreak/>
        <w:t>14. Pro zatverdzhennia Rozpodilu osnovnykh zavdan z podalshoho rozvytku viiskovoi osvity mizh Ministerstvom oborony Ukrainy ta orhanamy viiskovoho upravlinnia Zbroinykh Syl Ukrainy [On approval of the Distribution of the main tasks for the further development of military education between the Ministry of Defense of Ukraine and the military command bodies of the Armed Forces of Ukraine]: nakaz Ministerstva oborony Ukrainy vid 24.06.2024 № 414. – [Elektronnyi resurs]. URL: https://mod.gov.ua/diyalnist/normativno-pravova-baza/nakaz-ministerstva-oboroni-ukraini-vid-24-06-2024-n-414-pro-zatverdzhennia-rozpodilu-osnovnikh-zavdan-z-podalshogo-rozvitku-viiskovoi-osviti-mizh-ministerstvom-oboroni-ukraini-ta-organami-viiskovogo.</w:t>
      </w:r>
    </w:p>
    <w:p w14:paraId="563B188A"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noProof/>
          <w:kern w:val="0"/>
          <w:sz w:val="24"/>
          <w:szCs w:val="24"/>
          <w14:ligatures w14:val="none"/>
        </w:rPr>
      </w:pPr>
      <w:r w:rsidRPr="003B5892">
        <w:rPr>
          <w:rFonts w:ascii="Times New Roman" w:eastAsia="Calibri" w:hAnsi="Times New Roman" w:cs="Times New Roman"/>
          <w:noProof/>
          <w:kern w:val="0"/>
          <w:sz w:val="24"/>
          <w:szCs w:val="24"/>
          <w14:ligatures w14:val="none"/>
        </w:rPr>
        <w:t>15. Pro zatverdzhennia Poriadku provedennia viiskovoi pidhotovky hromadian Ukrainy za prohramoiu pidhotovky ofitseriv zapasu [On approval of the Procedure for conducting military training of citizens of Ukraine under the reserve officer training program]: Postanova Kabinetu Ministriv Ukrainy vid 1 liutoho 2012 r. № 48 (zi zminamy). – [Elektronnyi resurs].  URL: https://zakon.rada.gov.ua/laws/show/48-2012-%D0%BF#Text.</w:t>
      </w:r>
    </w:p>
    <w:p w14:paraId="34294345"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noProof/>
          <w:kern w:val="0"/>
          <w:sz w:val="24"/>
          <w:szCs w:val="24"/>
          <w14:ligatures w14:val="none"/>
        </w:rPr>
      </w:pPr>
      <w:r w:rsidRPr="003B5892">
        <w:rPr>
          <w:rFonts w:ascii="Times New Roman" w:eastAsia="Calibri" w:hAnsi="Times New Roman" w:cs="Times New Roman"/>
          <w:noProof/>
          <w:kern w:val="0"/>
          <w:sz w:val="24"/>
          <w:szCs w:val="24"/>
          <w14:ligatures w14:val="none"/>
        </w:rPr>
        <w:t>16. Pro zatverdzhennia Instruktsii pro orhanizatsiiu ta provedennia viiskovo-profesiinoi oriientatsii molodi ta pryiomu do vyshchykh viiskovykh navchalnykh zakladiv ta viiskovykh navchalnykh pidrozdiliv zakladiv vyshchoi osvity [On approval of the Instruction on the organization and conduct of military-professional orientation of youth and admission to higher military educational institutions and military training units of higher education institutions</w:t>
      </w:r>
      <w:r w:rsidRPr="003B5892">
        <w:rPr>
          <w:rFonts w:ascii="Times New Roman" w:eastAsia="Calibri" w:hAnsi="Times New Roman" w:cs="Calibri"/>
          <w:noProof/>
          <w:kern w:val="0"/>
          <w:sz w:val="24"/>
          <w:szCs w:val="24"/>
          <w14:ligatures w14:val="none"/>
        </w:rPr>
        <w:t>]</w:t>
      </w:r>
      <w:r w:rsidRPr="003B5892">
        <w:rPr>
          <w:rFonts w:ascii="Times New Roman" w:eastAsia="Calibri" w:hAnsi="Times New Roman" w:cs="Times New Roman"/>
          <w:noProof/>
          <w:kern w:val="0"/>
          <w:sz w:val="24"/>
          <w:szCs w:val="24"/>
          <w14:ligatures w14:val="none"/>
        </w:rPr>
        <w:t xml:space="preserve">: nakaz Ministerstva oborony Ukrainy vid 05.06.2014 № 360 (zi zminamy) ). – [Elektronnyi resurs].  URL: https://zakon.rada.gov.ua/laws/show/z1285-24#Text. </w:t>
      </w:r>
    </w:p>
    <w:p w14:paraId="2E067F71"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noProof/>
          <w:kern w:val="0"/>
          <w:sz w:val="24"/>
          <w:szCs w:val="24"/>
          <w14:ligatures w14:val="none"/>
        </w:rPr>
      </w:pPr>
      <w:r w:rsidRPr="003B5892">
        <w:rPr>
          <w:rFonts w:ascii="Times New Roman" w:eastAsia="Calibri" w:hAnsi="Times New Roman" w:cs="Times New Roman"/>
          <w:noProof/>
          <w:kern w:val="0"/>
          <w:sz w:val="24"/>
          <w:szCs w:val="24"/>
          <w14:ligatures w14:val="none"/>
        </w:rPr>
        <w:t>17. Pro zatverdzhennia Instruktsii pro orhanizatsiiu ta provedennia viiskovo-profesiinoi oriientatsii hromadian Ukrainy i pryiomu na navchannia do zakladiv fakhovoi peredvyshchoi viiskovoi osvity, vyshchykh viiskovykh navchalnykh zakladiv, viiskovykh navchalnykh pidrozdiliv zakladiv vyshchoi osvity ta naukovykh ustanov u systemi Ministerstva oborony Ukrainy [On approval of the Instruction on the organization and conduct of military-professional orientation of citizens of Ukraine and admission to institutions of professional pre-higher military education, higher military educational institutions, military training units of institutions of higher education and scientific institutions in the system of the Ministry of Defense of Ukraine]: nakaz Ministerstva oborony Ukrainy vid 16.07.2024 №</w:t>
      </w:r>
      <w:r w:rsidRPr="003B5892">
        <w:rPr>
          <w:rFonts w:ascii="Times New Roman" w:eastAsia="Calibri" w:hAnsi="Times New Roman" w:cs="Times New Roman"/>
          <w:noProof/>
          <w:kern w:val="0"/>
          <w:sz w:val="24"/>
          <w:szCs w:val="24"/>
          <w:lang w:val="uk-UA"/>
          <w14:ligatures w14:val="none"/>
        </w:rPr>
        <w:t> </w:t>
      </w:r>
      <w:r w:rsidRPr="003B5892">
        <w:rPr>
          <w:rFonts w:ascii="Times New Roman" w:eastAsia="Calibri" w:hAnsi="Times New Roman" w:cs="Times New Roman"/>
          <w:noProof/>
          <w:kern w:val="0"/>
          <w:sz w:val="24"/>
          <w:szCs w:val="24"/>
          <w14:ligatures w14:val="none"/>
        </w:rPr>
        <w:t xml:space="preserve">479. – [Elektronnyi resurs]. URL: </w:t>
      </w:r>
      <w:hyperlink r:id="rId191" w:anchor="Text" w:history="1">
        <w:r w:rsidRPr="003B5892">
          <w:rPr>
            <w:rFonts w:ascii="Times New Roman" w:eastAsia="Calibri" w:hAnsi="Times New Roman" w:cs="Times New Roman"/>
            <w:noProof/>
            <w:kern w:val="0"/>
            <w:sz w:val="24"/>
            <w:szCs w:val="24"/>
            <w14:ligatures w14:val="none"/>
          </w:rPr>
          <w:t>https://zakon.rada.gov.ua/laws/show/z#Text</w:t>
        </w:r>
      </w:hyperlink>
      <w:r w:rsidRPr="003B5892">
        <w:rPr>
          <w:rFonts w:ascii="Times New Roman" w:eastAsia="Calibri" w:hAnsi="Times New Roman" w:cs="Times New Roman"/>
          <w:noProof/>
          <w:kern w:val="0"/>
          <w:sz w:val="24"/>
          <w:szCs w:val="24"/>
          <w14:ligatures w14:val="none"/>
        </w:rPr>
        <w:t>.</w:t>
      </w:r>
    </w:p>
    <w:p w14:paraId="4A53CF91" w14:textId="77777777" w:rsidR="00385184" w:rsidRPr="003B5892" w:rsidRDefault="00385184" w:rsidP="00023291">
      <w:pPr>
        <w:tabs>
          <w:tab w:val="left" w:pos="9638"/>
        </w:tabs>
        <w:spacing w:after="0" w:line="240" w:lineRule="auto"/>
        <w:ind w:firstLine="709"/>
        <w:jc w:val="both"/>
        <w:rPr>
          <w:rFonts w:ascii="Times New Roman" w:eastAsia="Calibri" w:hAnsi="Times New Roman" w:cs="Times New Roman"/>
          <w:noProof/>
          <w:kern w:val="0"/>
          <w:sz w:val="24"/>
          <w:szCs w:val="24"/>
          <w14:ligatures w14:val="none"/>
        </w:rPr>
      </w:pPr>
      <w:r w:rsidRPr="003B5892">
        <w:rPr>
          <w:rFonts w:ascii="Times New Roman" w:eastAsia="Calibri" w:hAnsi="Times New Roman" w:cs="Times New Roman"/>
          <w:noProof/>
          <w:kern w:val="0"/>
          <w:sz w:val="24"/>
          <w:szCs w:val="24"/>
          <w14:ligatures w14:val="none"/>
        </w:rPr>
        <w:t>18. Pro orhanizatsiyu pidhotovky ofitsersʹkoho, serzhant·sʹkoho i starshynsʹkoho skladu u vyshchykh viysʹkovykh navchalʹnykh zakladakh, zakladakh fakhovoyi peredvyshchoyi viysʹkovoyi osvity Ministerstva oborony Ukrayiny ta viysʹkovykh navchalʹnykh pidrozdilakh zakladiv vyshchoyi osvity: [On the organization of training of officers, sergeants and non-commissioned officers in higher military educational institutions, institutions of professional pre-higher military education of the Ministry of Defense of Ukraine and military training units of higher education institutions] nakaz Ministerstva oborony Ukrayiny vid 05.07.2022 №175. – [Elektronnyy resurs]. URL: https://zakon.rada.gov.ua/rada/show/v0175322-22#Text.</w:t>
      </w:r>
    </w:p>
    <w:p w14:paraId="4603BC38" w14:textId="77777777" w:rsidR="00385184" w:rsidRPr="003B5892" w:rsidRDefault="00385184" w:rsidP="001F540E">
      <w:pPr>
        <w:tabs>
          <w:tab w:val="left" w:pos="9638"/>
        </w:tabs>
        <w:spacing w:after="0" w:line="240" w:lineRule="auto"/>
        <w:rPr>
          <w:rFonts w:ascii="Times New Roman" w:eastAsia="Calibri" w:hAnsi="Times New Roman" w:cs="Times New Roman"/>
          <w:b/>
          <w:kern w:val="0"/>
          <w:sz w:val="24"/>
          <w:szCs w:val="24"/>
          <w:lang w:val="uk-UA"/>
          <w14:ligatures w14:val="none"/>
        </w:rPr>
      </w:pPr>
    </w:p>
    <w:p w14:paraId="18588A69" w14:textId="77777777" w:rsidR="00385184" w:rsidRPr="003B5892" w:rsidRDefault="00385184" w:rsidP="00023291">
      <w:pPr>
        <w:tabs>
          <w:tab w:val="left" w:pos="9638"/>
        </w:tabs>
        <w:spacing w:after="0" w:line="240" w:lineRule="auto"/>
        <w:jc w:val="center"/>
        <w:rPr>
          <w:rFonts w:ascii="Times New Roman" w:eastAsia="Calibri" w:hAnsi="Times New Roman" w:cs="Times New Roman"/>
          <w:b/>
          <w:kern w:val="0"/>
          <w:sz w:val="24"/>
          <w:szCs w:val="24"/>
          <w14:ligatures w14:val="none"/>
        </w:rPr>
      </w:pPr>
      <w:r w:rsidRPr="003B5892">
        <w:rPr>
          <w:rFonts w:ascii="Times New Roman" w:eastAsia="Calibri" w:hAnsi="Times New Roman" w:cs="Times New Roman"/>
          <w:b/>
          <w:kern w:val="0"/>
          <w:sz w:val="24"/>
          <w:szCs w:val="24"/>
          <w14:ligatures w14:val="none"/>
        </w:rPr>
        <w:t>SUMMARY</w:t>
      </w:r>
    </w:p>
    <w:p w14:paraId="17C29E5C" w14:textId="77777777" w:rsidR="00385184" w:rsidRPr="003B5892" w:rsidRDefault="00385184" w:rsidP="00023291">
      <w:pPr>
        <w:tabs>
          <w:tab w:val="left" w:pos="9638"/>
        </w:tabs>
        <w:spacing w:after="0" w:line="240" w:lineRule="auto"/>
        <w:jc w:val="center"/>
        <w:rPr>
          <w:rFonts w:ascii="Times New Roman" w:eastAsia="Calibri" w:hAnsi="Times New Roman" w:cs="Times New Roman"/>
          <w:b/>
          <w:kern w:val="0"/>
          <w:sz w:val="24"/>
          <w:szCs w:val="24"/>
          <w14:ligatures w14:val="none"/>
        </w:rPr>
      </w:pPr>
    </w:p>
    <w:p w14:paraId="102399EF" w14:textId="77777777" w:rsidR="001314C1" w:rsidRPr="001314C1" w:rsidRDefault="001314C1" w:rsidP="001314C1">
      <w:pPr>
        <w:suppressAutoHyphens/>
        <w:spacing w:after="0" w:line="240" w:lineRule="auto"/>
        <w:jc w:val="right"/>
        <w:rPr>
          <w:rFonts w:ascii="Times New Roman" w:eastAsia="Times New Roman" w:hAnsi="Times New Roman" w:cs="Times New Roman"/>
          <w:b/>
          <w:bCs/>
          <w:kern w:val="0"/>
          <w:sz w:val="24"/>
          <w:szCs w:val="24"/>
          <w:lang w:eastAsia="uk-UA"/>
          <w14:ligatures w14:val="none"/>
        </w:rPr>
      </w:pPr>
      <w:r w:rsidRPr="001314C1">
        <w:rPr>
          <w:rFonts w:ascii="Times New Roman" w:eastAsia="Times New Roman" w:hAnsi="Times New Roman" w:cs="Times New Roman"/>
          <w:b/>
          <w:bCs/>
          <w:kern w:val="0"/>
          <w:sz w:val="24"/>
          <w:szCs w:val="24"/>
          <w:lang w:eastAsia="uk-UA"/>
          <w14:ligatures w14:val="none"/>
        </w:rPr>
        <w:t>Mykola Dumenko</w:t>
      </w:r>
      <w:r w:rsidRPr="001314C1">
        <w:rPr>
          <w:rFonts w:ascii="Times New Roman" w:eastAsia="Times New Roman" w:hAnsi="Times New Roman" w:cs="Times New Roman"/>
          <w:b/>
          <w:bCs/>
          <w:kern w:val="0"/>
          <w:sz w:val="24"/>
          <w:szCs w:val="24"/>
          <w:lang w:val="uk-UA" w:eastAsia="uk-UA"/>
          <w14:ligatures w14:val="none"/>
        </w:rPr>
        <w:t>,</w:t>
      </w:r>
      <w:r w:rsidRPr="001314C1">
        <w:rPr>
          <w:rFonts w:ascii="Times New Roman" w:eastAsia="Times New Roman" w:hAnsi="Times New Roman" w:cs="Times New Roman"/>
          <w:b/>
          <w:bCs/>
          <w:kern w:val="0"/>
          <w:sz w:val="24"/>
          <w:szCs w:val="24"/>
          <w:lang w:eastAsia="uk-UA"/>
          <w14:ligatures w14:val="none"/>
        </w:rPr>
        <w:t xml:space="preserve"> </w:t>
      </w:r>
    </w:p>
    <w:p w14:paraId="40D523CA" w14:textId="77777777" w:rsidR="001314C1" w:rsidRPr="001314C1" w:rsidRDefault="001314C1" w:rsidP="001314C1">
      <w:pPr>
        <w:suppressAutoHyphens/>
        <w:spacing w:after="0" w:line="240" w:lineRule="auto"/>
        <w:jc w:val="right"/>
        <w:rPr>
          <w:rFonts w:ascii="Times New Roman" w:eastAsia="Times New Roman" w:hAnsi="Times New Roman" w:cs="Times New Roman"/>
          <w:kern w:val="0"/>
          <w:sz w:val="24"/>
          <w:szCs w:val="24"/>
          <w:lang w:eastAsia="uk-UA"/>
          <w14:ligatures w14:val="none"/>
        </w:rPr>
      </w:pPr>
      <w:r w:rsidRPr="001314C1">
        <w:rPr>
          <w:rFonts w:ascii="Times New Roman" w:eastAsia="Times New Roman" w:hAnsi="Times New Roman" w:cs="Times New Roman"/>
          <w:kern w:val="0"/>
          <w:sz w:val="24"/>
          <w:szCs w:val="24"/>
          <w:lang w:eastAsia="uk-UA"/>
          <w14:ligatures w14:val="none"/>
        </w:rPr>
        <w:t xml:space="preserve"> Doctor of Military Sciences </w:t>
      </w:r>
    </w:p>
    <w:p w14:paraId="4BCADE8A" w14:textId="77777777" w:rsidR="001314C1" w:rsidRPr="001314C1" w:rsidRDefault="001314C1" w:rsidP="001314C1">
      <w:pPr>
        <w:shd w:val="clear" w:color="auto" w:fill="FFFFFF"/>
        <w:suppressAutoHyphens/>
        <w:spacing w:after="0" w:line="240" w:lineRule="auto"/>
        <w:ind w:right="-29"/>
        <w:jc w:val="right"/>
        <w:rPr>
          <w:rFonts w:ascii="Times New Roman" w:eastAsia="Times New Roman" w:hAnsi="Times New Roman" w:cs="Times New Roman"/>
          <w:kern w:val="0"/>
          <w:sz w:val="24"/>
          <w:szCs w:val="24"/>
          <w:lang w:eastAsia="uk-UA"/>
          <w14:ligatures w14:val="none"/>
        </w:rPr>
      </w:pPr>
      <w:r w:rsidRPr="001314C1">
        <w:rPr>
          <w:rFonts w:ascii="Times New Roman" w:eastAsia="Times New Roman" w:hAnsi="Times New Roman" w:cs="Times New Roman"/>
          <w:kern w:val="0"/>
          <w:sz w:val="24"/>
          <w:szCs w:val="24"/>
          <w:lang w:eastAsia="uk-UA"/>
          <w14:ligatures w14:val="none"/>
        </w:rPr>
        <w:t xml:space="preserve">Ministry of </w:t>
      </w:r>
      <w:r w:rsidRPr="00F25FCF">
        <w:rPr>
          <w:rFonts w:ascii="Times New Roman" w:eastAsia="Times New Roman" w:hAnsi="Times New Roman" w:cs="Times New Roman"/>
          <w:kern w:val="0"/>
          <w:sz w:val="24"/>
          <w:szCs w:val="24"/>
          <w:lang w:eastAsia="uk-UA"/>
          <w14:ligatures w14:val="none"/>
        </w:rPr>
        <w:t>Defence</w:t>
      </w:r>
      <w:r w:rsidRPr="001314C1">
        <w:rPr>
          <w:rFonts w:ascii="Times New Roman" w:eastAsia="Times New Roman" w:hAnsi="Times New Roman" w:cs="Times New Roman"/>
          <w:kern w:val="0"/>
          <w:sz w:val="24"/>
          <w:szCs w:val="24"/>
          <w:lang w:eastAsia="uk-UA"/>
          <w14:ligatures w14:val="none"/>
        </w:rPr>
        <w:t xml:space="preserve"> of Ukraine, Kyiv</w:t>
      </w:r>
    </w:p>
    <w:p w14:paraId="40C82C06" w14:textId="77777777" w:rsidR="001314C1" w:rsidRPr="00B15B58" w:rsidRDefault="001314C1" w:rsidP="001314C1">
      <w:pPr>
        <w:suppressAutoHyphens/>
        <w:spacing w:after="0" w:line="240" w:lineRule="auto"/>
        <w:jc w:val="right"/>
        <w:rPr>
          <w:rFonts w:ascii="Times New Roman" w:eastAsia="Times New Roman" w:hAnsi="Times New Roman" w:cs="Times New Roman"/>
          <w:b/>
          <w:kern w:val="0"/>
          <w:sz w:val="24"/>
          <w:szCs w:val="24"/>
          <w:lang w:eastAsia="uk-UA"/>
          <w14:ligatures w14:val="none"/>
        </w:rPr>
      </w:pPr>
      <w:r w:rsidRPr="00B15B58">
        <w:rPr>
          <w:rFonts w:ascii="Times New Roman" w:eastAsia="Times New Roman" w:hAnsi="Times New Roman" w:cs="Times New Roman"/>
          <w:b/>
          <w:kern w:val="0"/>
          <w:sz w:val="24"/>
          <w:szCs w:val="24"/>
          <w:lang w:eastAsia="uk-UA"/>
          <w14:ligatures w14:val="none"/>
        </w:rPr>
        <w:t>Arkadii Atrokhov,</w:t>
      </w:r>
    </w:p>
    <w:p w14:paraId="5A4DBE7D" w14:textId="77777777" w:rsidR="001314C1" w:rsidRPr="001314C1" w:rsidRDefault="001314C1" w:rsidP="001314C1">
      <w:pPr>
        <w:suppressAutoHyphens/>
        <w:spacing w:after="0" w:line="240" w:lineRule="auto"/>
        <w:jc w:val="right"/>
        <w:rPr>
          <w:rFonts w:ascii="Times New Roman" w:eastAsia="Times New Roman" w:hAnsi="Times New Roman" w:cs="Times New Roman"/>
          <w:kern w:val="0"/>
          <w:sz w:val="24"/>
          <w:szCs w:val="24"/>
          <w:lang w:eastAsia="uk-UA"/>
          <w14:ligatures w14:val="none"/>
        </w:rPr>
      </w:pPr>
      <w:r w:rsidRPr="001314C1">
        <w:rPr>
          <w:rFonts w:ascii="Times New Roman" w:eastAsia="Times New Roman" w:hAnsi="Times New Roman" w:cs="Times New Roman"/>
          <w:kern w:val="0"/>
          <w:sz w:val="24"/>
          <w:szCs w:val="24"/>
          <w:lang w:eastAsia="uk-UA"/>
          <w14:ligatures w14:val="none"/>
        </w:rPr>
        <w:t>Candidate of Technical Sciences, Senior Researcher</w:t>
      </w:r>
    </w:p>
    <w:p w14:paraId="7391B938" w14:textId="77777777" w:rsidR="001314C1" w:rsidRPr="001314C1" w:rsidRDefault="001314C1" w:rsidP="001314C1">
      <w:pPr>
        <w:suppressAutoHyphens/>
        <w:spacing w:after="0" w:line="240" w:lineRule="auto"/>
        <w:jc w:val="right"/>
        <w:rPr>
          <w:rFonts w:ascii="inherit" w:eastAsia="Times New Roman" w:hAnsi="inherit" w:cs="Courier New"/>
          <w:kern w:val="0"/>
          <w:sz w:val="24"/>
          <w:szCs w:val="24"/>
          <w:lang w:eastAsia="ru-RU"/>
          <w14:ligatures w14:val="none"/>
        </w:rPr>
      </w:pPr>
      <w:r w:rsidRPr="001314C1">
        <w:rPr>
          <w:rFonts w:ascii="Times New Roman" w:eastAsia="Times New Roman" w:hAnsi="Times New Roman" w:cs="Times New Roman"/>
          <w:kern w:val="0"/>
          <w:sz w:val="24"/>
          <w:szCs w:val="24"/>
          <w:lang w:eastAsia="uk-UA"/>
          <w14:ligatures w14:val="none"/>
        </w:rPr>
        <w:t xml:space="preserve">National </w:t>
      </w:r>
      <w:r w:rsidRPr="00F25FCF">
        <w:rPr>
          <w:rFonts w:ascii="Times New Roman" w:eastAsia="Times New Roman" w:hAnsi="Times New Roman" w:cs="Times New Roman"/>
          <w:kern w:val="0"/>
          <w:sz w:val="24"/>
          <w:szCs w:val="24"/>
          <w:lang w:eastAsia="uk-UA"/>
          <w14:ligatures w14:val="none"/>
        </w:rPr>
        <w:t>Defence</w:t>
      </w:r>
      <w:r w:rsidRPr="001314C1">
        <w:rPr>
          <w:rFonts w:ascii="Times New Roman" w:eastAsia="Times New Roman" w:hAnsi="Times New Roman" w:cs="Times New Roman"/>
          <w:kern w:val="0"/>
          <w:sz w:val="24"/>
          <w:szCs w:val="24"/>
          <w:lang w:eastAsia="uk-UA"/>
          <w14:ligatures w14:val="none"/>
        </w:rPr>
        <w:t xml:space="preserve"> University of Ukraine, Kyiv</w:t>
      </w:r>
    </w:p>
    <w:p w14:paraId="387B8431" w14:textId="77777777" w:rsidR="001314C1" w:rsidRPr="001314C1" w:rsidRDefault="001314C1" w:rsidP="001314C1">
      <w:pPr>
        <w:shd w:val="clear" w:color="auto" w:fill="FFFFFF"/>
        <w:suppressAutoHyphens/>
        <w:spacing w:after="0" w:line="240" w:lineRule="auto"/>
        <w:ind w:right="-29"/>
        <w:jc w:val="right"/>
        <w:rPr>
          <w:rFonts w:ascii="Times New Roman" w:eastAsia="Times New Roman" w:hAnsi="Times New Roman" w:cs="Times New Roman"/>
          <w:kern w:val="0"/>
          <w:sz w:val="24"/>
          <w:szCs w:val="24"/>
          <w:lang w:eastAsia="uk-UA"/>
          <w14:ligatures w14:val="none"/>
        </w:rPr>
      </w:pPr>
    </w:p>
    <w:p w14:paraId="758B2663" w14:textId="77777777" w:rsidR="001314C1" w:rsidRPr="00F25FCF" w:rsidRDefault="001314C1" w:rsidP="00F25FCF">
      <w:pPr>
        <w:suppressAutoHyphens/>
        <w:spacing w:after="0" w:line="240" w:lineRule="auto"/>
        <w:ind w:firstLine="709"/>
        <w:jc w:val="both"/>
        <w:rPr>
          <w:rFonts w:ascii="Times New Roman" w:eastAsia="Times New Roman" w:hAnsi="Times New Roman" w:cs="Times New Roman"/>
          <w:b/>
          <w:i/>
          <w:kern w:val="0"/>
          <w:sz w:val="24"/>
          <w:szCs w:val="24"/>
          <w:lang w:eastAsia="uk-UA"/>
          <w14:ligatures w14:val="none"/>
        </w:rPr>
      </w:pPr>
      <w:r w:rsidRPr="00F25FCF">
        <w:rPr>
          <w:rFonts w:ascii="Times New Roman" w:eastAsia="Times New Roman" w:hAnsi="Times New Roman" w:cs="Times New Roman"/>
          <w:b/>
          <w:i/>
          <w:kern w:val="0"/>
          <w:sz w:val="24"/>
          <w:szCs w:val="24"/>
          <w:lang w:eastAsia="uk-UA"/>
          <w14:ligatures w14:val="none"/>
        </w:rPr>
        <w:t>Problems of Military Training of Citizens of Ukraine under the Reserve Officers Program for the Needs of the Armed Forces of Ukraine and other Military Formations</w:t>
      </w:r>
    </w:p>
    <w:p w14:paraId="764C94F4" w14:textId="77777777" w:rsidR="001314C1" w:rsidRPr="00F25FCF" w:rsidRDefault="001314C1" w:rsidP="001314C1">
      <w:pPr>
        <w:suppressAutoHyphens/>
        <w:spacing w:after="0" w:line="240" w:lineRule="auto"/>
        <w:ind w:firstLine="709"/>
        <w:jc w:val="both"/>
        <w:rPr>
          <w:rFonts w:ascii="Times New Roman" w:eastAsia="Times New Roman" w:hAnsi="Times New Roman" w:cs="Times New Roman"/>
          <w:b/>
          <w:i/>
          <w:kern w:val="0"/>
          <w:sz w:val="24"/>
          <w:szCs w:val="24"/>
          <w:lang w:eastAsia="uk-UA"/>
          <w14:ligatures w14:val="none"/>
        </w:rPr>
      </w:pPr>
    </w:p>
    <w:p w14:paraId="72FB518B" w14:textId="77777777" w:rsidR="001314C1" w:rsidRPr="001314C1" w:rsidRDefault="001314C1" w:rsidP="001314C1">
      <w:pPr>
        <w:suppressAutoHyphens/>
        <w:spacing w:after="0" w:line="240" w:lineRule="auto"/>
        <w:ind w:firstLine="709"/>
        <w:jc w:val="both"/>
        <w:rPr>
          <w:rFonts w:ascii="Times New Roman" w:eastAsia="Times New Roman" w:hAnsi="Times New Roman" w:cs="Times New Roman"/>
          <w:i/>
          <w:kern w:val="0"/>
          <w:sz w:val="24"/>
          <w:szCs w:val="24"/>
          <w:lang w:eastAsia="ru-RU"/>
          <w14:ligatures w14:val="none"/>
        </w:rPr>
      </w:pPr>
      <w:r w:rsidRPr="001314C1">
        <w:rPr>
          <w:rFonts w:ascii="Times New Roman" w:eastAsia="Times New Roman" w:hAnsi="Times New Roman" w:cs="Times New Roman"/>
          <w:b/>
          <w:i/>
          <w:kern w:val="0"/>
          <w:sz w:val="24"/>
          <w:szCs w:val="24"/>
          <w:lang w:eastAsia="uk-UA"/>
          <w14:ligatures w14:val="none"/>
        </w:rPr>
        <w:t xml:space="preserve">Introduction. </w:t>
      </w:r>
      <w:r w:rsidRPr="001314C1">
        <w:rPr>
          <w:rFonts w:ascii="Times New Roman" w:eastAsia="Times New Roman" w:hAnsi="Times New Roman" w:cs="Times New Roman"/>
          <w:i/>
          <w:kern w:val="0"/>
          <w:sz w:val="24"/>
          <w:szCs w:val="24"/>
          <w:lang w:eastAsia="ru-RU"/>
          <w14:ligatures w14:val="none"/>
        </w:rPr>
        <w:t>The article, based on an analysis of the state of military training of Ukrainian citizens under the reserve officer program in higher military educational institutions and military training units of higher education institutions, examines existing problematic issues of training Ukrainian citizens under the reserve officer program as an important element of the state's security and defense sector and possible directions for their solution.</w:t>
      </w:r>
    </w:p>
    <w:p w14:paraId="2E7439E8" w14:textId="77777777" w:rsidR="001314C1" w:rsidRPr="00F25FCF" w:rsidRDefault="001314C1" w:rsidP="001314C1">
      <w:pPr>
        <w:suppressAutoHyphens/>
        <w:spacing w:after="0" w:line="240" w:lineRule="auto"/>
        <w:ind w:firstLine="709"/>
        <w:jc w:val="both"/>
        <w:rPr>
          <w:rFonts w:ascii="Times New Roman" w:eastAsia="Times New Roman" w:hAnsi="Times New Roman" w:cs="Times New Roman"/>
          <w:i/>
          <w:kern w:val="0"/>
          <w:sz w:val="24"/>
          <w:szCs w:val="24"/>
          <w:lang w:eastAsia="uk-UA"/>
          <w14:ligatures w14:val="none"/>
        </w:rPr>
      </w:pPr>
      <w:r w:rsidRPr="001314C1">
        <w:rPr>
          <w:rFonts w:ascii="Times New Roman" w:eastAsia="Times New Roman" w:hAnsi="Times New Roman" w:cs="Times New Roman"/>
          <w:b/>
          <w:i/>
          <w:kern w:val="0"/>
          <w:sz w:val="24"/>
          <w:szCs w:val="24"/>
          <w:lang w:eastAsia="uk-UA"/>
          <w14:ligatures w14:val="none"/>
        </w:rPr>
        <w:t xml:space="preserve">Purpose. </w:t>
      </w:r>
      <w:r w:rsidRPr="00F25FCF">
        <w:rPr>
          <w:rFonts w:ascii="Times New Roman" w:eastAsia="Times New Roman" w:hAnsi="Times New Roman" w:cs="Times New Roman"/>
          <w:i/>
          <w:kern w:val="0"/>
          <w:sz w:val="24"/>
          <w:szCs w:val="24"/>
          <w:lang w:eastAsia="uk-UA"/>
          <w14:ligatures w14:val="none"/>
        </w:rPr>
        <w:t xml:space="preserve">Based on an analysis of the current state of the military training system for Ukrainian citizens under the Reserve Officer Training Program at military higher education institutions, this study investigates current problems in military training in the context of existing security challenges and threats and identifies recommendations for improving the current system of military training for Ukrainian citizens. </w:t>
      </w:r>
    </w:p>
    <w:p w14:paraId="3BDE4F39" w14:textId="77777777" w:rsidR="001314C1" w:rsidRPr="001314C1" w:rsidRDefault="001314C1" w:rsidP="001314C1">
      <w:pPr>
        <w:suppressAutoHyphens/>
        <w:spacing w:after="0" w:line="240" w:lineRule="auto"/>
        <w:ind w:firstLine="709"/>
        <w:jc w:val="both"/>
        <w:rPr>
          <w:rFonts w:ascii="Times New Roman" w:eastAsia="Times New Roman" w:hAnsi="Times New Roman" w:cs="Times New Roman"/>
          <w:i/>
          <w:kern w:val="0"/>
          <w:sz w:val="24"/>
          <w:szCs w:val="24"/>
          <w:lang w:eastAsia="uk-UA"/>
          <w14:ligatures w14:val="none"/>
        </w:rPr>
      </w:pPr>
      <w:r w:rsidRPr="001314C1">
        <w:rPr>
          <w:rFonts w:ascii="Times New Roman" w:eastAsia="Times New Roman" w:hAnsi="Times New Roman" w:cs="Times New Roman"/>
          <w:b/>
          <w:i/>
          <w:kern w:val="0"/>
          <w:sz w:val="24"/>
          <w:szCs w:val="24"/>
          <w:lang w:eastAsia="uk-UA"/>
          <w14:ligatures w14:val="none"/>
        </w:rPr>
        <w:t>Methods.</w:t>
      </w:r>
      <w:r w:rsidRPr="001314C1">
        <w:rPr>
          <w:rFonts w:ascii="Times New Roman" w:eastAsia="Times New Roman" w:hAnsi="Times New Roman" w:cs="Times New Roman"/>
          <w:i/>
          <w:kern w:val="0"/>
          <w:sz w:val="24"/>
          <w:szCs w:val="24"/>
          <w:lang w:eastAsia="uk-UA"/>
          <w14:ligatures w14:val="none"/>
        </w:rPr>
        <w:t xml:space="preserve"> The research was based on the principles of a systems approach and was carried out using methods of analysis, synthesis, formalization, comparison, and generalization.</w:t>
      </w:r>
    </w:p>
    <w:p w14:paraId="5A9224A8" w14:textId="77777777" w:rsidR="001314C1" w:rsidRPr="001314C1" w:rsidRDefault="001314C1" w:rsidP="001314C1">
      <w:pPr>
        <w:suppressAutoHyphens/>
        <w:spacing w:after="0" w:line="240" w:lineRule="auto"/>
        <w:ind w:firstLine="709"/>
        <w:jc w:val="both"/>
        <w:rPr>
          <w:rFonts w:ascii="Times New Roman" w:eastAsia="Times New Roman" w:hAnsi="Times New Roman" w:cs="Times New Roman"/>
          <w:bCs/>
          <w:i/>
          <w:kern w:val="0"/>
          <w:sz w:val="24"/>
          <w:szCs w:val="24"/>
          <w:lang w:eastAsia="uk-UA"/>
          <w14:ligatures w14:val="none"/>
        </w:rPr>
      </w:pPr>
      <w:r w:rsidRPr="001314C1">
        <w:rPr>
          <w:rFonts w:ascii="Times New Roman" w:eastAsia="Times New Roman" w:hAnsi="Times New Roman" w:cs="Times New Roman"/>
          <w:b/>
          <w:i/>
          <w:kern w:val="0"/>
          <w:sz w:val="24"/>
          <w:szCs w:val="24"/>
          <w:lang w:eastAsia="uk-UA"/>
          <w14:ligatures w14:val="none"/>
        </w:rPr>
        <w:t>Results</w:t>
      </w:r>
      <w:r w:rsidRPr="001314C1">
        <w:rPr>
          <w:rFonts w:ascii="Times New Roman" w:eastAsia="Times New Roman" w:hAnsi="Times New Roman" w:cs="Times New Roman"/>
          <w:i/>
          <w:kern w:val="0"/>
          <w:sz w:val="24"/>
          <w:szCs w:val="24"/>
          <w:lang w:eastAsia="uk-UA"/>
          <w14:ligatures w14:val="none"/>
        </w:rPr>
        <w:t xml:space="preserve"> </w:t>
      </w:r>
      <w:r w:rsidRPr="00414E32">
        <w:rPr>
          <w:rFonts w:ascii="Times New Roman" w:eastAsia="Times New Roman" w:hAnsi="Times New Roman" w:cs="Times New Roman"/>
          <w:bCs/>
          <w:i/>
          <w:kern w:val="0"/>
          <w:sz w:val="24"/>
          <w:szCs w:val="24"/>
          <w:lang w:eastAsia="uk-UA"/>
          <w14:ligatures w14:val="none"/>
        </w:rPr>
        <w:t xml:space="preserve">The article analyzes the current state and challenges of reserve officer training at military training departments of higher education institutions as an important component of the state’s security and defense sector, as well as the main approaches to addressing these challenges. It also examines key problems in the professional training of Ukrainian citizens under the Reserve Officer Training Program, identifies major shortcomings of the existing system, and proposes directions for its improvement. </w:t>
      </w:r>
    </w:p>
    <w:p w14:paraId="339530E6" w14:textId="77777777" w:rsidR="001314C1" w:rsidRPr="001314C1" w:rsidRDefault="001314C1" w:rsidP="001314C1">
      <w:pPr>
        <w:suppressAutoHyphens/>
        <w:spacing w:after="0" w:line="240" w:lineRule="auto"/>
        <w:ind w:firstLine="709"/>
        <w:jc w:val="both"/>
        <w:rPr>
          <w:rFonts w:ascii="Times New Roman" w:eastAsia="Times New Roman" w:hAnsi="Times New Roman" w:cs="Times New Roman"/>
          <w:b/>
          <w:i/>
          <w:kern w:val="0"/>
          <w:sz w:val="24"/>
          <w:szCs w:val="24"/>
          <w:lang w:eastAsia="uk-UA"/>
          <w14:ligatures w14:val="none"/>
        </w:rPr>
      </w:pPr>
      <w:r w:rsidRPr="001314C1">
        <w:rPr>
          <w:rFonts w:ascii="Times New Roman" w:eastAsia="Times New Roman" w:hAnsi="Times New Roman" w:cs="Times New Roman"/>
          <w:b/>
          <w:i/>
          <w:kern w:val="0"/>
          <w:sz w:val="24"/>
          <w:szCs w:val="24"/>
          <w:lang w:eastAsia="uk-UA"/>
          <w14:ligatures w14:val="none"/>
        </w:rPr>
        <w:t>Originality</w:t>
      </w:r>
      <w:r w:rsidRPr="001314C1">
        <w:rPr>
          <w:rFonts w:ascii="Times New Roman" w:eastAsia="Times New Roman" w:hAnsi="Times New Roman" w:cs="Times New Roman"/>
          <w:i/>
          <w:kern w:val="0"/>
          <w:sz w:val="24"/>
          <w:szCs w:val="24"/>
          <w:lang w:eastAsia="uk-UA"/>
          <w14:ligatures w14:val="none"/>
        </w:rPr>
        <w:t xml:space="preserve"> </w:t>
      </w:r>
      <w:r w:rsidRPr="001314C1">
        <w:rPr>
          <w:rFonts w:ascii="Times New Roman" w:eastAsia="Times New Roman" w:hAnsi="Times New Roman" w:cs="Times New Roman"/>
          <w:bCs/>
          <w:i/>
          <w:kern w:val="0"/>
          <w:sz w:val="24"/>
          <w:szCs w:val="24"/>
          <w:lang w:eastAsia="uk-UA"/>
          <w14:ligatures w14:val="none"/>
        </w:rPr>
        <w:t>The study proposes a model for the military training of reserve officers and an algorithm for recruitment into military service, which will allow for amendments to the regulatory and legal documents governing reserve officer training and introduce changes to the reserve officer training system in accordance with current requirements.</w:t>
      </w:r>
    </w:p>
    <w:p w14:paraId="7D81C8A9" w14:textId="77777777" w:rsidR="001314C1" w:rsidRPr="001314C1" w:rsidRDefault="001314C1" w:rsidP="001314C1">
      <w:pPr>
        <w:suppressAutoHyphens/>
        <w:spacing w:after="0" w:line="240" w:lineRule="auto"/>
        <w:ind w:firstLine="567"/>
        <w:jc w:val="both"/>
        <w:rPr>
          <w:rFonts w:ascii="Times New Roman" w:eastAsia="Times New Roman" w:hAnsi="Times New Roman" w:cs="Times New Roman"/>
          <w:bCs/>
          <w:i/>
          <w:kern w:val="0"/>
          <w:sz w:val="24"/>
          <w:szCs w:val="24"/>
          <w:lang w:eastAsia="uk-UA"/>
          <w14:ligatures w14:val="none"/>
        </w:rPr>
      </w:pPr>
      <w:r w:rsidRPr="001314C1">
        <w:rPr>
          <w:rFonts w:ascii="Times New Roman" w:eastAsia="Times New Roman" w:hAnsi="Times New Roman" w:cs="Times New Roman"/>
          <w:b/>
          <w:i/>
          <w:iCs/>
          <w:kern w:val="0"/>
          <w:sz w:val="24"/>
          <w:szCs w:val="24"/>
          <w:lang w:eastAsia="uk-UA"/>
          <w14:ligatures w14:val="none"/>
        </w:rPr>
        <w:t>Conclusion</w:t>
      </w:r>
      <w:r w:rsidRPr="001314C1">
        <w:rPr>
          <w:rFonts w:ascii="Times New Roman" w:eastAsia="Times New Roman" w:hAnsi="Times New Roman" w:cs="Times New Roman"/>
          <w:kern w:val="0"/>
          <w:sz w:val="24"/>
          <w:szCs w:val="24"/>
          <w:lang w:eastAsia="uk-UA"/>
          <w14:ligatures w14:val="none"/>
        </w:rPr>
        <w:t xml:space="preserve"> </w:t>
      </w:r>
      <w:r w:rsidRPr="001314C1">
        <w:rPr>
          <w:rFonts w:ascii="Times New Roman" w:eastAsia="Times New Roman" w:hAnsi="Times New Roman" w:cs="Times New Roman"/>
          <w:bCs/>
          <w:i/>
          <w:kern w:val="0"/>
          <w:sz w:val="24"/>
          <w:szCs w:val="24"/>
          <w:lang w:eastAsia="uk-UA"/>
          <w14:ligatures w14:val="none"/>
        </w:rPr>
        <w:t xml:space="preserve">Thus, based on the analysis of the state of military training of citizens of Ukraine under the reserve officer program in military higher educational institutions, military higher educational institutions of the Armed Forces of Ukraine and problematic issues of their training, the authors proposed a promising model of military training of reserve officers and a possible algorithm for their involvement in military service. </w:t>
      </w:r>
      <w:r w:rsidRPr="00414E32">
        <w:rPr>
          <w:rFonts w:ascii="Times New Roman" w:eastAsia="Times New Roman" w:hAnsi="Times New Roman" w:cs="Times New Roman"/>
          <w:bCs/>
          <w:i/>
          <w:kern w:val="0"/>
          <w:sz w:val="24"/>
          <w:szCs w:val="24"/>
          <w:lang w:eastAsia="uk-UA"/>
          <w14:ligatures w14:val="none"/>
        </w:rPr>
        <w:t xml:space="preserve">At the same time, under current conditions, the key principles governing the organization and implementation of military training for Ukrainian citizens under the Reserve Officer Training Program should include the following: </w:t>
      </w:r>
    </w:p>
    <w:p w14:paraId="76FBE4D1" w14:textId="77777777" w:rsidR="001314C1" w:rsidRPr="001314C1" w:rsidRDefault="001314C1" w:rsidP="001314C1">
      <w:pPr>
        <w:suppressAutoHyphens/>
        <w:spacing w:after="0" w:line="240" w:lineRule="auto"/>
        <w:ind w:firstLine="567"/>
        <w:jc w:val="both"/>
        <w:rPr>
          <w:rFonts w:ascii="Times New Roman" w:eastAsia="Times New Roman" w:hAnsi="Times New Roman" w:cs="Times New Roman"/>
          <w:bCs/>
          <w:i/>
          <w:kern w:val="0"/>
          <w:sz w:val="24"/>
          <w:szCs w:val="24"/>
          <w:lang w:eastAsia="uk-UA"/>
          <w14:ligatures w14:val="none"/>
        </w:rPr>
      </w:pPr>
      <w:r w:rsidRPr="001314C1">
        <w:rPr>
          <w:rFonts w:ascii="Times New Roman" w:eastAsia="Times New Roman" w:hAnsi="Times New Roman" w:cs="Times New Roman"/>
          <w:bCs/>
          <w:i/>
          <w:kern w:val="0"/>
          <w:sz w:val="24"/>
          <w:szCs w:val="24"/>
          <w:lang w:eastAsia="uk-UA"/>
          <w14:ligatures w14:val="none"/>
        </w:rPr>
        <w:t>priority of national interests and national security in the formation of the content of training and requirements for military specialists, unity of educational policy regarding the training of cadre and reserve officers in military higher educational institutions and military higher educational institutions of the Armed Forces of Ukraine (unconditional fulfillment of the qualification characteristics and military training programs of reserve officers, which are developed by the military management bodies of the structural units of the Ministry of Defense of Ukraine, the General Staff of the Armed Forces of Ukraine and other military management bodies for the needs of which reserve officers are trained under the relevant VOS);</w:t>
      </w:r>
    </w:p>
    <w:p w14:paraId="388615A5" w14:textId="77777777" w:rsidR="001314C1" w:rsidRPr="001314C1" w:rsidRDefault="001314C1" w:rsidP="001314C1">
      <w:pPr>
        <w:suppressAutoHyphens/>
        <w:spacing w:after="0" w:line="240" w:lineRule="auto"/>
        <w:ind w:firstLine="567"/>
        <w:jc w:val="both"/>
        <w:rPr>
          <w:rFonts w:ascii="Times New Roman" w:eastAsia="Times New Roman" w:hAnsi="Times New Roman" w:cs="Times New Roman"/>
          <w:bCs/>
          <w:i/>
          <w:kern w:val="0"/>
          <w:sz w:val="24"/>
          <w:szCs w:val="24"/>
          <w:lang w:eastAsia="uk-UA"/>
          <w14:ligatures w14:val="none"/>
        </w:rPr>
      </w:pPr>
      <w:r w:rsidRPr="001314C1">
        <w:rPr>
          <w:rFonts w:ascii="Times New Roman" w:eastAsia="Times New Roman" w:hAnsi="Times New Roman" w:cs="Times New Roman"/>
          <w:bCs/>
          <w:i/>
          <w:kern w:val="0"/>
          <w:sz w:val="24"/>
          <w:szCs w:val="24"/>
          <w:lang w:eastAsia="uk-UA"/>
          <w14:ligatures w14:val="none"/>
        </w:rPr>
        <w:t>practical orientation of training (ensuring the widespread use of distance learning elements for the purpose of studying theoretical issues of military training during independent work and including the time used for their study in the practical component of training; introducing comprehensive practical classes for studying the course of primary military professional training and tactical medicine);</w:t>
      </w:r>
    </w:p>
    <w:p w14:paraId="0AF92E31" w14:textId="77777777" w:rsidR="001314C1" w:rsidRPr="001314C1" w:rsidRDefault="001314C1" w:rsidP="001314C1">
      <w:pPr>
        <w:suppressAutoHyphens/>
        <w:spacing w:after="0" w:line="240" w:lineRule="auto"/>
        <w:ind w:firstLine="567"/>
        <w:jc w:val="both"/>
        <w:rPr>
          <w:rFonts w:ascii="Times New Roman" w:eastAsia="Times New Roman" w:hAnsi="Times New Roman" w:cs="Times New Roman"/>
          <w:bCs/>
          <w:i/>
          <w:kern w:val="0"/>
          <w:sz w:val="24"/>
          <w:szCs w:val="24"/>
          <w:lang w:eastAsia="uk-UA"/>
          <w14:ligatures w14:val="none"/>
        </w:rPr>
      </w:pPr>
      <w:r w:rsidRPr="001314C1">
        <w:rPr>
          <w:rFonts w:ascii="Times New Roman" w:eastAsia="Times New Roman" w:hAnsi="Times New Roman" w:cs="Times New Roman"/>
          <w:bCs/>
          <w:i/>
          <w:kern w:val="0"/>
          <w:sz w:val="24"/>
          <w:szCs w:val="24"/>
          <w:lang w:eastAsia="uk-UA"/>
          <w14:ligatures w14:val="none"/>
        </w:rPr>
        <w:t xml:space="preserve">communication with the troops (introducing into the educational process the experience of conducting combat operations of the Armed Forces of Ukraine and other components of the </w:t>
      </w:r>
      <w:r w:rsidRPr="00414E32">
        <w:rPr>
          <w:rFonts w:ascii="Times New Roman" w:eastAsia="Times New Roman" w:hAnsi="Times New Roman" w:cs="Times New Roman"/>
          <w:bCs/>
          <w:i/>
          <w:kern w:val="0"/>
          <w:sz w:val="24"/>
          <w:szCs w:val="24"/>
          <w:lang w:eastAsia="uk-UA"/>
          <w14:ligatures w14:val="none"/>
        </w:rPr>
        <w:t>defence</w:t>
      </w:r>
      <w:r w:rsidRPr="001314C1">
        <w:rPr>
          <w:rFonts w:ascii="Times New Roman" w:eastAsia="Times New Roman" w:hAnsi="Times New Roman" w:cs="Times New Roman"/>
          <w:bCs/>
          <w:i/>
          <w:kern w:val="0"/>
          <w:sz w:val="24"/>
          <w:szCs w:val="24"/>
          <w:lang w:eastAsia="uk-UA"/>
          <w14:ligatures w14:val="none"/>
        </w:rPr>
        <w:t xml:space="preserve"> forces, combat training of troops; conducting a training camp on the basis of a military unit, where the command and methodological skills of students acquired during the mastering of the military training program, performing shooting exercises, driving military (combat) equipment and solving other practical tasks are improved);</w:t>
      </w:r>
    </w:p>
    <w:p w14:paraId="146DB9B6" w14:textId="77777777" w:rsidR="001314C1" w:rsidRPr="00414E32" w:rsidRDefault="001314C1" w:rsidP="001314C1">
      <w:pPr>
        <w:suppressAutoHyphens/>
        <w:spacing w:after="0" w:line="240" w:lineRule="auto"/>
        <w:ind w:firstLine="567"/>
        <w:jc w:val="both"/>
        <w:rPr>
          <w:rFonts w:ascii="Times New Roman" w:eastAsia="Times New Roman" w:hAnsi="Times New Roman" w:cs="Times New Roman"/>
          <w:bCs/>
          <w:i/>
          <w:kern w:val="0"/>
          <w:sz w:val="24"/>
          <w:szCs w:val="24"/>
          <w:lang w:eastAsia="uk-UA"/>
          <w14:ligatures w14:val="none"/>
        </w:rPr>
      </w:pPr>
      <w:r w:rsidRPr="00414E32">
        <w:rPr>
          <w:rFonts w:ascii="Times New Roman" w:eastAsia="Times New Roman" w:hAnsi="Times New Roman" w:cs="Times New Roman"/>
          <w:bCs/>
          <w:i/>
          <w:kern w:val="0"/>
          <w:sz w:val="24"/>
          <w:szCs w:val="24"/>
          <w:lang w:eastAsia="uk-UA"/>
          <w14:ligatures w14:val="none"/>
        </w:rPr>
        <w:lastRenderedPageBreak/>
        <w:t xml:space="preserve">independence and creativity in learning (the educational process should be organized in such a way that future reserve officers develop the ability to independently acquire, process, and apply information. Modern information technologies, as well as the outcomes of scientific research conducted by higher education institutions, should be integrated into the educational process. This approach is expected to contribute both to expanding the scope of educational content and to increasing learners’ interest in studying relevant sections of military training programs); </w:t>
      </w:r>
    </w:p>
    <w:p w14:paraId="507A3F87" w14:textId="77777777" w:rsidR="001314C1" w:rsidRPr="001314C1" w:rsidRDefault="001314C1" w:rsidP="001314C1">
      <w:pPr>
        <w:suppressAutoHyphens/>
        <w:spacing w:after="0" w:line="240" w:lineRule="auto"/>
        <w:ind w:firstLine="567"/>
        <w:jc w:val="both"/>
        <w:rPr>
          <w:rFonts w:ascii="Times New Roman" w:eastAsia="Times New Roman" w:hAnsi="Times New Roman" w:cs="Times New Roman"/>
          <w:bCs/>
          <w:i/>
          <w:kern w:val="0"/>
          <w:sz w:val="24"/>
          <w:szCs w:val="24"/>
          <w:lang w:eastAsia="uk-UA"/>
          <w14:ligatures w14:val="none"/>
        </w:rPr>
      </w:pPr>
      <w:r w:rsidRPr="001314C1">
        <w:rPr>
          <w:rFonts w:ascii="Times New Roman" w:eastAsia="Times New Roman" w:hAnsi="Times New Roman" w:cs="Times New Roman"/>
          <w:bCs/>
          <w:i/>
          <w:kern w:val="0"/>
          <w:sz w:val="24"/>
          <w:szCs w:val="24"/>
          <w:lang w:eastAsia="uk-UA"/>
          <w14:ligatures w14:val="none"/>
        </w:rPr>
        <w:t>compliance of financial, informational, logistical support for the process of training reserve officers under the relevant programs (the goal should be to update and provide the logistical base for training reserve officers with modern military equipment).</w:t>
      </w:r>
    </w:p>
    <w:p w14:paraId="51319E57" w14:textId="77777777" w:rsidR="00385184" w:rsidRDefault="00385184" w:rsidP="00023291">
      <w:pPr>
        <w:tabs>
          <w:tab w:val="left" w:pos="9638"/>
        </w:tabs>
        <w:spacing w:after="0" w:line="240" w:lineRule="auto"/>
        <w:ind w:firstLine="709"/>
        <w:jc w:val="both"/>
        <w:rPr>
          <w:rFonts w:ascii="Times New Roman" w:eastAsia="Times New Roman" w:hAnsi="Times New Roman" w:cs="Times New Roman"/>
          <w:bCs/>
          <w:i/>
          <w:kern w:val="0"/>
          <w:sz w:val="24"/>
          <w:szCs w:val="24"/>
          <w:lang w:eastAsia="uk-UA"/>
          <w14:ligatures w14:val="none"/>
        </w:rPr>
      </w:pPr>
      <w:r w:rsidRPr="003B5892">
        <w:rPr>
          <w:rFonts w:ascii="Times New Roman" w:eastAsia="Times New Roman" w:hAnsi="Times New Roman" w:cs="Times New Roman"/>
          <w:b/>
          <w:i/>
          <w:kern w:val="0"/>
          <w:sz w:val="24"/>
          <w:szCs w:val="24"/>
          <w:lang w:eastAsia="uk-UA"/>
          <w14:ligatures w14:val="none"/>
        </w:rPr>
        <w:t xml:space="preserve">Keywords: </w:t>
      </w:r>
      <w:r w:rsidRPr="003B5892">
        <w:rPr>
          <w:rFonts w:ascii="Times New Roman" w:eastAsia="Times New Roman" w:hAnsi="Times New Roman" w:cs="Times New Roman"/>
          <w:bCs/>
          <w:i/>
          <w:kern w:val="0"/>
          <w:sz w:val="24"/>
          <w:szCs w:val="24"/>
          <w:lang w:eastAsia="uk-UA"/>
          <w14:ligatures w14:val="none"/>
        </w:rPr>
        <w:t>system of professional military education; military training of citizens of Ukraine according to the reserve officer training program; reserve officer training system; higher military educational institutions</w:t>
      </w:r>
      <w:r w:rsidRPr="003B5892">
        <w:rPr>
          <w:rFonts w:ascii="Times New Roman" w:eastAsia="Times New Roman" w:hAnsi="Times New Roman" w:cs="Times New Roman"/>
          <w:bCs/>
          <w:i/>
          <w:kern w:val="0"/>
          <w:sz w:val="24"/>
          <w:szCs w:val="24"/>
          <w:lang w:val="uk-UA" w:eastAsia="uk-UA"/>
          <w14:ligatures w14:val="none"/>
        </w:rPr>
        <w:t>;</w:t>
      </w:r>
      <w:r w:rsidRPr="003B5892">
        <w:rPr>
          <w:rFonts w:ascii="Times New Roman" w:eastAsia="Times New Roman" w:hAnsi="Times New Roman" w:cs="Times New Roman"/>
          <w:bCs/>
          <w:i/>
          <w:kern w:val="0"/>
          <w:sz w:val="24"/>
          <w:szCs w:val="24"/>
          <w:lang w:eastAsia="uk-UA"/>
          <w14:ligatures w14:val="none"/>
        </w:rPr>
        <w:t xml:space="preserve"> military educational unit of a higher education institution</w:t>
      </w:r>
      <w:r w:rsidRPr="003B5892">
        <w:rPr>
          <w:rFonts w:ascii="Times New Roman" w:eastAsia="Times New Roman" w:hAnsi="Times New Roman" w:cs="Times New Roman"/>
          <w:bCs/>
          <w:i/>
          <w:kern w:val="0"/>
          <w:sz w:val="24"/>
          <w:szCs w:val="24"/>
          <w:lang w:val="uk-UA" w:eastAsia="uk-UA"/>
          <w14:ligatures w14:val="none"/>
        </w:rPr>
        <w:t>;</w:t>
      </w:r>
      <w:r w:rsidRPr="003B5892">
        <w:rPr>
          <w:rFonts w:ascii="Times New Roman" w:eastAsia="Times New Roman" w:hAnsi="Times New Roman" w:cs="Times New Roman"/>
          <w:bCs/>
          <w:i/>
          <w:kern w:val="0"/>
          <w:sz w:val="24"/>
          <w:szCs w:val="24"/>
          <w:lang w:eastAsia="uk-UA"/>
          <w14:ligatures w14:val="none"/>
        </w:rPr>
        <w:t xml:space="preserve"> department of military training; scientific and pedagogical staff</w:t>
      </w:r>
      <w:r w:rsidRPr="003B5892">
        <w:rPr>
          <w:rFonts w:ascii="Times New Roman" w:eastAsia="Times New Roman" w:hAnsi="Times New Roman" w:cs="Times New Roman"/>
          <w:bCs/>
          <w:i/>
          <w:kern w:val="0"/>
          <w:sz w:val="24"/>
          <w:szCs w:val="24"/>
          <w:lang w:val="uk-UA" w:eastAsia="uk-UA"/>
          <w14:ligatures w14:val="none"/>
        </w:rPr>
        <w:t>;</w:t>
      </w:r>
      <w:r w:rsidRPr="003B5892">
        <w:rPr>
          <w:rFonts w:ascii="Times New Roman" w:eastAsia="Times New Roman" w:hAnsi="Times New Roman" w:cs="Times New Roman"/>
          <w:bCs/>
          <w:i/>
          <w:kern w:val="0"/>
          <w:sz w:val="24"/>
          <w:szCs w:val="24"/>
          <w:lang w:eastAsia="uk-UA"/>
          <w14:ligatures w14:val="none"/>
        </w:rPr>
        <w:t xml:space="preserve"> teaching staff.</w:t>
      </w:r>
    </w:p>
    <w:p w14:paraId="34518D8B" w14:textId="77777777" w:rsidR="008447BA" w:rsidRDefault="008447BA" w:rsidP="00023291">
      <w:pPr>
        <w:tabs>
          <w:tab w:val="left" w:pos="9638"/>
        </w:tabs>
        <w:spacing w:after="0" w:line="240" w:lineRule="auto"/>
        <w:ind w:firstLine="709"/>
        <w:jc w:val="both"/>
        <w:rPr>
          <w:rFonts w:ascii="Times New Roman" w:eastAsia="Times New Roman" w:hAnsi="Times New Roman" w:cs="Times New Roman"/>
          <w:bCs/>
          <w:i/>
          <w:kern w:val="0"/>
          <w:sz w:val="24"/>
          <w:szCs w:val="24"/>
          <w:lang w:eastAsia="uk-UA"/>
          <w14:ligatures w14:val="none"/>
        </w:rPr>
      </w:pPr>
    </w:p>
    <w:p w14:paraId="67E74150" w14:textId="77777777" w:rsidR="008447BA" w:rsidRPr="00B44B71" w:rsidRDefault="008447BA" w:rsidP="008447BA">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надійшов до редакції 19.01.2026</w:t>
      </w:r>
    </w:p>
    <w:p w14:paraId="2DC186EF" w14:textId="77777777" w:rsidR="008447BA" w:rsidRPr="00B44B71" w:rsidRDefault="008447BA" w:rsidP="008447BA">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прийнято до друку після рецензування 07.04.2026</w:t>
      </w:r>
    </w:p>
    <w:p w14:paraId="746255BD" w14:textId="77777777" w:rsidR="008447BA" w:rsidRPr="00B44B71" w:rsidRDefault="008447BA" w:rsidP="008447BA">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Дата публікації 25.05.2026</w:t>
      </w:r>
    </w:p>
    <w:p w14:paraId="79D04692" w14:textId="77777777" w:rsidR="00835182" w:rsidRDefault="00835182" w:rsidP="00023291">
      <w:pPr>
        <w:tabs>
          <w:tab w:val="left" w:pos="9638"/>
        </w:tabs>
        <w:spacing w:after="0" w:line="240" w:lineRule="auto"/>
        <w:ind w:right="-1"/>
        <w:jc w:val="both"/>
        <w:rPr>
          <w:rFonts w:ascii="Times New Roman" w:eastAsia="Times New Roman" w:hAnsi="Times New Roman" w:cs="Times New Roman"/>
          <w:kern w:val="0"/>
          <w:sz w:val="23"/>
          <w:szCs w:val="23"/>
          <w:lang w:val="uk-UA" w:eastAsia="ru-RU"/>
          <w14:ligatures w14:val="none"/>
        </w:rPr>
      </w:pPr>
    </w:p>
    <w:p w14:paraId="1692633A" w14:textId="3CC0954F" w:rsidR="00023291" w:rsidRPr="00B44B71" w:rsidRDefault="001F540E" w:rsidP="00023291">
      <w:pPr>
        <w:tabs>
          <w:tab w:val="left" w:pos="9638"/>
        </w:tabs>
        <w:spacing w:after="0" w:line="240" w:lineRule="auto"/>
        <w:ind w:right="-1"/>
        <w:jc w:val="both"/>
        <w:rPr>
          <w:rFonts w:ascii="Times New Roman" w:eastAsia="Calibri" w:hAnsi="Times New Roman" w:cs="Times New Roman"/>
          <w:b/>
          <w:bCs/>
          <w:sz w:val="24"/>
          <w:szCs w:val="24"/>
          <w:lang w:val="uk-UA"/>
          <w14:ligatures w14:val="none"/>
        </w:rPr>
      </w:pPr>
      <w:r>
        <w:rPr>
          <w:rFonts w:ascii="Times New Roman" w:eastAsia="Times New Roman" w:hAnsi="Times New Roman" w:cs="Times New Roman"/>
          <w:kern w:val="0"/>
          <w:sz w:val="23"/>
          <w:szCs w:val="23"/>
          <w:lang w:val="uk-UA" w:eastAsia="ru-RU"/>
          <w14:ligatures w14:val="none"/>
        </w:rPr>
        <w:br w:type="column"/>
      </w:r>
      <w:r w:rsidR="00023291" w:rsidRPr="00B44B71">
        <w:rPr>
          <w:rFonts w:ascii="Times New Roman" w:eastAsia="Times New Roman" w:hAnsi="Times New Roman" w:cs="Times New Roman"/>
          <w:kern w:val="0"/>
          <w:sz w:val="23"/>
          <w:szCs w:val="23"/>
          <w:lang w:val="uk-UA" w:eastAsia="ru-RU"/>
          <w14:ligatures w14:val="none"/>
        </w:rPr>
        <w:lastRenderedPageBreak/>
        <w:t>ISSN: 2617-1775</w:t>
      </w:r>
      <w:r w:rsidR="00023291" w:rsidRPr="00E4040F">
        <w:rPr>
          <w:rFonts w:ascii="Times New Roman" w:eastAsia="Calibri" w:hAnsi="Times New Roman" w:cs="Times New Roman"/>
          <w:b/>
          <w:kern w:val="0"/>
          <w:sz w:val="24"/>
          <w:szCs w:val="24"/>
          <w:lang w:val="uk-UA"/>
          <w14:ligatures w14:val="none"/>
        </w:rPr>
        <w:t xml:space="preserve"> </w:t>
      </w:r>
      <w:r w:rsidR="00023291" w:rsidRPr="002A5031">
        <w:rPr>
          <w:rFonts w:ascii="Times New Roman" w:eastAsia="Calibri" w:hAnsi="Times New Roman" w:cs="Times New Roman"/>
          <w:b/>
          <w:kern w:val="0"/>
          <w:sz w:val="24"/>
          <w:szCs w:val="24"/>
          <w:lang w:val="uk-UA"/>
          <w14:ligatures w14:val="none"/>
        </w:rPr>
        <w:t xml:space="preserve">                                                               </w:t>
      </w:r>
      <w:r w:rsidR="00023291">
        <w:rPr>
          <w:rFonts w:ascii="Times New Roman" w:eastAsia="Calibri" w:hAnsi="Times New Roman" w:cs="Times New Roman"/>
          <w:b/>
          <w:kern w:val="0"/>
          <w:sz w:val="24"/>
          <w:szCs w:val="24"/>
          <w:lang w:val="uk-UA"/>
          <w14:ligatures w14:val="none"/>
        </w:rPr>
        <w:t xml:space="preserve">             </w:t>
      </w:r>
      <w:r w:rsidR="00835182">
        <w:rPr>
          <w:rFonts w:ascii="Times New Roman" w:eastAsia="Calibri" w:hAnsi="Times New Roman" w:cs="Times New Roman"/>
          <w:b/>
          <w:kern w:val="0"/>
          <w:sz w:val="24"/>
          <w:szCs w:val="24"/>
          <w:lang w:val="uk-UA"/>
          <w14:ligatures w14:val="none"/>
        </w:rPr>
        <w:t xml:space="preserve">     </w:t>
      </w:r>
      <w:r w:rsidR="00023291" w:rsidRPr="00B44B71">
        <w:rPr>
          <w:rFonts w:ascii="Times New Roman" w:eastAsia="Calibri" w:hAnsi="Times New Roman" w:cs="Times New Roman"/>
          <w:b/>
          <w:bCs/>
          <w:sz w:val="24"/>
          <w:szCs w:val="24"/>
          <w:lang w:val="uk-UA"/>
          <w14:ligatures w14:val="none"/>
        </w:rPr>
        <w:t>УДК 355.23:004.738.5:378.147</w:t>
      </w:r>
    </w:p>
    <w:p w14:paraId="71E60A26" w14:textId="4288C1E3" w:rsidR="00023291" w:rsidRPr="00F96118" w:rsidRDefault="00023291" w:rsidP="00023291">
      <w:pPr>
        <w:tabs>
          <w:tab w:val="left" w:pos="9638"/>
        </w:tabs>
        <w:spacing w:after="0" w:line="240" w:lineRule="auto"/>
        <w:ind w:right="-1"/>
        <w:rPr>
          <w:rFonts w:ascii="Times New Roman" w:eastAsia="Times New Roman" w:hAnsi="Times New Roman" w:cs="Times New Roman"/>
          <w:color w:val="0563C1"/>
          <w:kern w:val="0"/>
          <w:sz w:val="24"/>
          <w:szCs w:val="24"/>
          <w:u w:val="single"/>
          <w:lang w:val="uk-UA"/>
          <w14:ligatures w14:val="none"/>
        </w:rPr>
      </w:pPr>
      <w:r w:rsidRPr="00B44B71">
        <w:rPr>
          <w:rFonts w:ascii="Times New Roman" w:eastAsia="Times New Roman" w:hAnsi="Times New Roman" w:cs="Times New Roman"/>
          <w:kern w:val="0"/>
          <w:sz w:val="23"/>
          <w:szCs w:val="23"/>
          <w:lang w:val="uk-UA" w:eastAsia="ru-RU"/>
          <w14:ligatures w14:val="none"/>
        </w:rPr>
        <w:t>ISSN: 2617-1783 (online)</w:t>
      </w:r>
      <w:r w:rsidRPr="002A5031">
        <w:rPr>
          <w:rFonts w:ascii="Times New Roman" w:eastAsia="Times New Roman" w:hAnsi="Times New Roman" w:cs="Times New Roman"/>
          <w:kern w:val="0"/>
          <w:sz w:val="23"/>
          <w:szCs w:val="23"/>
          <w:lang w:val="uk-UA" w:eastAsia="ru-RU"/>
          <w14:ligatures w14:val="none"/>
        </w:rPr>
        <w:t xml:space="preserve">                                             </w:t>
      </w:r>
      <w:r w:rsidR="00835182">
        <w:rPr>
          <w:rFonts w:ascii="Times New Roman" w:eastAsia="Times New Roman" w:hAnsi="Times New Roman" w:cs="Times New Roman"/>
          <w:kern w:val="0"/>
          <w:sz w:val="23"/>
          <w:szCs w:val="23"/>
          <w:lang w:val="uk-UA" w:eastAsia="ru-RU"/>
          <w14:ligatures w14:val="none"/>
        </w:rPr>
        <w:t xml:space="preserve">        </w:t>
      </w:r>
      <w:r w:rsidRPr="00F96118">
        <w:rPr>
          <w:rFonts w:ascii="Times New Roman" w:eastAsia="Times New Roman" w:hAnsi="Times New Roman" w:cs="Times New Roman"/>
          <w:bCs/>
          <w:smallCaps/>
          <w:color w:val="000000"/>
          <w:kern w:val="0"/>
          <w:sz w:val="24"/>
          <w:szCs w:val="24"/>
          <w:lang w:eastAsia="ru-RU"/>
          <w14:ligatures w14:val="none"/>
        </w:rPr>
        <w:t>DOI</w:t>
      </w:r>
      <w:r w:rsidRPr="00F96118">
        <w:rPr>
          <w:rFonts w:ascii="Times New Roman" w:eastAsia="Times New Roman" w:hAnsi="Times New Roman" w:cs="Times New Roman"/>
          <w:bCs/>
          <w:smallCaps/>
          <w:color w:val="000000"/>
          <w:kern w:val="0"/>
          <w:sz w:val="24"/>
          <w:szCs w:val="24"/>
          <w:lang w:val="uk-UA" w:eastAsia="ru-RU"/>
          <w14:ligatures w14:val="none"/>
        </w:rPr>
        <w:t>: 10.33099/2617-1775/202</w:t>
      </w:r>
      <w:r>
        <w:rPr>
          <w:rFonts w:ascii="Times New Roman" w:eastAsia="Times New Roman" w:hAnsi="Times New Roman" w:cs="Times New Roman"/>
          <w:bCs/>
          <w:smallCaps/>
          <w:color w:val="000000"/>
          <w:kern w:val="0"/>
          <w:sz w:val="24"/>
          <w:szCs w:val="24"/>
          <w:lang w:val="uk-UA" w:eastAsia="ru-RU"/>
          <w14:ligatures w14:val="none"/>
        </w:rPr>
        <w:t>6</w:t>
      </w:r>
      <w:r w:rsidRPr="00F96118">
        <w:rPr>
          <w:rFonts w:ascii="Times New Roman" w:eastAsia="Times New Roman" w:hAnsi="Times New Roman" w:cs="Times New Roman"/>
          <w:bCs/>
          <w:smallCaps/>
          <w:color w:val="000000"/>
          <w:kern w:val="0"/>
          <w:sz w:val="24"/>
          <w:szCs w:val="24"/>
          <w:lang w:val="uk-UA" w:eastAsia="ru-RU"/>
          <w14:ligatures w14:val="none"/>
        </w:rPr>
        <w:t>-0</w:t>
      </w:r>
      <w:r>
        <w:rPr>
          <w:rFonts w:ascii="Times New Roman" w:eastAsia="Times New Roman" w:hAnsi="Times New Roman" w:cs="Times New Roman"/>
          <w:bCs/>
          <w:smallCaps/>
          <w:color w:val="000000"/>
          <w:kern w:val="0"/>
          <w:sz w:val="24"/>
          <w:szCs w:val="24"/>
          <w:lang w:val="uk-UA" w:eastAsia="ru-RU"/>
          <w14:ligatures w14:val="none"/>
        </w:rPr>
        <w:t>1</w:t>
      </w:r>
      <w:r w:rsidRPr="00F96118">
        <w:rPr>
          <w:rFonts w:ascii="Times New Roman" w:eastAsia="Times New Roman" w:hAnsi="Times New Roman" w:cs="Times New Roman"/>
          <w:bCs/>
          <w:smallCaps/>
          <w:color w:val="000000"/>
          <w:kern w:val="0"/>
          <w:sz w:val="24"/>
          <w:szCs w:val="24"/>
          <w:lang w:val="uk-UA" w:eastAsia="ru-RU"/>
          <w14:ligatures w14:val="none"/>
        </w:rPr>
        <w:t>/</w:t>
      </w:r>
      <w:r w:rsidR="00835182">
        <w:rPr>
          <w:rFonts w:ascii="Times New Roman" w:eastAsia="Times New Roman" w:hAnsi="Times New Roman" w:cs="Times New Roman"/>
          <w:bCs/>
          <w:smallCaps/>
          <w:color w:val="000000"/>
          <w:kern w:val="0"/>
          <w:sz w:val="24"/>
          <w:szCs w:val="24"/>
          <w:lang w:val="uk-UA" w:eastAsia="ru-RU"/>
          <w14:ligatures w14:val="none"/>
        </w:rPr>
        <w:t>143-157</w:t>
      </w:r>
    </w:p>
    <w:p w14:paraId="5970B4AA" w14:textId="77777777" w:rsidR="00446297" w:rsidRDefault="00446297" w:rsidP="00023291">
      <w:pPr>
        <w:tabs>
          <w:tab w:val="left" w:pos="9638"/>
        </w:tabs>
        <w:spacing w:after="0" w:line="240" w:lineRule="auto"/>
        <w:ind w:right="283" w:firstLine="709"/>
        <w:jc w:val="right"/>
        <w:rPr>
          <w:rFonts w:ascii="Times New Roman" w:eastAsia="Calibri" w:hAnsi="Times New Roman" w:cs="Times New Roman"/>
          <w:b/>
          <w:bCs/>
          <w:sz w:val="24"/>
          <w:szCs w:val="24"/>
          <w:lang w:val="uk-UA"/>
          <w14:ligatures w14:val="none"/>
        </w:rPr>
      </w:pPr>
    </w:p>
    <w:p w14:paraId="215D3328" w14:textId="1755FF4E" w:rsidR="00B44B71" w:rsidRPr="00B44B71" w:rsidRDefault="00446297" w:rsidP="00023291">
      <w:pPr>
        <w:tabs>
          <w:tab w:val="left" w:pos="9638"/>
        </w:tabs>
        <w:spacing w:after="0" w:line="240" w:lineRule="auto"/>
        <w:ind w:right="-1" w:firstLine="709"/>
        <w:jc w:val="right"/>
        <w:rPr>
          <w:rFonts w:ascii="Times New Roman" w:eastAsia="Calibri" w:hAnsi="Times New Roman" w:cs="Times New Roman"/>
          <w:sz w:val="24"/>
          <w:szCs w:val="24"/>
          <w:lang w:val="uk-UA"/>
          <w14:ligatures w14:val="none"/>
        </w:rPr>
      </w:pPr>
      <w:r>
        <w:rPr>
          <w:rFonts w:ascii="Times New Roman" w:eastAsia="Calibri" w:hAnsi="Times New Roman" w:cs="Times New Roman"/>
          <w:b/>
          <w:bCs/>
          <w:sz w:val="24"/>
          <w:szCs w:val="24"/>
          <w:lang w:val="uk-UA"/>
          <w14:ligatures w14:val="none"/>
        </w:rPr>
        <w:t xml:space="preserve">   </w:t>
      </w:r>
      <w:r w:rsidR="00B44B71" w:rsidRPr="00B44B71">
        <w:rPr>
          <w:rFonts w:ascii="Times New Roman" w:eastAsia="Calibri" w:hAnsi="Times New Roman" w:cs="Times New Roman"/>
          <w:b/>
          <w:bCs/>
          <w:sz w:val="24"/>
          <w:szCs w:val="24"/>
          <w:lang w:val="uk-UA"/>
          <w14:ligatures w14:val="none"/>
        </w:rPr>
        <w:t>Сергій Ємельянов</w:t>
      </w:r>
      <w:r w:rsidR="00B44B71" w:rsidRPr="00B44B71">
        <w:rPr>
          <w:rFonts w:ascii="Times New Roman" w:eastAsia="Calibri" w:hAnsi="Times New Roman" w:cs="Times New Roman"/>
          <w:sz w:val="24"/>
          <w:szCs w:val="24"/>
          <w:lang w:val="uk-UA"/>
          <w14:ligatures w14:val="none"/>
        </w:rPr>
        <w:t>,</w:t>
      </w:r>
    </w:p>
    <w:p w14:paraId="0F8039FC" w14:textId="19BA3FBE" w:rsidR="00B44B71" w:rsidRPr="00B44B71" w:rsidRDefault="00446297" w:rsidP="00023291">
      <w:pPr>
        <w:tabs>
          <w:tab w:val="left" w:pos="9638"/>
        </w:tabs>
        <w:spacing w:after="0" w:line="240" w:lineRule="auto"/>
        <w:ind w:right="-1" w:firstLine="709"/>
        <w:jc w:val="right"/>
        <w:rPr>
          <w:rFonts w:ascii="Times New Roman" w:eastAsia="Calibri" w:hAnsi="Times New Roman" w:cs="Times New Roman"/>
          <w:color w:val="000000"/>
          <w:sz w:val="24"/>
          <w:szCs w:val="24"/>
          <w:lang w:val="ru-RU"/>
          <w14:ligatures w14:val="none"/>
        </w:rPr>
      </w:pPr>
      <w:r>
        <w:rPr>
          <w:rFonts w:ascii="Times New Roman" w:eastAsia="Calibri" w:hAnsi="Times New Roman" w:cs="Times New Roman"/>
          <w:color w:val="000000"/>
          <w:sz w:val="24"/>
          <w:szCs w:val="24"/>
          <w:lang w:val="uk-UA"/>
          <w14:ligatures w14:val="none"/>
        </w:rPr>
        <w:t xml:space="preserve">     </w:t>
      </w:r>
      <w:r w:rsidR="00B44B71" w:rsidRPr="00B44B71">
        <w:rPr>
          <w:rFonts w:ascii="Times New Roman" w:eastAsia="Calibri" w:hAnsi="Times New Roman" w:cs="Times New Roman"/>
          <w:color w:val="000000"/>
          <w:sz w:val="24"/>
          <w:szCs w:val="24"/>
          <w:lang w:val="uk-UA"/>
          <w14:ligatures w14:val="none"/>
        </w:rPr>
        <w:t>Національний університет оборони України, м. Київ</w:t>
      </w:r>
    </w:p>
    <w:p w14:paraId="453D31B8" w14:textId="13050B65" w:rsidR="00B44B71" w:rsidRDefault="00FC4DBB" w:rsidP="00023291">
      <w:pPr>
        <w:tabs>
          <w:tab w:val="left" w:pos="9638"/>
        </w:tabs>
        <w:spacing w:after="0" w:line="240" w:lineRule="auto"/>
        <w:ind w:right="-1" w:firstLine="709"/>
        <w:jc w:val="right"/>
        <w:rPr>
          <w:rFonts w:ascii="Times New Roman" w:eastAsia="Calibri" w:hAnsi="Times New Roman" w:cs="Times New Roman"/>
          <w:color w:val="0070C0"/>
          <w:sz w:val="24"/>
          <w:szCs w:val="24"/>
          <w:u w:val="single"/>
          <w:lang w:val="ru-RU"/>
          <w14:ligatures w14:val="none"/>
        </w:rPr>
      </w:pPr>
      <w:hyperlink r:id="rId192" w:history="1">
        <w:r w:rsidRPr="001644F2">
          <w:rPr>
            <w:rStyle w:val="Hyperlink"/>
            <w:rFonts w:ascii="Times New Roman" w:eastAsia="Calibri" w:hAnsi="Times New Roman"/>
            <w:sz w:val="24"/>
            <w:szCs w:val="24"/>
            <w14:ligatures w14:val="none"/>
          </w:rPr>
          <w:t>https</w:t>
        </w:r>
        <w:r w:rsidRPr="001644F2">
          <w:rPr>
            <w:rStyle w:val="Hyperlink"/>
            <w:rFonts w:ascii="Times New Roman" w:eastAsia="Calibri" w:hAnsi="Times New Roman"/>
            <w:sz w:val="24"/>
            <w:szCs w:val="24"/>
            <w:lang w:val="ru-RU"/>
            <w14:ligatures w14:val="none"/>
          </w:rPr>
          <w:t>://</w:t>
        </w:r>
        <w:r w:rsidRPr="001644F2">
          <w:rPr>
            <w:rStyle w:val="Hyperlink"/>
            <w:rFonts w:ascii="Times New Roman" w:eastAsia="Calibri" w:hAnsi="Times New Roman"/>
            <w:sz w:val="24"/>
            <w:szCs w:val="24"/>
            <w14:ligatures w14:val="none"/>
          </w:rPr>
          <w:t>orcid</w:t>
        </w:r>
        <w:r w:rsidRPr="001644F2">
          <w:rPr>
            <w:rStyle w:val="Hyperlink"/>
            <w:rFonts w:ascii="Times New Roman" w:eastAsia="Calibri" w:hAnsi="Times New Roman"/>
            <w:sz w:val="24"/>
            <w:szCs w:val="24"/>
            <w:lang w:val="ru-RU"/>
            <w14:ligatures w14:val="none"/>
          </w:rPr>
          <w:t>.</w:t>
        </w:r>
        <w:r w:rsidRPr="001644F2">
          <w:rPr>
            <w:rStyle w:val="Hyperlink"/>
            <w:rFonts w:ascii="Times New Roman" w:eastAsia="Calibri" w:hAnsi="Times New Roman"/>
            <w:sz w:val="24"/>
            <w:szCs w:val="24"/>
            <w14:ligatures w14:val="none"/>
          </w:rPr>
          <w:t>org</w:t>
        </w:r>
        <w:r w:rsidRPr="001644F2">
          <w:rPr>
            <w:rStyle w:val="Hyperlink"/>
            <w:rFonts w:ascii="Times New Roman" w:eastAsia="Calibri" w:hAnsi="Times New Roman"/>
            <w:sz w:val="24"/>
            <w:szCs w:val="24"/>
            <w:lang w:val="ru-RU"/>
            <w14:ligatures w14:val="none"/>
          </w:rPr>
          <w:t>/0009-0008-3709-7105</w:t>
        </w:r>
      </w:hyperlink>
    </w:p>
    <w:p w14:paraId="67EDA9B8" w14:textId="77777777" w:rsidR="00FC4DBB" w:rsidRPr="00B44B71" w:rsidRDefault="00FC4DBB" w:rsidP="00023291">
      <w:pPr>
        <w:tabs>
          <w:tab w:val="left" w:pos="9638"/>
        </w:tabs>
        <w:spacing w:after="0" w:line="240" w:lineRule="auto"/>
        <w:ind w:right="-1" w:firstLine="709"/>
        <w:jc w:val="right"/>
        <w:rPr>
          <w:rFonts w:ascii="Times New Roman" w:eastAsia="Calibri" w:hAnsi="Times New Roman" w:cs="Times New Roman"/>
          <w:color w:val="0070C0"/>
          <w:sz w:val="24"/>
          <w:szCs w:val="24"/>
          <w:u w:val="single"/>
          <w:lang w:val="ru-RU"/>
          <w14:ligatures w14:val="none"/>
        </w:rPr>
      </w:pPr>
    </w:p>
    <w:p w14:paraId="065D9722" w14:textId="75981F17" w:rsidR="00B44B71" w:rsidRPr="00B44B71" w:rsidRDefault="00B44B71" w:rsidP="001F540E">
      <w:pPr>
        <w:tabs>
          <w:tab w:val="left" w:pos="9638"/>
        </w:tabs>
        <w:spacing w:after="0" w:line="240" w:lineRule="auto"/>
        <w:ind w:right="283"/>
        <w:jc w:val="center"/>
        <w:rPr>
          <w:rFonts w:ascii="Times New Roman" w:eastAsia="Calibri" w:hAnsi="Times New Roman" w:cs="Times New Roman"/>
          <w:b/>
          <w:bCs/>
          <w:sz w:val="24"/>
          <w:szCs w:val="24"/>
          <w:lang w:val="uk-UA"/>
          <w14:ligatures w14:val="none"/>
        </w:rPr>
      </w:pPr>
      <w:r w:rsidRPr="00B44B71">
        <w:rPr>
          <w:rFonts w:ascii="Times New Roman" w:eastAsia="Calibri" w:hAnsi="Times New Roman" w:cs="Times New Roman"/>
          <w:b/>
          <w:bCs/>
          <w:sz w:val="24"/>
          <w:szCs w:val="24"/>
          <w:lang w:val="uk-UA"/>
          <w14:ligatures w14:val="none"/>
        </w:rPr>
        <w:t>ПЕДАГОГІЧНІ УМОВИ РОЗВИТКУ МЕДІАГРАМОТНОСТІ КУРСАНТІВ ФАКУЛЬТЕТУ ВІЙСЬКОВОЇ ПІДГОТОВКИ ДЕРЖСПЕЦТРАНССЛУЖБИ В ПРОЦЕСІ ФАХОВОЇ ПІДГОТОВКИ</w:t>
      </w:r>
    </w:p>
    <w:p w14:paraId="4F7B99A4" w14:textId="77777777" w:rsidR="00B44B71" w:rsidRPr="00B44B71" w:rsidRDefault="00B44B71" w:rsidP="001F540E">
      <w:pPr>
        <w:tabs>
          <w:tab w:val="left" w:pos="9638"/>
        </w:tabs>
        <w:spacing w:after="0" w:line="240" w:lineRule="auto"/>
        <w:ind w:right="283" w:firstLine="709"/>
        <w:jc w:val="center"/>
        <w:rPr>
          <w:rFonts w:ascii="Times New Roman" w:eastAsia="Calibri" w:hAnsi="Times New Roman" w:cs="Times New Roman"/>
          <w:sz w:val="24"/>
          <w:szCs w:val="24"/>
          <w:lang w:val="uk-UA"/>
          <w14:ligatures w14:val="none"/>
        </w:rPr>
      </w:pPr>
    </w:p>
    <w:p w14:paraId="53C1FB73" w14:textId="77777777" w:rsidR="00B44B71" w:rsidRPr="00B44B71" w:rsidRDefault="00B44B71" w:rsidP="00023291">
      <w:pPr>
        <w:tabs>
          <w:tab w:val="left" w:pos="9638"/>
        </w:tabs>
        <w:spacing w:after="0" w:line="240" w:lineRule="auto"/>
        <w:ind w:right="-1" w:firstLine="709"/>
        <w:jc w:val="both"/>
        <w:rPr>
          <w:rFonts w:ascii="Times New Roman" w:eastAsia="Calibri" w:hAnsi="Times New Roman" w:cs="Times New Roman"/>
          <w:i/>
          <w:iCs/>
          <w:sz w:val="24"/>
          <w:szCs w:val="24"/>
          <w:lang w:val="uk-UA"/>
          <w14:ligatures w14:val="none"/>
        </w:rPr>
      </w:pPr>
      <w:r w:rsidRPr="00B44B71">
        <w:rPr>
          <w:rFonts w:ascii="Times New Roman" w:eastAsia="Calibri" w:hAnsi="Times New Roman" w:cs="Times New Roman"/>
          <w:i/>
          <w:iCs/>
          <w:sz w:val="24"/>
          <w:szCs w:val="24"/>
          <w:lang w:val="uk-UA"/>
          <w14:ligatures w14:val="none"/>
        </w:rPr>
        <w:t>У статті досліджено проблему розвитку медіаграмотності курсантів факультету військової підготовки Державної спеціальної служби транспорту Українського державного університету науки і технологій (далі – факультет)в умовах інформаційного протиборства. Обґрунтовано її значення як складової фахової підготовки майбутніх офіцерів та як чинника забезпечення інформаційної стійкості. Проаналізовано наукові дослідження і публікації щодо медіаграмотності та визначено її особливості у військовій освіті. Узагальнено міжнародний досвід держав-членів НАТО щодо інтеграції медіаосвіти у підготовку військовослужбовців. Обґрунтовано комплекс педагогічних умов розвитку медіаграмотності курсантів факультету, що включає інтеграцію медіаосвіти у зміст фахової підготовки, використання практикоорієнтованих методів навчання, створення інформаційно-освітнього середовища та розвиток інформаційної стійкості.</w:t>
      </w:r>
    </w:p>
    <w:p w14:paraId="53D84092" w14:textId="77777777" w:rsidR="00B44B71" w:rsidRPr="00B44B71" w:rsidRDefault="00B44B71" w:rsidP="00023291">
      <w:pPr>
        <w:tabs>
          <w:tab w:val="left" w:pos="9638"/>
        </w:tabs>
        <w:spacing w:after="0" w:line="240" w:lineRule="auto"/>
        <w:ind w:right="-1" w:firstLine="709"/>
        <w:jc w:val="both"/>
        <w:rPr>
          <w:rFonts w:ascii="Times New Roman" w:eastAsia="Calibri" w:hAnsi="Times New Roman" w:cs="Times New Roman"/>
          <w:i/>
          <w:iCs/>
          <w:sz w:val="24"/>
          <w:szCs w:val="24"/>
          <w:lang w:val="uk-UA"/>
          <w14:ligatures w14:val="none"/>
        </w:rPr>
      </w:pPr>
      <w:r w:rsidRPr="00B44B71">
        <w:rPr>
          <w:rFonts w:ascii="Times New Roman" w:eastAsia="Calibri" w:hAnsi="Times New Roman" w:cs="Times New Roman"/>
          <w:b/>
          <w:bCs/>
          <w:i/>
          <w:iCs/>
          <w:sz w:val="24"/>
          <w:szCs w:val="24"/>
          <w:lang w:val="uk-UA"/>
          <w14:ligatures w14:val="none"/>
        </w:rPr>
        <w:t>Ключові слова:</w:t>
      </w:r>
      <w:r w:rsidRPr="00B44B71">
        <w:rPr>
          <w:rFonts w:ascii="Times New Roman" w:eastAsia="Calibri" w:hAnsi="Times New Roman" w:cs="Times New Roman"/>
          <w:i/>
          <w:iCs/>
          <w:sz w:val="24"/>
          <w:szCs w:val="24"/>
          <w:lang w:val="uk-UA"/>
          <w14:ligatures w14:val="none"/>
        </w:rPr>
        <w:t xml:space="preserve"> медіаграмотність; військова освіта; курсанти; інформаційна війна; критичне мислення; НАТО; інформаційна стійкість.</w:t>
      </w:r>
    </w:p>
    <w:p w14:paraId="2A31FA0E" w14:textId="77777777" w:rsidR="00B44B71" w:rsidRPr="00B44B71" w:rsidRDefault="00B44B71" w:rsidP="00023291">
      <w:pPr>
        <w:tabs>
          <w:tab w:val="left" w:pos="9638"/>
        </w:tabs>
        <w:spacing w:after="0" w:line="240" w:lineRule="auto"/>
        <w:ind w:right="-1" w:firstLine="709"/>
        <w:jc w:val="both"/>
        <w:rPr>
          <w:rFonts w:ascii="Times New Roman" w:eastAsia="Calibri" w:hAnsi="Times New Roman" w:cs="Times New Roman"/>
          <w:sz w:val="24"/>
          <w:szCs w:val="24"/>
          <w:lang w:val="uk-UA"/>
          <w14:ligatures w14:val="none"/>
        </w:rPr>
      </w:pPr>
    </w:p>
    <w:p w14:paraId="5A52BCD5" w14:textId="77777777" w:rsidR="00B44B71" w:rsidRPr="00B44B71" w:rsidRDefault="00B44B71" w:rsidP="00023291">
      <w:pPr>
        <w:tabs>
          <w:tab w:val="left" w:pos="9638"/>
        </w:tabs>
        <w:spacing w:after="0" w:line="240" w:lineRule="auto"/>
        <w:ind w:right="-1" w:firstLine="709"/>
        <w:jc w:val="both"/>
        <w:rPr>
          <w:rFonts w:ascii="Times New Roman" w:eastAsia="Calibri" w:hAnsi="Times New Roman" w:cs="Times New Roman"/>
          <w:color w:val="EE0000"/>
          <w:sz w:val="28"/>
          <w:szCs w:val="28"/>
          <w:lang w:val="uk-UA"/>
          <w14:ligatures w14:val="none"/>
        </w:rPr>
      </w:pPr>
      <w:r w:rsidRPr="00B44B71">
        <w:rPr>
          <w:rFonts w:ascii="Times New Roman" w:eastAsia="Calibri" w:hAnsi="Times New Roman" w:cs="Times New Roman"/>
          <w:b/>
          <w:bCs/>
          <w:sz w:val="28"/>
          <w:szCs w:val="28"/>
          <w:lang w:val="uk-UA"/>
          <w14:ligatures w14:val="none"/>
        </w:rPr>
        <w:t>Постановка проблеми</w:t>
      </w:r>
      <w:r w:rsidRPr="00B44B71">
        <w:rPr>
          <w:rFonts w:ascii="Times New Roman" w:eastAsia="Calibri" w:hAnsi="Times New Roman" w:cs="Times New Roman"/>
          <w:sz w:val="28"/>
          <w:szCs w:val="28"/>
          <w:lang w:val="uk-UA"/>
          <w14:ligatures w14:val="none"/>
        </w:rPr>
        <w:t xml:space="preserve">. Розвиток інформаційно-комунікаційних технологій, зокрема Інтернету та соціальних мереж, кардинально змінив швидкість і масштаби поширення комунікації, водночас підвищивши ризики розповсюдження неправдивої та навмисно викривленої інформації. У сучасному суспільстві, де медіа мають значний вплив на свідомість і поведінку громадян, а влада знань та інформації є вирішальною в управлінні державою, зростає роль медіаграмотності. </w:t>
      </w:r>
    </w:p>
    <w:p w14:paraId="332317BD" w14:textId="77777777" w:rsidR="00B44B71" w:rsidRPr="00B44B71" w:rsidRDefault="00B44B71" w:rsidP="00023291">
      <w:pPr>
        <w:tabs>
          <w:tab w:val="left" w:pos="9638"/>
        </w:tabs>
        <w:spacing w:after="0" w:line="240" w:lineRule="auto"/>
        <w:ind w:right="-1"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В добу цифрового суспільства інформація перетворилася на важливий ресурс, а контроль над нею – на ключовий чинник політичної, економічної та військової могутності. У ході сучасної російсько-української війни інформаційна сфера стала одним із головних напрямів гібридного протиборства, де важливу роль відіграють не лише озброєння, а й інформаційно-психологічні впливи, маніпуляції, дезінформація та пропаганда. </w:t>
      </w:r>
    </w:p>
    <w:p w14:paraId="645277C3" w14:textId="77777777" w:rsidR="00B44B71" w:rsidRPr="00B44B71" w:rsidRDefault="00B44B71" w:rsidP="00023291">
      <w:pPr>
        <w:tabs>
          <w:tab w:val="left" w:pos="9638"/>
        </w:tabs>
        <w:spacing w:after="0" w:line="240" w:lineRule="auto"/>
        <w:ind w:right="-1"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У цих умовах особливої актуальності набуває проблема розвитку медіаграмотності курсантів вищих військових навчальних закладів. Інформаційний компонент сучасних воєнних конфліктів зумовлює потребу в офіцерах, здатних критично оцінювати інформаційні потоки, розпізнавати дезінформацію, протидіяти інформаційно-психологічним операціям та дотримуватися принципів цифрової безпеки у службовій діяльності.</w:t>
      </w:r>
    </w:p>
    <w:p w14:paraId="4AC96654" w14:textId="77777777" w:rsidR="00B44B71" w:rsidRPr="00B44B71" w:rsidRDefault="00B44B71" w:rsidP="00023291">
      <w:pPr>
        <w:tabs>
          <w:tab w:val="left" w:pos="9638"/>
        </w:tabs>
        <w:spacing w:after="0" w:line="240" w:lineRule="auto"/>
        <w:ind w:right="-14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В Україні більшість ВВНЗ лише частково інтегрують медіаграмотність у курси з інформаційної безпеки, психології чи етики комунікації [1; 2]. Водночас </w:t>
      </w:r>
      <w:r w:rsidRPr="00B44B71">
        <w:rPr>
          <w:rFonts w:ascii="Times New Roman" w:eastAsia="Calibri" w:hAnsi="Times New Roman" w:cs="Times New Roman"/>
          <w:sz w:val="28"/>
          <w:szCs w:val="28"/>
          <w:lang w:val="uk-UA"/>
          <w14:ligatures w14:val="none"/>
        </w:rPr>
        <w:lastRenderedPageBreak/>
        <w:t xml:space="preserve">досвід провідних країн НАТО свідчить, що розвиток медіакомпетентності офіцерів є складовою системної підготовки до дій в умовах гібридної війни. </w:t>
      </w:r>
    </w:p>
    <w:p w14:paraId="2B679356" w14:textId="77777777" w:rsidR="00B44B71" w:rsidRPr="00B44B71" w:rsidRDefault="00B44B71" w:rsidP="00023291">
      <w:pPr>
        <w:tabs>
          <w:tab w:val="left" w:pos="9638"/>
        </w:tabs>
        <w:spacing w:after="0" w:line="240" w:lineRule="auto"/>
        <w:ind w:right="-14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b/>
          <w:bCs/>
          <w:sz w:val="28"/>
          <w:szCs w:val="28"/>
          <w:lang w:val="uk-UA"/>
          <w14:ligatures w14:val="none"/>
        </w:rPr>
        <w:t>Мета статті</w:t>
      </w:r>
      <w:r w:rsidRPr="00B44B71">
        <w:rPr>
          <w:rFonts w:ascii="Times New Roman" w:eastAsia="Calibri" w:hAnsi="Times New Roman" w:cs="Times New Roman"/>
          <w:sz w:val="28"/>
          <w:szCs w:val="28"/>
          <w:lang w:val="uk-UA"/>
          <w14:ligatures w14:val="none"/>
        </w:rPr>
        <w:t xml:space="preserve"> – аналіз міжнародного досвіду держав-членів НАТО щодо розвитку медіаграмотності у військовій сфері та визначення педагогічних умов розвитку медіаграмотності курсантів факультету у процесі фахової підготовки.</w:t>
      </w:r>
    </w:p>
    <w:p w14:paraId="3F8C1685" w14:textId="77777777" w:rsidR="00B44B71" w:rsidRPr="00B44B71" w:rsidRDefault="00B44B71" w:rsidP="00023291">
      <w:pPr>
        <w:tabs>
          <w:tab w:val="left" w:pos="9638"/>
        </w:tabs>
        <w:spacing w:after="0" w:line="240" w:lineRule="auto"/>
        <w:ind w:right="-14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b/>
          <w:bCs/>
          <w:sz w:val="28"/>
          <w:szCs w:val="28"/>
          <w:lang w:val="uk-UA"/>
          <w14:ligatures w14:val="none"/>
        </w:rPr>
        <w:t>Методи дослідження.</w:t>
      </w:r>
      <w:r w:rsidRPr="00B44B71">
        <w:rPr>
          <w:rFonts w:ascii="Times New Roman" w:eastAsia="Calibri" w:hAnsi="Times New Roman" w:cs="Times New Roman"/>
          <w:sz w:val="28"/>
          <w:szCs w:val="28"/>
          <w:lang w:val="uk-UA"/>
          <w14:ligatures w14:val="none"/>
        </w:rPr>
        <w:t xml:space="preserve"> Для дослідження використано загальнонаукові методи, зокрема: аналіз і узагальнення наукових джерел – для визначення теоретичних засад медіаграмотності; порівняльний аналіз – для вивчення міжнародного досвіду держав-членів НАТО; систематизацію та узагальнення – для обґрунтування педагогічних умов розвитку медіаграмотності курсантів факультету.</w:t>
      </w:r>
    </w:p>
    <w:p w14:paraId="7C48C2B5"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b/>
          <w:bCs/>
          <w:sz w:val="28"/>
          <w:szCs w:val="28"/>
          <w:lang w:val="uk-UA"/>
          <w14:ligatures w14:val="none"/>
        </w:rPr>
        <w:t>Аналіз останніх досліджень і публікацій.</w:t>
      </w:r>
      <w:r w:rsidRPr="00B44B71">
        <w:rPr>
          <w:rFonts w:ascii="Times New Roman" w:eastAsia="Calibri" w:hAnsi="Times New Roman" w:cs="Times New Roman"/>
          <w:b/>
          <w:bCs/>
          <w:sz w:val="28"/>
          <w:szCs w:val="28"/>
          <w:lang w:val="ru-RU"/>
          <w14:ligatures w14:val="none"/>
        </w:rPr>
        <w:t xml:space="preserve"> </w:t>
      </w:r>
      <w:r w:rsidRPr="00B44B71">
        <w:rPr>
          <w:rFonts w:ascii="Times New Roman" w:eastAsia="Calibri" w:hAnsi="Times New Roman" w:cs="Times New Roman"/>
          <w:sz w:val="28"/>
          <w:szCs w:val="28"/>
          <w:lang w:val="uk-UA"/>
          <w14:ligatures w14:val="none"/>
        </w:rPr>
        <w:t>Проблема медіаграмотності впродовж останніх десятиліть стала предметом активного наукового осмислення у вітчизняному та зарубіжному науковому дискурсі. Її актуалізація зумовлена не лише розширенням інформаційного середовища, а й докорінною зміною характеру комунікації: від переважно одностороннього транслювання інформації до мережевої, інтерактивної та алгоритмізованої взаємодії. У зв’язку з цим медіаграмотність сьогодні розглядають як важливу умову інформаційної безпеки, громадянської стійкості та професійної готовності військового фахівця [3].</w:t>
      </w:r>
    </w:p>
    <w:p w14:paraId="0E628428"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У зарубіжній науковій традиції теоретичні основи дослідження медіаграмотності були закладені ще у другій половині ХХ століття.                       М. Маклюен обґрунтував положення про те, що медіа не обмежуються функцією передавання повідомлень, а формують сам спосіб сприйняття реальності людиною. Н. Постман звернув увагу на ризики некритичного споживання інформації та наголосив на необхідності освітніх механізмів для розвитку медіаграмотності [4]. Д. Бакінгем розвинув ці підходи, розглядаючи медіаосвіту як процес формування критичного мислення, соціальної свідомості та здатності інтерпретувати медійні повідомлення в їх культурному й політичному контексті [5]. Узагальнюючи зарубіжний досвід, можна стверджувати, що в класичних концепціях медіаграмотності було закладено її когнітивний, ціннісний і соціокультурний виміри.</w:t>
      </w:r>
    </w:p>
    <w:p w14:paraId="7474A34F"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Підходи до вивчення медіаграмотності у 2000–2010 рр. значною мірою ґрунтувалися на протекціоністській моделі, у межах якої медіаосвіта розумілася насамперед як засіб захисту користувача від маніпулятивного впливу традиційних медіа. У центрі уваги перебували редакційна політика, структура власності медіа, виявлення прихованої реклами чи заангажованості телевізійного контенту. Такі підходи мали важливе значення для становлення самої проблематики медіаграмотності, однак сьогодні виявляють свою обмеженість, оскільки спираються на ієрархічну модель комунікації «джерело – аудиторія», що вже не відображає повною мірою реалій цифрового середовища.</w:t>
      </w:r>
    </w:p>
    <w:p w14:paraId="39A9F10E"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lastRenderedPageBreak/>
        <w:t>Сучасний етап розвитку медіасередовища пов’язаний із трансформацією ролі суб’єкта комунікації. Якщо раніше аудиторія розглядалася переважно як споживач інформації, то нині вона одночасно виступає і виробником контенту. Кожен користувач соціальних платформ потенційно є джерелом поширення інформації, що, з одного боку, демократизує комунікацію, а з іншого – істотно підвищує ризики тиражування неперевірених повідомлень, фейків, маніпулятивних інтерпретацій і деструктивних наративів. Якщо раніше медіаграмотність вимагала перевірки офіційних джерел, то зараз кожен користувач смартфона є потенційним транслятором новин. Це створює проблему «інформаційного шуму», де аматорський контент (наприклад, стрім з місця подій у TikTok чи Telegram) часто має більший рівень довіри, ніж офіційні повідомлення, попри відсутність верифікації. Отже, сучасна медіаграмотність передбачає відповідальну участь у продукуванні, поширенні та оцінюванні контенту.</w:t>
      </w:r>
    </w:p>
    <w:p w14:paraId="47917A88"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Істотно змінилися й механізми формування інформаційного порядку денного. Якщо в традиційних медіа функцію відбору виконували редактори, то в цифровому середовищі її дедалі більше здійснюють алгоритми платформ. Саме тому важливим етапом у розвитку теорії стала поява досліджень, присвячених алгоритмічному кураторству інформації та феномену «інформаційних бульбашок». Е. Парізер переконливо показав, що персоналізовані алгоритми відбору контенту звужують інформаційне поле людини та посилюють ефект «ехо-камери», коли користувач стикається переважно з тими повідомленнями, які підтверджують уже наявні переконання [6]. За таких умов медіаграмотність має включати не тільки аналіз змісту повідомлення, а й розуміння причин, через які саме цей контент став видимим для конкретного користувача.</w:t>
      </w:r>
    </w:p>
    <w:p w14:paraId="33168215"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У вітчизняному науковому просторі проблема медіаграмотності активно розробляється з початку ХХІ століття. Вагомий внесок у її теоретичне осмислення зробили В. Іванов та О. Волошенюк, які розглядають медіаграмотність як сукупність знань, умінь, навичок і ціннісних установок, що забезпечують критичне сприйняття, аналіз, оцінювання та створення медіаповідомлень. Соціально-психологічний аспект проблеми послідовно розробляє Л. Найдьонова, яка трактує медіаграмотність як складову медіакультури особистості та пов’язує її з розвитком відповідального ставлення до інформації [7]. Нормативно-концептуальне значення для української медіаосвіти має «Концепція впровадження медіаосвіти в Україні», у якій визначено основні принципи, цілі та напрями розвитку медіаграмотності [8].</w:t>
      </w:r>
    </w:p>
    <w:p w14:paraId="01892ED5"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Разом із тим критичний розгляд вітчизняних досліджень показує, що впродовж тривалого часу вони були зосереджені переважно на загальноосвітньому контексті: формуванні медіакомпетентності учнів, студентів і педагогів, розвитку критичного мислення, медіакультури та інформаційної обізнаності. Це забезпечило вагомий теоретичний фундамент, </w:t>
      </w:r>
      <w:r w:rsidRPr="00B44B71">
        <w:rPr>
          <w:rFonts w:ascii="Times New Roman" w:eastAsia="Calibri" w:hAnsi="Times New Roman" w:cs="Times New Roman"/>
          <w:sz w:val="28"/>
          <w:szCs w:val="28"/>
          <w:lang w:val="uk-UA"/>
          <w14:ligatures w14:val="none"/>
        </w:rPr>
        <w:lastRenderedPageBreak/>
        <w:t>однак не розв’язало низку спеціальних питань, пов’язаних із фахово орієнтованим розвитком медіаграмотності військовослужбовців, особливо в умовах гібридних загроз та інформаційної війни. Потребують додаткового дослідження нові типи інформаційних ризиків.</w:t>
      </w:r>
    </w:p>
    <w:p w14:paraId="06D654A2"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Дедалі вагомішим стає напрям дослідження медіаграмотності в умовах війни та інформаційного протиборства, де вона розглядається як інструмент протидії дезінформації, пропаганді, інформаційно-психологічним операціям, а також як чинник розвитку інформаційної стійкості [9; 10]. У посібнику «Медіаграмотність у часи війни» акцентується увага на цифровій гігієні, верифікації контенту, розпізнаванні маніпуляцій, емоційно забарвлених меседжів і фейкових повідомлень. </w:t>
      </w:r>
    </w:p>
    <w:p w14:paraId="6779879E"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Особливої уваги в сучасних дослідженнях набуває проблема розвитку медіаграмотності військовослужбовців і курсантів. У статті С. Ізбаш обґрунтовано психолого-педагогічні умови формування медіаграмотності курсантів Національної академії Національної гвардії України, серед яких виокремлено діагностику рівня медіаграмотності, формування суб’єкт-суб’єктної взаємодії, тренінги з розвитку критичного мислення, стимулювання саморозвитку, а також профілактику негативного впливу медіа на психіку [11]. У дисертаційному дослідженні О. Кіріакіді на матеріалі підготовки майбутніх офіцерів Військово-Морських Сил Збройних Сил України обґрунтовано педагогічні умови розвитку медіаграмотності, що охоплюють базові знання з медіаграмотності та інформаційної безпеки, використання засобів неформальної освіти, інтерактивних технологій навчання і дослідницьких методів протидії дезінформації [12]. У дослідженні О. Ільченко та П. Ткача доведено доцільність інтегрування елементів медіаграмотності у курс лідерства для майбутніх офіцерів Національної гвардії України, що дає змогу розвивати критичне мислення, імунітет до пропаганди, навички взаємодії з медіа та використання інформації в інтересах військової організації. Такі праці демонструють перехід від декларативного визнання важливості медіаграмотності до її реального включення у фахову підготовку курсантів.</w:t>
      </w:r>
    </w:p>
    <w:p w14:paraId="3C54A9A7"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Систематизація джерел дає підстави стверджувати, що у розвитку наукових уявлень про медіаграмотність можна виокремити кілька етапів. Перший етап пов’язаний із осмисленням ролі медіа у формуванні мислення та суспільної свідомості; другий – із розвитком медіаосвіти як засобу критичного сприйняття традиційних медіа; третій – із переходом до цифрового середовища, алгоритмізації контенту; четвертий – із безпековою переорієнтацією медіаграмотності в умовах війни, маніпуляцій, інформаційних операцій та ШІ-дезінформації. Саме останній етап визначає головний зміст сучасного стану проблеми.</w:t>
      </w:r>
    </w:p>
    <w:p w14:paraId="16FD4762"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Попередніми науковими дослідженнями було сформовано базовий понятійний апарат, окреслено основні підходи до медіаосвіти, доведено значення критичного мислення, розроблено окремі педагогічні умови та моделі розвитку медіаграмотності у освіті населення. </w:t>
      </w:r>
    </w:p>
    <w:p w14:paraId="0DA83AAB"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lastRenderedPageBreak/>
        <w:t>Головним у сучасному стані дослідження медіаграмотності є необхідність радикальної зміни парадигми медіаосвіти. Якщо раніше медіаграмотність розглядалася як приватна справа освіченості індивіда, то сьогодні вона трансформується у стратегічну складову національної безпеки [13]. Ворог атакує не окремих осіб, а соціальні групи, експлуатуючи наявні розколи в суспільстві. Генеративний ШІ дозволяє створювати велику кількість контенту, адаптованого під психопрофіль конкретного користувача. Дипфейки (аудіо та відео) роблять класичну пораду «довіряй власним очам» небезпечним анахронізмом. Ключовою трансформацією сучасності є усвідомлення того, що спростування фейку (fact-checking) завжди запізнюється. Психологічний ефект «первинного сприйняття» залишає слід у свідомості, навіть якщо інформацію офіційно заперечено. Критичною необхідністю стає концепція pre-bunking (превентивне розвінчування), що базується на превентивному поясненні суспільству механізмів, які будуть використані ворогом для маніпуляції ними завтра.</w:t>
      </w:r>
    </w:p>
    <w:p w14:paraId="09DF7137"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Саме ці обставини зумовлюють необхідність подальшого наукового обґрунтування педагогічних умов розвитку медіаграмотності курсантів вищих військових навчальних закладів України з урахуванням специфіки їхньої фахової діяльності та сучасних викликів інформаційної війни.</w:t>
      </w:r>
    </w:p>
    <w:p w14:paraId="5C06FC35"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b/>
          <w:bCs/>
          <w:sz w:val="28"/>
          <w:szCs w:val="28"/>
          <w:lang w:val="uk-UA"/>
          <w14:ligatures w14:val="none"/>
        </w:rPr>
        <w:t>Виклад основного матеріалу</w:t>
      </w:r>
      <w:r w:rsidRPr="00B44B71">
        <w:rPr>
          <w:rFonts w:ascii="Times New Roman" w:eastAsia="Calibri" w:hAnsi="Times New Roman" w:cs="Times New Roman"/>
          <w:sz w:val="28"/>
          <w:szCs w:val="28"/>
          <w:lang w:val="uk-UA"/>
          <w14:ligatures w14:val="none"/>
        </w:rPr>
        <w:t>. У Стратегічній концепції НАТО 2022 року зазначено, що «інформаційний простір є ключовим полем протистояння» [14]. Того ж року Тесса Джоллс опублікувала звіт в рамках нагороди Фулбрайта-НАТО з досліджень у сфері безпеки, що позиціонує медіаграмотність як стратегічний оборонний інструмент для країн Трансатлантичного регіону (членів НАТО та союзників). Необхідність цього підходу пояснюється зростанням кількості дезінформаційних операцій і використанням інформації як зброї [15].</w:t>
      </w:r>
    </w:p>
    <w:p w14:paraId="1306640F"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В цьому контексті у більшості країн-членів Альянсу (зокрема, у Фінляндії, Великій Британії, Канаді, Естонії, Литві) медіаграмотність впроваджена в систему підготовки офіцерів. Зокрема, Центр стратегічних комунікацій НАТО (NATO StratCom COE, Латвія) реалізує освітні програми для офіцерів, спрямовані на аналіз пропагандистських наративів, розпізнавання маніпуляцій та вивчення впливу соціальних медіа на оперативну безпеку. Ці курси поєднують практичну роботу з реальними кейсами інформаційних операцій і тренінги з кризової комунікації. Для реалізації цих програм використовується проєкт «InfoRange» – інтенсивна симуляційна платформа для моделювання інформаційного простору на тактичному, оперативному та стратегічному рівнях. StratCom COE використовує імітаційне програмне забезпечення для занурення в цифрове інформаційне середовище з метою навчання та експериментів, яке може симулювати мережі ботів у соціальних медіа та інші інформаційні загрози. Це дозволяє вивчати вплив соціальних медіа на безпекове середовище. </w:t>
      </w:r>
    </w:p>
    <w:p w14:paraId="77394F04"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lastRenderedPageBreak/>
        <w:t>Слід відмітити, що Фінляндія – одна з найуспішніших держав у побудові національної системи медіаграмотності. З 2013 року в країні діє Національна стратегія медіаосвіти, що охоплює всі рівні освіти – від початкової школи до підготовки військових кадрів.</w:t>
      </w:r>
    </w:p>
    <w:p w14:paraId="6C9935CD"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Особливість фінської моделі – тісна співпраця між Міністерством освіти, Міністерством оборони, громадськими організаціями та медіакомпаніями. Завдяки системній роботі Фінляндія входить до трійки найстійкіших країн до дезінформації у Європі (за індексом Media Literacy Index, 2024 рік). </w:t>
      </w:r>
    </w:p>
    <w:p w14:paraId="4CB1E24C"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Значний внесок у розвитку медіаграмотності військовослужбовців вносить Фінський Національний Університет Оборони (FNDU). Тут майбутні офіцери та вищий командний склад вивчають в процесі підготовки стратегічні комунікації та інформаційний вплив, що розвиває критичний аналіз та розуміння наявних гібридних загроз. Підготовка формується на основі «Моделі всеосяжної безпеки» та «Стратегії безпеки для суспільства» 2017 року [16].</w:t>
      </w:r>
    </w:p>
    <w:p w14:paraId="5F435BF1"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Дослідження RAND Corporation підкреслюють: опанування навичок аналізу інформації можливе лише через практику, а не теоретичні лекції. Практичні модулі мають стати основою навчання. Дослідження країн НАТО та ЄС підтверджують, що практичні симуляції та кейси є в рази ефективнішими за традиційне навчання [17].</w:t>
      </w:r>
    </w:p>
    <w:p w14:paraId="362B20B1"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Загалом міжнародна практика свідчить, що ефективний розвиток медіаграмотності у військових структурах передбачає: </w:t>
      </w:r>
    </w:p>
    <w:p w14:paraId="2F91EE9C"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інституційну підтримку (створення спеціалізованих освітніх центрів і програм);</w:t>
      </w:r>
    </w:p>
    <w:p w14:paraId="0C7B9504"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міжсекторальну взаємодію (співпраця військових, науковців і медіаекспертів); </w:t>
      </w:r>
    </w:p>
    <w:p w14:paraId="7C1072B9"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практичну спрямованість навчання (аналіз реальних кейсів, інформаційних атак, інформаційної поведінки супротивника); </w:t>
      </w:r>
    </w:p>
    <w:p w14:paraId="1E0E0CDC"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критичну автономію військовослужбовця, що дозволяє зберігати стійкість до інформаційно-психологічних впливів. </w:t>
      </w:r>
    </w:p>
    <w:p w14:paraId="1C100BE5"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Отже, головним у міжнародному досвіді є розуміння медіаграмотності як стратегічного ресурсу держави, що забезпечує освітній розвиток особистості, інформаційну стійкість суспільства та сектору безпеки й оборони. Узагальнення практик США, ЄС і НАТО дає підстави стверджувати, що ефективний розвиток медіаграмотності військовослужбовців можливе лише за умови системної інтеграції її у фахову підготовку, широкого використання практико-орієнтованих методів, кейсів і симуляцій, а також міжсекторальної взаємодії освітніх, оборонних і громадських інституцій. </w:t>
      </w:r>
    </w:p>
    <w:p w14:paraId="2EA51DF8"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В нашій країні медіаграмотність активно впроваджується завдяки освітнім медіаплатформам МОН </w:t>
      </w:r>
      <w:bookmarkStart w:id="10" w:name="_Hlk217911877"/>
      <w:r w:rsidRPr="00B44B71">
        <w:rPr>
          <w:rFonts w:ascii="Times New Roman" w:eastAsia="Calibri" w:hAnsi="Times New Roman" w:cs="Times New Roman"/>
          <w:sz w:val="28"/>
          <w:szCs w:val="28"/>
          <w:lang w:val="uk-UA"/>
          <w14:ligatures w14:val="none"/>
        </w:rPr>
        <w:t xml:space="preserve">України </w:t>
      </w:r>
      <w:bookmarkEnd w:id="10"/>
      <w:r w:rsidRPr="00B44B71">
        <w:rPr>
          <w:rFonts w:ascii="Times New Roman" w:eastAsia="Calibri" w:hAnsi="Times New Roman" w:cs="Times New Roman"/>
          <w:sz w:val="28"/>
          <w:szCs w:val="28"/>
          <w:lang w:val="uk-UA"/>
          <w14:ligatures w14:val="none"/>
        </w:rPr>
        <w:t>та Міністерству оборони України (Prometheus, «Фільтр», «Learn to Discern (Вивчай і розрізняй)», «Дія. Освіта» тощо), однак вони можуть виступати лише як доповнення до процесу розвитку медіаосвіти курсантів ВВНЗ.</w:t>
      </w:r>
    </w:p>
    <w:p w14:paraId="0F7B7B67"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lastRenderedPageBreak/>
        <w:t>Для військових медіаграмотність є навичкою інформаційної безпеки, психологічної стійкості та інтелектуальної захищеності офіцера. Вона поєднує когнітивні, критичні, етичні та діяльнісні компоненти. Для курсантів це означає вміння критично мислити в умовах інформаційного тиску, перевіряти джерела та розпізнавати фейки, зберігати внутрішню рівновагу при масованих інформаційно-психологічних атаках, грамотно і безпечно комунікувати у відкритому медіапросторі.</w:t>
      </w:r>
    </w:p>
    <w:p w14:paraId="0F39DCC3"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Військовий контекст додає до цього ще один важливий компонент – етичну відповідальність за інформаційні дії, адже слово, сказане чи написане військовослужбовцем, може вплинути на моральний стан, дисципліну або безпеку підрозділу та бути інтерпретоване суспільством як офіційна позиція Збройних сил України. Таким чином, проблема розвитку медіаграмотності курсантів є національним пріоритетом у вищій військовій освіті. </w:t>
      </w:r>
    </w:p>
    <w:p w14:paraId="39D6DD1D"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Зокрема, з курсантами 4-го навчального курсу факультету було проведено емпіричне дослідження шляхом анонімного опитування за допомогою вебзастосунку Google Forms (Google Workspace) [18]. Анкета охоплювала питання щодо обізнаності з медіаграмотністю, джерел отримання інформації, рівня довіри до медіа, практики перевірки інформації та розуміння дезінформації й ІПСО. </w:t>
      </w:r>
    </w:p>
    <w:p w14:paraId="02ED64D3"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Результати показали, що 88 % курсантів вважають себе обізнаними з поняттям «медіаграмотність», однак якісний аналіз відповідей засвідчив переважно спрощене її розуміння як володіння цифровими технологіями. Лише близько половини респондентів пов’язують медіаграмотність із критичним мисленням і перевіркою інформації, що свідчить про базовий рівень сформованості когнітивного компоненту.</w:t>
      </w:r>
    </w:p>
    <w:p w14:paraId="6841AA79"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Інформаційна поведінка курсантів має виражений цифровий характер: понад 90 % отримують новини з Telegram, близько 75 % – з офіційних ресурсів, дві третини – з YouTube, понад половина – з Instagram. Традиційні медіа мають незначний вплив. Це створює як можливості оперативного доступу до інформації, так і ризики її некритичного споживання.</w:t>
      </w:r>
    </w:p>
    <w:p w14:paraId="3A35CA2A"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Більшість курсантів орієнтується на офіційність джерела (понад 80 %) та наявність доказів (близько 75 %) як ключові критерії довіри, що свідчить про достатній рівень сформованості ціннісного компоненту медіаграмотності. Водночас практика перевірки інформації залишається нерівномірною: 64 % здійснюють її регулярно, тоді як частина курсантів обмежується поверхневим аналізом.</w:t>
      </w:r>
    </w:p>
    <w:p w14:paraId="3C996E72"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color w:val="EE0000"/>
          <w:sz w:val="28"/>
          <w:szCs w:val="28"/>
          <w:lang w:val="uk-UA"/>
          <w14:ligatures w14:val="none"/>
        </w:rPr>
      </w:pPr>
      <w:r w:rsidRPr="00B44B71">
        <w:rPr>
          <w:rFonts w:ascii="Times New Roman" w:eastAsia="Calibri" w:hAnsi="Times New Roman" w:cs="Times New Roman"/>
          <w:sz w:val="28"/>
          <w:szCs w:val="28"/>
          <w:lang w:val="uk-UA"/>
          <w14:ligatures w14:val="none"/>
        </w:rPr>
        <w:t>Респонденти загалом продемонстрували достатній базовий рівень медіаграмотності, зокрема у розумінні інформаційних загроз та володінні елементарними навичками фактчекінгу. Разом із тим виявлено проблемні аспекти: недостатнє володіння спеціалізованими інструментами верифікації, обмежене розуміння складних форм маніпуляції та сучасних інформаційних загроз (зокрема ШІ-контенту).</w:t>
      </w:r>
    </w:p>
    <w:p w14:paraId="652EE64D"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lastRenderedPageBreak/>
        <w:t xml:space="preserve">Отримані результати опитування курсантів факультету засвідчили, що, попри відносно високий рівень базової медіаграмотності, її когнітивний, діяльнісний та ціннісний компоненти сформовані нерівномірно і не забезпечують повною мірою готовність до ефективної діяльності в умовах інформаційного протиборства. Це свідчить про наявність протиріч між декларативними знаннями та практичними навичками роботи з інформацією. </w:t>
      </w:r>
    </w:p>
    <w:p w14:paraId="5345FE79"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Аналіз наукових досліджень у сфері медіаосвіти та військової підготовки,  узагальнення міжнародного досвіду держав-членів НАТО та результати емпіричного дослідження рівня медіаграмотності курсантів факультету дають підстави визначити наступні педагогічні умови розвитку медіаграмотності майбутніх офіцерів у процесі фахової підготовки: </w:t>
      </w:r>
    </w:p>
    <w:p w14:paraId="3F405461" w14:textId="77777777" w:rsidR="00B44B71" w:rsidRPr="00B44B71" w:rsidRDefault="00B44B71" w:rsidP="00023291">
      <w:pPr>
        <w:tabs>
          <w:tab w:val="left" w:pos="9638"/>
        </w:tabs>
        <w:spacing w:after="0" w:line="240" w:lineRule="auto"/>
        <w:ind w:right="283" w:firstLine="709"/>
        <w:contextualSpacing/>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1. Інтеграція медіаграмотності у зміст фахової підготовки майбутніх офіцерів, яка передбачає включення медіаосвітніх компонентів до дисциплін фахового циклу, що забезпечує розвиток медіаграмотності як складової фахової компетентності майбутнього офіцера.</w:t>
      </w:r>
    </w:p>
    <w:p w14:paraId="21F1E0B6" w14:textId="77777777" w:rsidR="00B44B71" w:rsidRPr="00B44B71" w:rsidRDefault="00B44B71" w:rsidP="00023291">
      <w:pPr>
        <w:tabs>
          <w:tab w:val="left" w:pos="9638"/>
        </w:tabs>
        <w:spacing w:after="0" w:line="240" w:lineRule="auto"/>
        <w:ind w:right="283" w:firstLine="709"/>
        <w:contextualSpacing/>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2. Створення інформаційно-освітнього середовища підготовки курсантів для використання симуляційних цифрових платформ, інформаційних ресурсів та аналітичних матеріалів, які забезпечують розвиток навичок роботи з інформацією.</w:t>
      </w:r>
    </w:p>
    <w:p w14:paraId="574666EE" w14:textId="77777777" w:rsidR="00B44B71" w:rsidRPr="00B44B71" w:rsidRDefault="00B44B71" w:rsidP="00023291">
      <w:pPr>
        <w:tabs>
          <w:tab w:val="left" w:pos="9638"/>
        </w:tabs>
        <w:spacing w:after="0" w:line="240" w:lineRule="auto"/>
        <w:ind w:right="283" w:firstLine="709"/>
        <w:contextualSpacing/>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3. Використання активних і практикоорієнтованих методів навчання, які реалізуються через аналіз медіатекстів, роботу з відкритими джерелами інформації (OSINT), кейс-метод, моделювання інформаційних ситуацій та дискусії. Актуальність цієї умови зумовлена тим, що сучасне інформаційне середовище характеризується високою динамікою, багатоканальністю та наявністю складних форм маніпулятивного впливу, які неможливо ефективно опанувати виключно на рівні теоретичного знання.</w:t>
      </w:r>
    </w:p>
    <w:p w14:paraId="42E796DF" w14:textId="77777777" w:rsidR="00B44B71" w:rsidRPr="00B44B71" w:rsidRDefault="00B44B71" w:rsidP="00023291">
      <w:pPr>
        <w:tabs>
          <w:tab w:val="left" w:pos="9638"/>
        </w:tabs>
        <w:spacing w:after="0" w:line="240" w:lineRule="auto"/>
        <w:ind w:right="283" w:firstLine="709"/>
        <w:contextualSpacing/>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4. Розвиток інформаційної стійкості курсантів, спрямованої на розвиток відповідального ставлення до поширення інформації, дотримання вимог інформаційної безпеки та культури комунікації у цифровому середовищі, протидії маніпуляціям і збереження психологічної стійкості в умовах інформаційного протиборства.</w:t>
      </w:r>
    </w:p>
    <w:p w14:paraId="4993BDC1" w14:textId="77777777" w:rsidR="00B44B71" w:rsidRPr="00B44B71" w:rsidRDefault="00B44B71" w:rsidP="00023291">
      <w:pPr>
        <w:tabs>
          <w:tab w:val="left" w:pos="9638"/>
        </w:tabs>
        <w:spacing w:after="0" w:line="240" w:lineRule="auto"/>
        <w:ind w:right="283" w:firstLine="709"/>
        <w:contextualSpacing/>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У дисертаційному дослідженні О. Кіріакіді доведено, що розвиток медіаграмотності майбутніх офіцерів є ефективним за умови її інтеграції у фахову підготовку та поєднання з вивченням дисциплін, пов’язаних із інформаційною безпекою та комунікаціями. Практичну значущість інтеграційного підходу підтверджують і сучасні наукові розвідки, присвячені впровадженню медіаосвітніх компонентів у фахові дисципліни. Зокрема, дослідження О. Ільченко та П. Ткача демонструє ефективність інтеграції медіаграмотності у курс лідерства, що сприяє розвитку у курсантів навичок критичного мислення, аналізу інформації та протидії пропаганді. </w:t>
      </w:r>
    </w:p>
    <w:p w14:paraId="43E37FA9"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Впровадження медіаграмотності у процес підготовки курсантів факультету може бути здійснено через окремий курс або через включення медіаосвітніх компонентів до змісту фахової підготовки майбутніх офіцерів, </w:t>
      </w:r>
      <w:r w:rsidRPr="00B44B71">
        <w:rPr>
          <w:rFonts w:ascii="Times New Roman" w:eastAsia="Calibri" w:hAnsi="Times New Roman" w:cs="Times New Roman"/>
          <w:sz w:val="28"/>
          <w:szCs w:val="28"/>
          <w:lang w:val="uk-UA"/>
          <w14:ligatures w14:val="none"/>
        </w:rPr>
        <w:lastRenderedPageBreak/>
        <w:t>зокрема у навчальні дисципліни</w:t>
      </w:r>
      <w:r w:rsidRPr="00B44B71">
        <w:rPr>
          <w:rFonts w:ascii="Calibri" w:eastAsia="Calibri" w:hAnsi="Calibri" w:cs="Times New Roman"/>
          <w:sz w:val="28"/>
          <w:szCs w:val="28"/>
          <w:lang w:val="uk-UA"/>
          <w14:ligatures w14:val="none"/>
        </w:rPr>
        <w:t xml:space="preserve"> «</w:t>
      </w:r>
      <w:r w:rsidRPr="00B44B71">
        <w:rPr>
          <w:rFonts w:ascii="Times New Roman" w:eastAsia="Calibri" w:hAnsi="Times New Roman" w:cs="Times New Roman"/>
          <w:sz w:val="28"/>
          <w:szCs w:val="28"/>
          <w:lang w:val="uk-UA"/>
          <w14:ligatures w14:val="none"/>
        </w:rPr>
        <w:t>Основи військового лідерства»,</w:t>
      </w:r>
      <w:r w:rsidRPr="00B44B71">
        <w:rPr>
          <w:rFonts w:ascii="Calibri" w:eastAsia="Calibri" w:hAnsi="Calibri" w:cs="Times New Roman"/>
          <w:sz w:val="28"/>
          <w:szCs w:val="28"/>
          <w:lang w:val="uk-UA"/>
          <w14:ligatures w14:val="none"/>
        </w:rPr>
        <w:t xml:space="preserve"> </w:t>
      </w:r>
      <w:r w:rsidRPr="00B44B71">
        <w:rPr>
          <w:rFonts w:ascii="Times New Roman" w:eastAsia="Calibri" w:hAnsi="Times New Roman" w:cs="Times New Roman"/>
          <w:sz w:val="28"/>
          <w:szCs w:val="28"/>
          <w:lang w:val="uk-UA"/>
          <w14:ligatures w14:val="none"/>
        </w:rPr>
        <w:t>«Основи організації та ведення боротьби в електромагнітному середовищі та кіберпросторі», «Внутрішні комунікації та психологічна підтримка», «Управління повсякденною діяльністю підрозділів». Такий підхід сприяє розвитку у курсантів здатності критично аналізувати інформацію, оцінювати її достовірність і протидіяти інформаційним маніпуляціям.</w:t>
      </w:r>
    </w:p>
    <w:p w14:paraId="09A55B7A"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Сучасні інформаційні загрози реалізуються переважно у цифровому середовищі, що потребує розвитку у курсантів навичок роботи з онлайн-ресурсами, аналізу медіаповідомлень та протидії дезінформації. У дослідженні О. Кіріакіді підкреслюється, що використання інтерактивних технологій, цифрових платформ і ресурсів неформальної освіти є необхідною умовою розвитку медіаграмотності майбутніх офіцерів. Крім того, результати емпіричного дослідження підтверджують доцільність цієї педагогічної умови, оскільки інформаційна поведінка курсантів факультету є переважно цифрово орієнтованою, а основними джерелами інформації виступають онлайн-платформи та соціальні мережі. Це означає, що розвиток медіаграмотності має відбуватися безпосередньо в тому середовищі, в якому здійснюється їхня інформаційна діяльність.</w:t>
      </w:r>
    </w:p>
    <w:p w14:paraId="27B30C12"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Важливим елементом такого середовища є використання симуляційних платформ, які моделюють реальні інформаційні загрози та дозволяють формувати практичні навички протидії дезінформації. Зокрема, у країнах НАТО застосовується платформа InfoRange, що відтворює функціонування інформаційного простору, соціальних мереж і поведінку аудиторій у межах інформаційних операцій. Водночас у підготовці курсантів можуть ефективно використовуватися доступні симуляційні ігрові платформи, такі як </w:t>
      </w:r>
      <w:r w:rsidRPr="00B44B71">
        <w:rPr>
          <w:rFonts w:ascii="Times New Roman" w:eastAsia="Calibri" w:hAnsi="Times New Roman" w:cs="Times New Roman"/>
          <w:sz w:val="28"/>
          <w:szCs w:val="28"/>
          <w14:ligatures w14:val="none"/>
        </w:rPr>
        <w:t>Ukrainian</w:t>
      </w:r>
      <w:r w:rsidRPr="00B44B71">
        <w:rPr>
          <w:rFonts w:ascii="Times New Roman" w:eastAsia="Calibri" w:hAnsi="Times New Roman" w:cs="Times New Roman"/>
          <w:sz w:val="28"/>
          <w:szCs w:val="28"/>
          <w:lang w:val="uk-UA"/>
          <w14:ligatures w14:val="none"/>
        </w:rPr>
        <w:t xml:space="preserve"> - Bad News та Harmony Square, які базуються на принципах теорії інокуляції та моделюють створення і поширення дезінформації. Їх застосування дозволяє курсантам не лише аналізувати інформаційні впливи, а й розуміти механізми їх формування, що сприяє розвитку критичного мислення та здатності до «превентивного розвінчування» маніпуляцій.</w:t>
      </w:r>
    </w:p>
    <w:p w14:paraId="1AE2E396"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Сучасні дослідження підтверджують, що практикоорієнтовані методи навчання є більш ефективними порівняно з традиційними лекційними формами. Зокрема, аналітичні звіти RAND Corporation доводять, що навички аналізу інформації та протидії дезінформації формуються насамперед у процесі практичної діяльності, зокрема через виконання симуляційних завдань, роботу з кейсами та моделювання інформаційних ситуацій. Це дозволяє наблизити процес підготовки до реальних умов інформаційного протиборства.</w:t>
      </w:r>
    </w:p>
    <w:p w14:paraId="0D41AB31"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Крім того, сучасний етап розвитку медіаграмотності пов’язаний із переходом від реактивного підходу (fact-checking) до превентивного (pre-bunking), що базується на теорії інокуляції. Сутність цього підходу полягає у розвитку здатності заздалегідь розпізнавати механізми маніпуляції та протидіяти їм до моменту впливу [19]. Застосування кейс-методу, аналізу </w:t>
      </w:r>
      <w:r w:rsidRPr="00B44B71">
        <w:rPr>
          <w:rFonts w:ascii="Times New Roman" w:eastAsia="Calibri" w:hAnsi="Times New Roman" w:cs="Times New Roman"/>
          <w:sz w:val="28"/>
          <w:szCs w:val="28"/>
          <w:lang w:val="uk-UA"/>
          <w14:ligatures w14:val="none"/>
        </w:rPr>
        <w:lastRenderedPageBreak/>
        <w:t>типових маніпулятивних стратегій та моделювання інформаційних ситуацій сприяє розвитку саме таких превентивних навичок.</w:t>
      </w:r>
    </w:p>
    <w:p w14:paraId="2B512508"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За результати емпіричних досліджень встановлено, що, попри наявність базових знань, курсанти мають недостатній рівень сформованості системних навичок фактчекінгу та критичного аналізу інформації. Це свідчить про необхідність використання активних і практикоорієнтованих методів навчання та підкріплення засвоєних знань їх практичним застосуванням.</w:t>
      </w:r>
    </w:p>
    <w:p w14:paraId="63068084"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У наукових дослідженнях підкреслюється, що медіаграмотність безпосередньо пов’язана з поняттям інформаційної стійкості особистості, яка визначається як здатність протистояти деструктивним інформаційним впливам, критично оцінювати інформацію та зберігати адекватність сприйняття реальності. За результатами проведеного опитування встановлено, що курсанти факультету демонструють достатній рівень розуміння сутності дезінформації, однак не завжди здатні виявляти складні форми маніпуляції та протидіяти їм у практичній діяльності. Це свідчить про потребу цілеспрямованого розвитку стійкості до інформаційних загроз.</w:t>
      </w:r>
    </w:p>
    <w:p w14:paraId="0B7D3547" w14:textId="77777777" w:rsidR="00B44B71" w:rsidRPr="00B44B71" w:rsidRDefault="00B44B71" w:rsidP="00023291">
      <w:pPr>
        <w:tabs>
          <w:tab w:val="left" w:pos="851"/>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Таким чином, запропоновані педагогічні умови охоплюють основні компоненти освітнього процесу (зміст, середовище, методи та результат) і відповідають виявленим у ході емпіричного дослідження проблемам розвитку медіаграмотності курсантів факультету. Їх комплексна реалізація забезпечує перехід від фрагментарного засвоєння знань до розвитку медіаграмотності як складової фахової компетентності майбутнього офіцера.</w:t>
      </w:r>
    </w:p>
    <w:p w14:paraId="5D7198CB"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b/>
          <w:bCs/>
          <w:sz w:val="28"/>
          <w:szCs w:val="28"/>
          <w:lang w:val="uk-UA"/>
          <w14:ligatures w14:val="none"/>
        </w:rPr>
        <w:t>Висновки і перспективи подальших досліджень</w:t>
      </w:r>
      <w:r w:rsidRPr="00B44B71">
        <w:rPr>
          <w:rFonts w:ascii="Times New Roman" w:eastAsia="Calibri" w:hAnsi="Times New Roman" w:cs="Times New Roman"/>
          <w:sz w:val="28"/>
          <w:szCs w:val="28"/>
          <w:lang w:val="uk-UA"/>
          <w14:ligatures w14:val="none"/>
        </w:rPr>
        <w:t>. Аналіз міжнародного досвіду держав-членів НАТО дозволило встановити, що ефективний розвиток медіаграмотності військовослужбовців забезпечується через системну інтеграцію медіаосвіти у фахову підготовку, використання практикоорієнтованих методів навчання та створення цифрового освітнього середовища, максимально наближеного до реальних умов інформаційного протиборства.</w:t>
      </w:r>
    </w:p>
    <w:p w14:paraId="69FF7FD5"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Результати емпіричного дослідження рівня медіаграмотності курсантів факультету засвідчили, що за наявності високого рівня декларативної обізнаності з поняттям медіаграмотності спостерігається нерівномірність сформованості її основних компонентів. Зокрема, виявлено недостатній рівень розвитку системних навичок фактчекінгу, обмежене використання інструментів верифікації інформації та фрагментарність концептуального розуміння медіаграмотності, що свідчить про розрив між теоретичними знаннями та практичними вміннями.</w:t>
      </w:r>
    </w:p>
    <w:p w14:paraId="09D7F14A"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Визначено педагогічні умови розвитку медіаграмотності курсантів факультету у процесі фахової підготовки на основі аналізу наукових джерел, міжнародного досвіду країн-членів НАТО і результатів емпіричного дослідження.</w:t>
      </w:r>
    </w:p>
    <w:p w14:paraId="3C504E5E"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Наукова новизна дослідження полягає у поєднанні теоретичного обґрунтування педагогічних умов із результатами емпіричного дослідження </w:t>
      </w:r>
      <w:r w:rsidRPr="00B44B71">
        <w:rPr>
          <w:rFonts w:ascii="Times New Roman" w:eastAsia="Calibri" w:hAnsi="Times New Roman" w:cs="Times New Roman"/>
          <w:sz w:val="28"/>
          <w:szCs w:val="28"/>
          <w:lang w:val="uk-UA"/>
          <w14:ligatures w14:val="none"/>
        </w:rPr>
        <w:lastRenderedPageBreak/>
        <w:t>рівня медіаграмотності курсантів факультету, що дозволило виявити структурний дисбаланс її сформованості та уточнити напрями педагогічного впливу, а також у впровадженні у систему підготовки підходу превентивного розвінчування (pre-bunking), що базується на теорії інокуляції та спрямований на розвиток здатності курсантів до випереджального розпізнавання маніпулятивних впливів.</w:t>
      </w:r>
    </w:p>
    <w:p w14:paraId="6FDB459C"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 xml:space="preserve">Практичне значення одержаних результатів полягає у можливості використання запропонованих підходів для вдосконалення освітніх програм вищих військових навчальних закладів, інтеграції медіаосвітніх елементів у фахову підготовку та підвищення рівня інформаційної безпеки військовослужбовців. </w:t>
      </w:r>
    </w:p>
    <w:p w14:paraId="4A0A6D3A"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r w:rsidRPr="00B44B71">
        <w:rPr>
          <w:rFonts w:ascii="Times New Roman" w:eastAsia="Calibri" w:hAnsi="Times New Roman" w:cs="Times New Roman"/>
          <w:sz w:val="28"/>
          <w:szCs w:val="28"/>
          <w:lang w:val="uk-UA"/>
          <w14:ligatures w14:val="none"/>
        </w:rPr>
        <w:t>Перспективи подальших досліджень пов’язані з розробленням критеріїв і норм оцінювання рівня медіаграмотності курсантів, створенням діагностичного інструментарію її вимірювання, експериментальною перевіркою ефективності запропонованих педагогічних умов, а також розробленням моделей інтеграції медіаграмотності у систему військової освіти України з урахуванням стандартів НАТО та сучасних цифрових технологій.</w:t>
      </w:r>
    </w:p>
    <w:p w14:paraId="0D0D3825"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8"/>
          <w:szCs w:val="28"/>
          <w:lang w:val="uk-UA"/>
          <w14:ligatures w14:val="none"/>
        </w:rPr>
      </w:pPr>
    </w:p>
    <w:p w14:paraId="4F2F9066" w14:textId="77777777" w:rsidR="00B44B71" w:rsidRPr="00B44B71" w:rsidRDefault="00B44B71" w:rsidP="00B6038D">
      <w:pPr>
        <w:tabs>
          <w:tab w:val="left" w:pos="9638"/>
        </w:tabs>
        <w:spacing w:after="0" w:line="240" w:lineRule="auto"/>
        <w:ind w:right="283"/>
        <w:jc w:val="center"/>
        <w:rPr>
          <w:rFonts w:ascii="Times New Roman" w:eastAsia="Calibri" w:hAnsi="Times New Roman" w:cs="Times New Roman"/>
          <w:b/>
          <w:bCs/>
          <w:sz w:val="24"/>
          <w:szCs w:val="24"/>
          <w:lang w:val="uk-UA"/>
          <w14:ligatures w14:val="none"/>
        </w:rPr>
      </w:pPr>
      <w:r w:rsidRPr="00B44B71">
        <w:rPr>
          <w:rFonts w:ascii="Times New Roman" w:eastAsia="Calibri" w:hAnsi="Times New Roman" w:cs="Times New Roman"/>
          <w:b/>
          <w:bCs/>
          <w:sz w:val="24"/>
          <w:szCs w:val="24"/>
          <w:lang w:val="uk-UA"/>
          <w14:ligatures w14:val="none"/>
        </w:rPr>
        <w:t>ЛІТЕРАТУРА:</w:t>
      </w:r>
    </w:p>
    <w:p w14:paraId="6EC3724B" w14:textId="77777777" w:rsidR="00B44B71" w:rsidRPr="00B44B71" w:rsidRDefault="00B44B71" w:rsidP="00923BD7">
      <w:pPr>
        <w:numPr>
          <w:ilvl w:val="0"/>
          <w:numId w:val="5"/>
        </w:numPr>
        <w:tabs>
          <w:tab w:val="clear" w:pos="720"/>
          <w:tab w:val="num"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Іванов В. Ф., Волошенюк О. В. Медіаосвіта та медіаграмотність : підручник. Київ : Центр вільної преси, 2013. 352 с. </w:t>
      </w:r>
    </w:p>
    <w:p w14:paraId="5B048DE6" w14:textId="77777777" w:rsidR="00B44B71" w:rsidRPr="00B44B71" w:rsidRDefault="00B44B71" w:rsidP="00923BD7">
      <w:pPr>
        <w:numPr>
          <w:ilvl w:val="0"/>
          <w:numId w:val="5"/>
        </w:numPr>
        <w:tabs>
          <w:tab w:val="clear" w:pos="720"/>
          <w:tab w:val="num"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Ільченко О. А., Ткач П. Б. Інтегрування елементів медіаграмотності в курс лідерства для майбутніх офіцерів Нацгвардії. </w:t>
      </w:r>
      <w:r w:rsidRPr="00B44B71">
        <w:rPr>
          <w:rFonts w:ascii="Times New Roman" w:eastAsia="Calibri" w:hAnsi="Times New Roman" w:cs="Times New Roman"/>
          <w:i/>
          <w:iCs/>
          <w:sz w:val="24"/>
          <w:szCs w:val="24"/>
          <w:lang w:val="uk-UA"/>
          <w14:ligatures w14:val="none"/>
        </w:rPr>
        <w:t xml:space="preserve">Науковий часопис Національного педагогічного університету імені М. П. Драгоманова. Серія 5 : Педагогічні науки: реалії та перспективи. </w:t>
      </w:r>
      <w:r w:rsidRPr="00B44B71">
        <w:rPr>
          <w:rFonts w:ascii="Times New Roman" w:eastAsia="Calibri" w:hAnsi="Times New Roman" w:cs="Times New Roman"/>
          <w:sz w:val="24"/>
          <w:szCs w:val="24"/>
          <w:lang w:val="uk-UA"/>
          <w14:ligatures w14:val="none"/>
        </w:rPr>
        <w:t xml:space="preserve">Київ, 2021. Вип. 81. С. 93–97. </w:t>
      </w:r>
    </w:p>
    <w:p w14:paraId="58C484B3" w14:textId="77777777" w:rsidR="00B44B71" w:rsidRPr="00B44B71" w:rsidRDefault="00B44B71" w:rsidP="00923BD7">
      <w:pPr>
        <w:numPr>
          <w:ilvl w:val="0"/>
          <w:numId w:val="5"/>
        </w:numPr>
        <w:tabs>
          <w:tab w:val="clear" w:pos="720"/>
          <w:tab w:val="num"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Довженко О., Єгорова А., Іванова Т., Міський В., Потапова В., Юричко А. Медіаграмотність під час війни: теорія, методика, інтерактив. навч. посіб. / за загал. ред. О. Волошенюк, В. Іванова. Київ : Академія української преси, Центр вільної преси, 2023. 68 с. </w:t>
      </w:r>
    </w:p>
    <w:p w14:paraId="0623A032" w14:textId="77777777" w:rsidR="00B44B71" w:rsidRPr="00B44B71" w:rsidRDefault="00B44B71" w:rsidP="00923BD7">
      <w:pPr>
        <w:numPr>
          <w:ilvl w:val="0"/>
          <w:numId w:val="5"/>
        </w:numPr>
        <w:tabs>
          <w:tab w:val="clear" w:pos="720"/>
          <w:tab w:val="num"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Postman N. Amusing Ourselves to Death: Public Discourse in the Age of Show Business. New York : Penguin Books, 1985. 184 p. </w:t>
      </w:r>
      <w:r w:rsidRPr="00B44B71">
        <w:rPr>
          <w:rFonts w:ascii="Times New Roman" w:eastAsia="Calibri" w:hAnsi="Times New Roman" w:cs="Times New Roman"/>
          <w:sz w:val="24"/>
          <w:szCs w:val="24"/>
          <w14:ligatures w14:val="none"/>
        </w:rPr>
        <w:t>URL</w:t>
      </w:r>
      <w:r w:rsidRPr="00B44B71">
        <w:rPr>
          <w:rFonts w:ascii="Times New Roman" w:eastAsia="Calibri" w:hAnsi="Times New Roman" w:cs="Times New Roman"/>
          <w:sz w:val="24"/>
          <w:szCs w:val="24"/>
          <w:lang w:val="uk-UA"/>
          <w14:ligatures w14:val="none"/>
        </w:rPr>
        <w:t xml:space="preserve">: </w:t>
      </w:r>
      <w:hyperlink r:id="rId193" w:history="1">
        <w:r w:rsidRPr="00B44B71">
          <w:rPr>
            <w:rFonts w:ascii="Times New Roman" w:eastAsia="Calibri" w:hAnsi="Times New Roman" w:cs="Times New Roman"/>
            <w:color w:val="0563C1"/>
            <w:sz w:val="24"/>
            <w:szCs w:val="24"/>
            <w:u w:val="single"/>
            <w:lang w:val="uk-UA"/>
            <w14:ligatures w14:val="none"/>
          </w:rPr>
          <w:t>https://ia801705.us.archive.org/ 4/items/Various_</w:t>
        </w:r>
      </w:hyperlink>
      <w:r w:rsidRPr="00B44B71">
        <w:rPr>
          <w:rFonts w:ascii="Times New Roman" w:eastAsia="Calibri" w:hAnsi="Times New Roman" w:cs="Times New Roman"/>
          <w:sz w:val="24"/>
          <w:szCs w:val="24"/>
          <w:u w:val="single"/>
          <w:lang w:val="uk-UA"/>
          <w14:ligatures w14:val="none"/>
        </w:rPr>
        <w:t xml:space="preserve">PDFs/NeilPostman-AmusingOurselvesToDeath.pdf </w:t>
      </w:r>
      <w:r w:rsidRPr="00B44B71">
        <w:rPr>
          <w:rFonts w:ascii="Times New Roman" w:eastAsia="Calibri" w:hAnsi="Times New Roman" w:cs="Times New Roman"/>
          <w:sz w:val="24"/>
          <w:szCs w:val="24"/>
          <w:lang w:val="uk-UA"/>
          <w14:ligatures w14:val="none"/>
        </w:rPr>
        <w:t>(дата звернення: 17.03.2026).</w:t>
      </w:r>
    </w:p>
    <w:p w14:paraId="1FC5577D" w14:textId="77777777" w:rsidR="00B44B71" w:rsidRPr="00B44B71" w:rsidRDefault="00B44B71" w:rsidP="00923BD7">
      <w:pPr>
        <w:numPr>
          <w:ilvl w:val="0"/>
          <w:numId w:val="5"/>
        </w:numPr>
        <w:tabs>
          <w:tab w:val="clear" w:pos="720"/>
          <w:tab w:val="num"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Buckingham D. Media Education: Literacy, Learning and Contemporary Culture. Cambridge : Polity Press, 2003. </w:t>
      </w:r>
    </w:p>
    <w:p w14:paraId="70BA0829" w14:textId="77777777" w:rsidR="00B44B71" w:rsidRPr="00B44B71" w:rsidRDefault="00B44B71" w:rsidP="00923BD7">
      <w:pPr>
        <w:numPr>
          <w:ilvl w:val="0"/>
          <w:numId w:val="5"/>
        </w:numPr>
        <w:tabs>
          <w:tab w:val="clear" w:pos="720"/>
          <w:tab w:val="num"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Pariser E. The Filter Bubble: What the Internet Is Hiding from You. London : Penguin Books, 2012. 304 p. </w:t>
      </w:r>
    </w:p>
    <w:p w14:paraId="2BD7FE1D" w14:textId="77777777" w:rsidR="00B44B71" w:rsidRPr="00B44B71" w:rsidRDefault="00B44B71" w:rsidP="00923BD7">
      <w:pPr>
        <w:numPr>
          <w:ilvl w:val="0"/>
          <w:numId w:val="5"/>
        </w:numPr>
        <w:tabs>
          <w:tab w:val="clear" w:pos="720"/>
          <w:tab w:val="num"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Найдьонова Л. А., Баришполець О.Т., Мироненко Г.В., Голубєва О.Є., Різун В.В. Медіакультура особистості: соціально-психологічний підхід : навч. посіб. / за ред. Л.А. Найдьонова, О.Т. Боришполець. Київ : Міленіум, 2009. 440 с. </w:t>
      </w:r>
      <w:r w:rsidRPr="00B44B71">
        <w:rPr>
          <w:rFonts w:ascii="Times New Roman" w:eastAsia="Calibri" w:hAnsi="Times New Roman" w:cs="Times New Roman"/>
          <w:sz w:val="24"/>
          <w:szCs w:val="24"/>
          <w14:ligatures w14:val="none"/>
        </w:rPr>
        <w:t>URL</w:t>
      </w:r>
      <w:r w:rsidRPr="00B44B71">
        <w:rPr>
          <w:rFonts w:ascii="Times New Roman" w:eastAsia="Calibri" w:hAnsi="Times New Roman" w:cs="Times New Roman"/>
          <w:sz w:val="24"/>
          <w:szCs w:val="24"/>
          <w:lang w:val="uk-UA"/>
          <w14:ligatures w14:val="none"/>
        </w:rPr>
        <w:t xml:space="preserve">: </w:t>
      </w:r>
      <w:r w:rsidRPr="00B44B71">
        <w:rPr>
          <w:rFonts w:ascii="Times New Roman" w:eastAsia="Calibri" w:hAnsi="Times New Roman" w:cs="Times New Roman"/>
          <w:sz w:val="24"/>
          <w:szCs w:val="24"/>
          <w:u w:val="single"/>
          <w:lang w:val="uk-UA"/>
          <w14:ligatures w14:val="none"/>
        </w:rPr>
        <w:t>http://balakliya-school2.edu.kh.ua/Files/downloads/Посібник%20по%20медіаосвіті.pdf</w:t>
      </w:r>
      <w:r w:rsidRPr="00B44B71">
        <w:rPr>
          <w:rFonts w:ascii="Times New Roman" w:eastAsia="Calibri" w:hAnsi="Times New Roman" w:cs="Times New Roman"/>
          <w:sz w:val="24"/>
          <w:szCs w:val="24"/>
          <w:lang w:val="uk-UA"/>
          <w14:ligatures w14:val="none"/>
        </w:rPr>
        <w:t>. (дата звернення: 17.03.2026).</w:t>
      </w:r>
    </w:p>
    <w:p w14:paraId="183C63B2" w14:textId="77777777" w:rsidR="00B44B71" w:rsidRPr="00B44B71" w:rsidRDefault="00B44B71" w:rsidP="00923BD7">
      <w:pPr>
        <w:numPr>
          <w:ilvl w:val="0"/>
          <w:numId w:val="5"/>
        </w:numPr>
        <w:tabs>
          <w:tab w:val="clear" w:pos="720"/>
          <w:tab w:val="num"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Концепція впровадження медіаосвіти в Україні (нова редакція) / за ред. Л. А. Найдьонової, М. М. Слюсаревського. Київ : Ін-т соціальної та політичної психології НАПН України, 2016. 16 с. </w:t>
      </w:r>
      <w:r w:rsidRPr="00B44B71">
        <w:rPr>
          <w:rFonts w:ascii="Times New Roman" w:eastAsia="Calibri" w:hAnsi="Times New Roman" w:cs="Times New Roman"/>
          <w:sz w:val="24"/>
          <w:szCs w:val="24"/>
          <w14:ligatures w14:val="none"/>
        </w:rPr>
        <w:t>URL</w:t>
      </w:r>
      <w:r w:rsidRPr="00B44B71">
        <w:rPr>
          <w:rFonts w:ascii="Times New Roman" w:eastAsia="Calibri" w:hAnsi="Times New Roman" w:cs="Times New Roman"/>
          <w:sz w:val="24"/>
          <w:szCs w:val="24"/>
          <w:lang w:val="uk-UA"/>
          <w14:ligatures w14:val="none"/>
        </w:rPr>
        <w:t xml:space="preserve">:  </w:t>
      </w:r>
      <w:hyperlink r:id="rId194" w:history="1">
        <w:r w:rsidRPr="00B44B71">
          <w:rPr>
            <w:rFonts w:ascii="Times New Roman" w:eastAsia="Calibri" w:hAnsi="Times New Roman" w:cs="Times New Roman"/>
            <w:color w:val="0563C1"/>
            <w:sz w:val="24"/>
            <w:szCs w:val="24"/>
            <w:u w:val="single"/>
            <w:lang w:val="uk-UA"/>
            <w14:ligatures w14:val="none"/>
          </w:rPr>
          <w:t>http://mediaosvita.org.ua/wp-content/uploads/2016/12/ концепція-медіаосвіти.pdf</w:t>
        </w:r>
      </w:hyperlink>
      <w:r w:rsidRPr="00B44B71">
        <w:rPr>
          <w:rFonts w:ascii="Times New Roman" w:eastAsia="Calibri" w:hAnsi="Times New Roman" w:cs="Times New Roman"/>
          <w:sz w:val="24"/>
          <w:szCs w:val="24"/>
          <w:lang w:val="uk-UA"/>
          <w14:ligatures w14:val="none"/>
        </w:rPr>
        <w:t>. (дата звернення: 17.03.2026).</w:t>
      </w:r>
    </w:p>
    <w:p w14:paraId="5FC9703D" w14:textId="77777777" w:rsidR="00B44B71" w:rsidRPr="00B44B71" w:rsidRDefault="00B44B71" w:rsidP="00923BD7">
      <w:pPr>
        <w:numPr>
          <w:ilvl w:val="0"/>
          <w:numId w:val="5"/>
        </w:numPr>
        <w:tabs>
          <w:tab w:val="clear" w:pos="720"/>
          <w:tab w:val="num"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Потятиник Б. В. Медіа: ключі до розуміння. Львів : ПАІС, 2004. 312 с. </w:t>
      </w:r>
    </w:p>
    <w:p w14:paraId="4DE3C66D" w14:textId="77777777" w:rsidR="00B44B71" w:rsidRPr="00B44B71" w:rsidRDefault="00B44B71" w:rsidP="00923BD7">
      <w:pPr>
        <w:numPr>
          <w:ilvl w:val="0"/>
          <w:numId w:val="5"/>
        </w:numPr>
        <w:tabs>
          <w:tab w:val="clear" w:pos="720"/>
          <w:tab w:val="num"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lastRenderedPageBreak/>
        <w:t xml:space="preserve">Яндола К. Сучасні тренди формування та розвитку медіаграмотності військовослужбовців. </w:t>
      </w:r>
      <w:r w:rsidRPr="00B44B71">
        <w:rPr>
          <w:rFonts w:ascii="Times New Roman" w:eastAsia="Calibri" w:hAnsi="Times New Roman" w:cs="Times New Roman"/>
          <w:i/>
          <w:iCs/>
          <w:sz w:val="24"/>
          <w:szCs w:val="24"/>
          <w:lang w:val="uk-UA"/>
          <w14:ligatures w14:val="none"/>
        </w:rPr>
        <w:t>Українське суспільство в умовах цифрових трансформацій: виклики, тенденції, можливості</w:t>
      </w:r>
      <w:r w:rsidRPr="00B44B71">
        <w:rPr>
          <w:rFonts w:ascii="Times New Roman" w:eastAsia="Calibri" w:hAnsi="Times New Roman" w:cs="Times New Roman"/>
          <w:sz w:val="24"/>
          <w:szCs w:val="24"/>
          <w:lang w:val="uk-UA"/>
          <w14:ligatures w14:val="none"/>
        </w:rPr>
        <w:t xml:space="preserve">: монографія. Дніпро, 2024. С. 392–423. DOI: </w:t>
      </w:r>
      <w:hyperlink r:id="rId195" w:history="1">
        <w:r w:rsidRPr="00B44B71">
          <w:rPr>
            <w:rFonts w:ascii="Times New Roman" w:eastAsia="Calibri" w:hAnsi="Times New Roman" w:cs="Times New Roman"/>
            <w:sz w:val="24"/>
            <w:szCs w:val="24"/>
            <w:u w:val="single"/>
            <w:lang w:val="uk-UA"/>
            <w14:ligatures w14:val="none"/>
          </w:rPr>
          <w:t>https://doi.org/10.15421/342475</w:t>
        </w:r>
      </w:hyperlink>
      <w:r w:rsidRPr="00B44B71">
        <w:rPr>
          <w:rFonts w:ascii="Times New Roman" w:eastAsia="Calibri" w:hAnsi="Times New Roman" w:cs="Times New Roman"/>
          <w:sz w:val="24"/>
          <w:szCs w:val="24"/>
          <w:lang w:val="uk-UA"/>
          <w14:ligatures w14:val="none"/>
        </w:rPr>
        <w:t xml:space="preserve">. (дата звернення: 17.03.2026). </w:t>
      </w:r>
    </w:p>
    <w:p w14:paraId="36401D83" w14:textId="77777777" w:rsidR="00B44B71" w:rsidRPr="00B44B71" w:rsidRDefault="00B44B71" w:rsidP="00923BD7">
      <w:pPr>
        <w:numPr>
          <w:ilvl w:val="0"/>
          <w:numId w:val="5"/>
        </w:numPr>
        <w:tabs>
          <w:tab w:val="clear" w:pos="720"/>
          <w:tab w:val="num" w:pos="1134"/>
          <w:tab w:val="left" w:pos="9638"/>
        </w:tabs>
        <w:spacing w:after="20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Ізбаш С. С. Психолого-педагогічні умови формування медіаграмотності в курсантів Національної академії Національної гвардії України. </w:t>
      </w:r>
      <w:r w:rsidRPr="00B44B71">
        <w:rPr>
          <w:rFonts w:ascii="Times New Roman" w:eastAsia="Calibri" w:hAnsi="Times New Roman" w:cs="Times New Roman"/>
          <w:i/>
          <w:iCs/>
          <w:sz w:val="24"/>
          <w:szCs w:val="24"/>
          <w:lang w:val="uk-UA"/>
          <w14:ligatures w14:val="none"/>
        </w:rPr>
        <w:t>Науковий журнал Хортицької національної академії</w:t>
      </w:r>
      <w:r w:rsidRPr="00B44B71">
        <w:rPr>
          <w:rFonts w:ascii="Times New Roman" w:eastAsia="Calibri" w:hAnsi="Times New Roman" w:cs="Times New Roman"/>
          <w:sz w:val="24"/>
          <w:szCs w:val="24"/>
          <w:lang w:val="uk-UA"/>
          <w14:ligatures w14:val="none"/>
        </w:rPr>
        <w:t>. 2021. Вип. 1 (4). С. 45–56. DОІ: https://doi.org/10.51706/2707-3076-2021-4-4.</w:t>
      </w:r>
    </w:p>
    <w:p w14:paraId="54B9033B" w14:textId="77777777" w:rsidR="00B44B71" w:rsidRPr="00B44B71" w:rsidRDefault="00B44B71" w:rsidP="00923BD7">
      <w:pPr>
        <w:numPr>
          <w:ilvl w:val="0"/>
          <w:numId w:val="5"/>
        </w:numPr>
        <w:tabs>
          <w:tab w:val="clear" w:pos="720"/>
          <w:tab w:val="num"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Кіріакіді О. Ю. Розвиток медіаграмотності майбутніх офіцерів Військово-Морських Сил Збройних Сил України у процесі професійної підготовки : дис. … д-ра філософії : 011 Освітні, педагогічні науки. Хмельницький, 2024. 282 с. URL: </w:t>
      </w:r>
      <w:hyperlink r:id="rId196" w:tgtFrame="_new" w:history="1">
        <w:r w:rsidRPr="00B44B71">
          <w:rPr>
            <w:rFonts w:ascii="Times New Roman" w:eastAsia="Calibri" w:hAnsi="Times New Roman" w:cs="Times New Roman"/>
            <w:sz w:val="24"/>
            <w:szCs w:val="24"/>
            <w:u w:val="single"/>
            <w:lang w:val="uk-UA"/>
            <w14:ligatures w14:val="none"/>
          </w:rPr>
          <w:t>https://nauka.khmnu.edu.ua/wp-content/uploads/dysertatsiia-kiriakidi.pdf</w:t>
        </w:r>
      </w:hyperlink>
      <w:r w:rsidRPr="00B44B71">
        <w:rPr>
          <w:rFonts w:ascii="Times New Roman" w:eastAsia="Calibri" w:hAnsi="Times New Roman" w:cs="Times New Roman"/>
          <w:sz w:val="24"/>
          <w:szCs w:val="24"/>
          <w:lang w:val="uk-UA"/>
          <w14:ligatures w14:val="none"/>
        </w:rPr>
        <w:t>. (дата звернення: 17.03.2026).</w:t>
      </w:r>
    </w:p>
    <w:p w14:paraId="58BDC3B3" w14:textId="77777777" w:rsidR="00B44B71" w:rsidRPr="00B44B71" w:rsidRDefault="00B44B71" w:rsidP="00923BD7">
      <w:pPr>
        <w:numPr>
          <w:ilvl w:val="0"/>
          <w:numId w:val="5"/>
        </w:numPr>
        <w:tabs>
          <w:tab w:val="clear" w:pos="720"/>
          <w:tab w:val="num"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Про Стратегію інформаційної безпеки : Указ Президента України від 28.12.2021 № 685/2021. URL: </w:t>
      </w:r>
      <w:hyperlink r:id="rId197" w:tgtFrame="_new" w:history="1">
        <w:r w:rsidRPr="00B44B71">
          <w:rPr>
            <w:rFonts w:ascii="Times New Roman" w:eastAsia="Calibri" w:hAnsi="Times New Roman" w:cs="Times New Roman"/>
            <w:sz w:val="24"/>
            <w:szCs w:val="24"/>
            <w:u w:val="single"/>
            <w:lang w:val="uk-UA"/>
            <w14:ligatures w14:val="none"/>
          </w:rPr>
          <w:t>https://www.president.gov.ua/documents/6852021-41069</w:t>
        </w:r>
      </w:hyperlink>
      <w:r w:rsidRPr="00B44B71">
        <w:rPr>
          <w:rFonts w:ascii="Calibri" w:eastAsia="Calibri" w:hAnsi="Calibri" w:cs="Times New Roman"/>
          <w:sz w:val="24"/>
          <w:szCs w:val="24"/>
          <w:lang w:val="uk-UA"/>
          <w14:ligatures w14:val="none"/>
        </w:rPr>
        <w:t>.</w:t>
      </w:r>
      <w:r w:rsidRPr="00B44B71">
        <w:rPr>
          <w:rFonts w:ascii="Times New Roman" w:eastAsia="Calibri" w:hAnsi="Times New Roman" w:cs="Times New Roman"/>
          <w:sz w:val="24"/>
          <w:szCs w:val="24"/>
          <w:lang w:val="uk-UA"/>
          <w14:ligatures w14:val="none"/>
        </w:rPr>
        <w:t xml:space="preserve"> (дата звернення: 17.03.2026). </w:t>
      </w:r>
    </w:p>
    <w:p w14:paraId="03099EFF" w14:textId="77777777" w:rsidR="00B44B71" w:rsidRPr="00B44B71" w:rsidRDefault="00B44B71" w:rsidP="00923BD7">
      <w:pPr>
        <w:numPr>
          <w:ilvl w:val="0"/>
          <w:numId w:val="5"/>
        </w:numPr>
        <w:tabs>
          <w:tab w:val="clear" w:pos="720"/>
          <w:tab w:val="num"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NATO. Strategic Concept 2022. Brussels : NATO Public Diplomacy Division, 2022. URL: </w:t>
      </w:r>
      <w:hyperlink r:id="rId198" w:history="1">
        <w:r w:rsidRPr="00B44B71">
          <w:rPr>
            <w:rFonts w:ascii="Times New Roman" w:eastAsia="Calibri" w:hAnsi="Times New Roman" w:cs="Times New Roman"/>
            <w:sz w:val="24"/>
            <w:szCs w:val="24"/>
            <w:u w:val="single"/>
            <w:lang w:val="uk-UA"/>
            <w14:ligatures w14:val="none"/>
          </w:rPr>
          <w:t>https://www.nato.int/en/about-us/official-texts-and-resources/strategic-concepts/nato-2022-strategic-concept</w:t>
        </w:r>
      </w:hyperlink>
      <w:r w:rsidRPr="00B44B71">
        <w:rPr>
          <w:rFonts w:ascii="Times New Roman" w:eastAsia="Calibri" w:hAnsi="Times New Roman" w:cs="Times New Roman"/>
          <w:sz w:val="24"/>
          <w:szCs w:val="24"/>
          <w:lang w:val="uk-UA"/>
          <w14:ligatures w14:val="none"/>
        </w:rPr>
        <w:t>. (дата звернення: 25.03.2026).</w:t>
      </w:r>
    </w:p>
    <w:p w14:paraId="23253E82" w14:textId="77777777" w:rsidR="00B44B71" w:rsidRPr="00B44B71" w:rsidRDefault="00B44B71" w:rsidP="00923BD7">
      <w:pPr>
        <w:numPr>
          <w:ilvl w:val="0"/>
          <w:numId w:val="5"/>
        </w:numPr>
        <w:tabs>
          <w:tab w:val="clear" w:pos="720"/>
          <w:tab w:val="num"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Jolls T. Building Resiliency: Media Literacy as a Strategic Defense Strategy for the Transatlantic. West Chester, PA : Center for Media Literacy, 2022. 54 p. URL: </w:t>
      </w:r>
      <w:hyperlink r:id="rId199" w:tgtFrame="_new" w:history="1">
        <w:r w:rsidRPr="00B44B71">
          <w:rPr>
            <w:rFonts w:ascii="Times New Roman" w:eastAsia="Calibri" w:hAnsi="Times New Roman" w:cs="Times New Roman"/>
            <w:sz w:val="24"/>
            <w:szCs w:val="24"/>
            <w:u w:val="single"/>
            <w:lang w:val="uk-UA"/>
            <w14:ligatures w14:val="none"/>
          </w:rPr>
          <w:t>https://gicid.unizar.es/wp-content/uploads/Building-Resiliency-Media-Literacy-as-a-Strategic-Defense-Strategy-for-the-Transatlantic.pdf</w:t>
        </w:r>
      </w:hyperlink>
      <w:r w:rsidRPr="00B44B71">
        <w:rPr>
          <w:rFonts w:ascii="Calibri" w:eastAsia="Calibri" w:hAnsi="Calibri" w:cs="Times New Roman"/>
          <w:sz w:val="24"/>
          <w:szCs w:val="24"/>
          <w:lang w:val="uk-UA"/>
          <w14:ligatures w14:val="none"/>
        </w:rPr>
        <w:t>.</w:t>
      </w:r>
      <w:r w:rsidRPr="00B44B71">
        <w:rPr>
          <w:rFonts w:ascii="Times New Roman" w:eastAsia="Calibri" w:hAnsi="Times New Roman" w:cs="Times New Roman"/>
          <w:sz w:val="24"/>
          <w:szCs w:val="24"/>
          <w:lang w:val="uk-UA"/>
          <w14:ligatures w14:val="none"/>
        </w:rPr>
        <w:t xml:space="preserve"> (дата звернення: 25.03.2026). </w:t>
      </w:r>
    </w:p>
    <w:p w14:paraId="66DBB899" w14:textId="77777777" w:rsidR="00B44B71" w:rsidRPr="00B44B71" w:rsidRDefault="00B44B71" w:rsidP="00923BD7">
      <w:pPr>
        <w:numPr>
          <w:ilvl w:val="0"/>
          <w:numId w:val="5"/>
        </w:numPr>
        <w:tabs>
          <w:tab w:val="clear" w:pos="720"/>
          <w:tab w:val="num"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Valtonen V., Branders M. Tracing the Finnish Comprehensive Security Model. In: </w:t>
      </w:r>
      <w:r w:rsidRPr="00B44B71">
        <w:rPr>
          <w:rFonts w:ascii="Times New Roman" w:eastAsia="Calibri" w:hAnsi="Times New Roman" w:cs="Times New Roman"/>
          <w:i/>
          <w:iCs/>
          <w:sz w:val="24"/>
          <w:szCs w:val="24"/>
          <w:lang w:val="uk-UA"/>
          <w14:ligatures w14:val="none"/>
        </w:rPr>
        <w:t>Nordic Societal Security: Convergence and Divergence.</w:t>
      </w:r>
      <w:r w:rsidRPr="00B44B71">
        <w:rPr>
          <w:rFonts w:ascii="Times New Roman" w:eastAsia="Calibri" w:hAnsi="Times New Roman" w:cs="Times New Roman"/>
          <w:sz w:val="24"/>
          <w:szCs w:val="24"/>
          <w:lang w:val="uk-UA"/>
          <w14:ligatures w14:val="none"/>
        </w:rPr>
        <w:t xml:space="preserve"> Cham : Palgrave Macmillan, 2016. P. 91–108. URL:  </w:t>
      </w:r>
      <w:hyperlink r:id="rId200" w:history="1">
        <w:r w:rsidRPr="00B44B71">
          <w:rPr>
            <w:rFonts w:ascii="Times New Roman" w:eastAsia="Calibri" w:hAnsi="Times New Roman" w:cs="Times New Roman"/>
            <w:color w:val="0563C1"/>
            <w:sz w:val="24"/>
            <w:szCs w:val="24"/>
            <w:u w:val="single"/>
            <w:lang w:val="uk-UA"/>
            <w14:ligatures w14:val="none"/>
          </w:rPr>
          <w:t>https://library.oapen.org/bitstream/handle/20.500.12657/102490/ 9781000168570. pdf</w:t>
        </w:r>
      </w:hyperlink>
      <w:r w:rsidRPr="00B44B71">
        <w:rPr>
          <w:rFonts w:ascii="Calibri" w:eastAsia="Calibri" w:hAnsi="Calibri" w:cs="Times New Roman"/>
          <w:sz w:val="24"/>
          <w:szCs w:val="24"/>
          <w:lang w:val="uk-UA"/>
          <w14:ligatures w14:val="none"/>
        </w:rPr>
        <w:t>.</w:t>
      </w:r>
      <w:r w:rsidRPr="00B44B71">
        <w:rPr>
          <w:rFonts w:ascii="Times New Roman" w:eastAsia="Calibri" w:hAnsi="Times New Roman" w:cs="Times New Roman"/>
          <w:sz w:val="24"/>
          <w:szCs w:val="24"/>
          <w:lang w:val="uk-UA"/>
          <w14:ligatures w14:val="none"/>
        </w:rPr>
        <w:t xml:space="preserve"> (дата звернення: 25.03.2026). </w:t>
      </w:r>
    </w:p>
    <w:p w14:paraId="1645BF58" w14:textId="77777777" w:rsidR="00B44B71" w:rsidRPr="00B44B71" w:rsidRDefault="00B44B71" w:rsidP="00923BD7">
      <w:pPr>
        <w:numPr>
          <w:ilvl w:val="0"/>
          <w:numId w:val="5"/>
        </w:numPr>
        <w:tabs>
          <w:tab w:val="clear" w:pos="720"/>
          <w:tab w:val="num"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Gelot L. Adapting a governmental training platform to simulate peace operations in the classroom // </w:t>
      </w:r>
      <w:r w:rsidRPr="00B44B71">
        <w:rPr>
          <w:rFonts w:ascii="Times New Roman" w:eastAsia="Calibri" w:hAnsi="Times New Roman" w:cs="Times New Roman"/>
          <w:i/>
          <w:iCs/>
          <w:sz w:val="24"/>
          <w:szCs w:val="24"/>
          <w:lang w:val="uk-UA"/>
          <w14:ligatures w14:val="none"/>
        </w:rPr>
        <w:t>Journal of Political Science Education</w:t>
      </w:r>
      <w:r w:rsidRPr="00B44B71">
        <w:rPr>
          <w:rFonts w:ascii="Times New Roman" w:eastAsia="Calibri" w:hAnsi="Times New Roman" w:cs="Times New Roman"/>
          <w:sz w:val="24"/>
          <w:szCs w:val="24"/>
          <w:lang w:val="uk-UA"/>
          <w14:ligatures w14:val="none"/>
        </w:rPr>
        <w:t xml:space="preserve">. 2021. Vol. 17, Issue 2. P. 269–284. DOI: </w:t>
      </w:r>
      <w:hyperlink r:id="rId201" w:tgtFrame="_new" w:history="1">
        <w:r w:rsidRPr="00B44B71">
          <w:rPr>
            <w:rFonts w:ascii="Times New Roman" w:eastAsia="Calibri" w:hAnsi="Times New Roman" w:cs="Times New Roman"/>
            <w:sz w:val="24"/>
            <w:szCs w:val="24"/>
            <w:u w:val="single"/>
            <w:lang w:val="uk-UA"/>
            <w14:ligatures w14:val="none"/>
          </w:rPr>
          <w:t>https://doi.org/10.1080/15512169.2019.1621180</w:t>
        </w:r>
      </w:hyperlink>
      <w:r w:rsidRPr="00B44B71">
        <w:rPr>
          <w:rFonts w:ascii="Calibri" w:eastAsia="Calibri" w:hAnsi="Calibri" w:cs="Times New Roman"/>
          <w:sz w:val="24"/>
          <w:szCs w:val="24"/>
          <w:lang w:val="uk-UA"/>
          <w14:ligatures w14:val="none"/>
        </w:rPr>
        <w:t>.</w:t>
      </w:r>
    </w:p>
    <w:p w14:paraId="0CCA4CD1" w14:textId="77777777" w:rsidR="00B44B71" w:rsidRPr="00B44B71" w:rsidRDefault="00B44B71" w:rsidP="00923BD7">
      <w:pPr>
        <w:numPr>
          <w:ilvl w:val="0"/>
          <w:numId w:val="5"/>
        </w:numPr>
        <w:tabs>
          <w:tab w:val="clear" w:pos="720"/>
          <w:tab w:val="num"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Рівень медіаграмотності курсанта ВВНЗ в умовах інформаційної війни : Google Forms. URL: </w:t>
      </w:r>
      <w:hyperlink r:id="rId202" w:history="1">
        <w:r w:rsidRPr="00B44B71">
          <w:rPr>
            <w:rFonts w:ascii="Times New Roman" w:eastAsia="Calibri" w:hAnsi="Times New Roman" w:cs="Times New Roman"/>
            <w:color w:val="0563C1"/>
            <w:sz w:val="24"/>
            <w:szCs w:val="24"/>
            <w:u w:val="single"/>
            <w:lang w:val="uk-UA"/>
            <w14:ligatures w14:val="none"/>
          </w:rPr>
          <w:t>https://docs.google.com/forms/d/e/1FAIpQLScEzFpkEaWhma NCRuCETjY6lc-xQq8HnTGPAYBUCbLdWu5Lw/viewform</w:t>
        </w:r>
      </w:hyperlink>
      <w:r w:rsidRPr="00B44B71">
        <w:rPr>
          <w:rFonts w:ascii="Calibri" w:eastAsia="Calibri" w:hAnsi="Calibri" w:cs="Times New Roman"/>
          <w:sz w:val="24"/>
          <w:szCs w:val="24"/>
          <w:lang w:val="uk-UA"/>
          <w14:ligatures w14:val="none"/>
        </w:rPr>
        <w:t>.</w:t>
      </w:r>
      <w:r w:rsidRPr="00B44B71">
        <w:rPr>
          <w:rFonts w:ascii="Times New Roman" w:eastAsia="Calibri" w:hAnsi="Times New Roman" w:cs="Times New Roman"/>
          <w:sz w:val="24"/>
          <w:szCs w:val="24"/>
          <w:lang w:val="uk-UA"/>
          <w14:ligatures w14:val="none"/>
        </w:rPr>
        <w:t xml:space="preserve"> (дата звернення: 17.03.2026). </w:t>
      </w:r>
    </w:p>
    <w:p w14:paraId="47F1AA18" w14:textId="77777777" w:rsidR="00B44B71" w:rsidRPr="00B44B71" w:rsidRDefault="00B44B71" w:rsidP="00923BD7">
      <w:pPr>
        <w:numPr>
          <w:ilvl w:val="0"/>
          <w:numId w:val="5"/>
        </w:numPr>
        <w:tabs>
          <w:tab w:val="clear" w:pos="720"/>
          <w:tab w:val="num"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Van der Linden S., Lewandowsky S. Countering Misinformation and Fake News Through Inoculation and Prebunking. </w:t>
      </w:r>
      <w:r w:rsidRPr="00B44B71">
        <w:rPr>
          <w:rFonts w:ascii="Times New Roman" w:eastAsia="Calibri" w:hAnsi="Times New Roman" w:cs="Times New Roman"/>
          <w:i/>
          <w:iCs/>
          <w:sz w:val="24"/>
          <w:szCs w:val="24"/>
          <w:lang w:val="uk-UA"/>
          <w14:ligatures w14:val="none"/>
        </w:rPr>
        <w:t>European Review of Social Psychology</w:t>
      </w:r>
      <w:r w:rsidRPr="00B44B71">
        <w:rPr>
          <w:rFonts w:ascii="Times New Roman" w:eastAsia="Calibri" w:hAnsi="Times New Roman" w:cs="Times New Roman"/>
          <w:sz w:val="24"/>
          <w:szCs w:val="24"/>
          <w:lang w:val="uk-UA"/>
          <w14:ligatures w14:val="none"/>
        </w:rPr>
        <w:t>. 2021. Vol. 32. P. 348–384. DOI: 10.1080/10463283.2021.1876983.</w:t>
      </w:r>
    </w:p>
    <w:p w14:paraId="1D172F17" w14:textId="77777777" w:rsidR="00B44B71" w:rsidRPr="00B44B71" w:rsidRDefault="00B44B71" w:rsidP="00023291">
      <w:pPr>
        <w:tabs>
          <w:tab w:val="left" w:pos="9638"/>
        </w:tabs>
        <w:spacing w:after="0" w:line="240" w:lineRule="auto"/>
        <w:ind w:right="283" w:firstLine="709"/>
        <w:jc w:val="both"/>
        <w:rPr>
          <w:rFonts w:ascii="Times New Roman" w:eastAsia="Calibri" w:hAnsi="Times New Roman" w:cs="Times New Roman"/>
          <w:sz w:val="24"/>
          <w:szCs w:val="24"/>
          <w:lang w:val="uk-UA"/>
          <w14:ligatures w14:val="none"/>
        </w:rPr>
      </w:pPr>
    </w:p>
    <w:p w14:paraId="1D764D10" w14:textId="77777777" w:rsidR="00B44B71" w:rsidRPr="00B44B71" w:rsidRDefault="00B44B71" w:rsidP="00107662">
      <w:pPr>
        <w:tabs>
          <w:tab w:val="left" w:pos="9638"/>
        </w:tabs>
        <w:spacing w:after="0" w:line="240" w:lineRule="auto"/>
        <w:ind w:right="283"/>
        <w:jc w:val="center"/>
        <w:rPr>
          <w:rFonts w:ascii="Times New Roman" w:eastAsia="Calibri" w:hAnsi="Times New Roman" w:cs="Times New Roman"/>
          <w:b/>
          <w:bCs/>
          <w:sz w:val="24"/>
          <w:szCs w:val="24"/>
          <w:lang w:val="uk-UA"/>
          <w14:ligatures w14:val="none"/>
        </w:rPr>
      </w:pPr>
      <w:r w:rsidRPr="00B44B71">
        <w:rPr>
          <w:rFonts w:ascii="Times New Roman" w:eastAsia="Calibri" w:hAnsi="Times New Roman" w:cs="Times New Roman"/>
          <w:b/>
          <w:bCs/>
          <w:sz w:val="24"/>
          <w:szCs w:val="24"/>
          <w:lang w:val="uk-UA"/>
          <w14:ligatures w14:val="none"/>
        </w:rPr>
        <w:t>REFERENCES</w:t>
      </w:r>
    </w:p>
    <w:p w14:paraId="5E773222" w14:textId="77777777" w:rsidR="00B44B71" w:rsidRPr="00B44B71" w:rsidRDefault="00B44B71" w:rsidP="00923BD7">
      <w:pPr>
        <w:numPr>
          <w:ilvl w:val="0"/>
          <w:numId w:val="6"/>
        </w:numPr>
        <w:tabs>
          <w:tab w:val="left"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Ivanov, V. F., &amp; Volosheniuk, O. V. (2013). Mediaosvita ta mediahramotnist [Media education and media literacy]. Tsentr vilnoi presy. (in Ukrainian).</w:t>
      </w:r>
    </w:p>
    <w:p w14:paraId="1DCB1B98" w14:textId="77777777" w:rsidR="00B44B71" w:rsidRPr="00B44B71" w:rsidRDefault="00B44B71" w:rsidP="00923BD7">
      <w:pPr>
        <w:numPr>
          <w:ilvl w:val="0"/>
          <w:numId w:val="6"/>
        </w:numPr>
        <w:tabs>
          <w:tab w:val="left"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Ilchenko, O. A., &amp; Tkach, P. B. (2021). Intehruvannia elementiv mediahramotnosti v kurs liderstva dlia maibutnikh ofitseriv Natsionalnoi hvardii Ukrainy [Integration of media literacy elements into a leadership course for future National Guard officers]. </w:t>
      </w:r>
      <w:r w:rsidRPr="00B44B71">
        <w:rPr>
          <w:rFonts w:ascii="Times New Roman" w:eastAsia="Calibri" w:hAnsi="Times New Roman" w:cs="Times New Roman"/>
          <w:i/>
          <w:iCs/>
          <w:sz w:val="24"/>
          <w:szCs w:val="24"/>
          <w:lang w:val="uk-UA"/>
          <w14:ligatures w14:val="none"/>
        </w:rPr>
        <w:t>Naukovyi chasopys Natsionalnoho pedahohichnoho universytetu imeni M. P. Drahomanova. Seriia 5: Pedahohichni nauky: realii ta perspektyvy</w:t>
      </w:r>
      <w:r w:rsidRPr="00B44B71">
        <w:rPr>
          <w:rFonts w:ascii="Times New Roman" w:eastAsia="Calibri" w:hAnsi="Times New Roman" w:cs="Times New Roman"/>
          <w:sz w:val="24"/>
          <w:szCs w:val="24"/>
          <w:lang w:val="uk-UA"/>
          <w14:ligatures w14:val="none"/>
        </w:rPr>
        <w:t>, (81), 93–97. (in Ukrainian).</w:t>
      </w:r>
    </w:p>
    <w:p w14:paraId="13EE5683" w14:textId="77777777" w:rsidR="00B44B71" w:rsidRPr="00B44B71" w:rsidRDefault="00B44B71" w:rsidP="00923BD7">
      <w:pPr>
        <w:numPr>
          <w:ilvl w:val="0"/>
          <w:numId w:val="6"/>
        </w:numPr>
        <w:tabs>
          <w:tab w:val="left"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Dovzhenko, O., Yehorova, A., Ivanova, T., Miskyi, V., Potapova, V., &amp; Yurychko, A. (2023). Mediahramotnist pid chas viiny: teoriia, metodyka, interaktyv [Media literacy during war: Theory, methodology, interactive] (O. Volosheniuk &amp; V. Ivanov, Eds.). Akademiia ukrainskoi presy; Tsentr vilnoi presy. (in Ukrainian).</w:t>
      </w:r>
    </w:p>
    <w:p w14:paraId="39798D39" w14:textId="77777777" w:rsidR="00B44B71" w:rsidRPr="00B44B71" w:rsidRDefault="00B44B71" w:rsidP="00923BD7">
      <w:pPr>
        <w:numPr>
          <w:ilvl w:val="0"/>
          <w:numId w:val="6"/>
        </w:numPr>
        <w:tabs>
          <w:tab w:val="left"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lastRenderedPageBreak/>
        <w:t xml:space="preserve">Postman, N. (1985). Amusing ourselves to death: Public discourse in the age of show business. Penguin Books. </w:t>
      </w:r>
      <w:r w:rsidRPr="00B44B71">
        <w:rPr>
          <w:rFonts w:ascii="Times New Roman" w:eastAsia="Calibri" w:hAnsi="Times New Roman" w:cs="Times New Roman"/>
          <w:sz w:val="24"/>
          <w:szCs w:val="24"/>
          <w14:ligatures w14:val="none"/>
        </w:rPr>
        <w:t>URL</w:t>
      </w:r>
      <w:r w:rsidRPr="00B44B71">
        <w:rPr>
          <w:rFonts w:ascii="Times New Roman" w:eastAsia="Calibri" w:hAnsi="Times New Roman" w:cs="Times New Roman"/>
          <w:sz w:val="24"/>
          <w:szCs w:val="24"/>
          <w:lang w:val="uk-UA"/>
          <w14:ligatures w14:val="none"/>
        </w:rPr>
        <w:t xml:space="preserve">: </w:t>
      </w:r>
      <w:hyperlink r:id="rId203" w:history="1">
        <w:r w:rsidRPr="00B44B71">
          <w:rPr>
            <w:rFonts w:ascii="Times New Roman" w:eastAsia="Calibri" w:hAnsi="Times New Roman" w:cs="Times New Roman"/>
            <w:sz w:val="24"/>
            <w:szCs w:val="24"/>
            <w:u w:val="single"/>
            <w:lang w:val="uk-UA"/>
            <w14:ligatures w14:val="none"/>
          </w:rPr>
          <w:t>https://ia801705.us.archive.org/4/items/Various_PDFs /NeilPostman-AmusingOurselvesToDeath.pdf</w:t>
        </w:r>
      </w:hyperlink>
    </w:p>
    <w:p w14:paraId="072B8EF0" w14:textId="77777777" w:rsidR="00B44B71" w:rsidRPr="00B44B71" w:rsidRDefault="00B44B71" w:rsidP="00923BD7">
      <w:pPr>
        <w:numPr>
          <w:ilvl w:val="0"/>
          <w:numId w:val="6"/>
        </w:numPr>
        <w:tabs>
          <w:tab w:val="left"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Buckingham, D. (2003). Media education: Literacy, learning and contemporary culture. Polity Press.</w:t>
      </w:r>
    </w:p>
    <w:p w14:paraId="2D174EC0" w14:textId="77777777" w:rsidR="00B44B71" w:rsidRPr="00B44B71" w:rsidRDefault="00B44B71" w:rsidP="00923BD7">
      <w:pPr>
        <w:numPr>
          <w:ilvl w:val="0"/>
          <w:numId w:val="6"/>
        </w:numPr>
        <w:tabs>
          <w:tab w:val="left"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Pariser, E. (2012). The filter bubble: What the Internet is hiding from you. Penguin Books.</w:t>
      </w:r>
    </w:p>
    <w:p w14:paraId="7234F31D" w14:textId="77777777" w:rsidR="00B44B71" w:rsidRPr="00B44B71" w:rsidRDefault="00B44B71" w:rsidP="00923BD7">
      <w:pPr>
        <w:numPr>
          <w:ilvl w:val="0"/>
          <w:numId w:val="6"/>
        </w:numPr>
        <w:tabs>
          <w:tab w:val="left"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Naidonova, L. A., Baryshpolets, O. T., Myronenko, H. V., Holubieva, O. Ye., &amp; Rizun, V. V. (2009). Mediakultura osobystosti: sotsialno-psykholohichnyi pidkhid [Media culture of personality: Socio-psychological approach] (L. A. Naidonova &amp; O. T. Boryshpolets, Eds.). Milenium. </w:t>
      </w:r>
      <w:r w:rsidRPr="00B44B71">
        <w:rPr>
          <w:rFonts w:ascii="Times New Roman" w:eastAsia="Calibri" w:hAnsi="Times New Roman" w:cs="Times New Roman"/>
          <w:sz w:val="24"/>
          <w:szCs w:val="24"/>
          <w14:ligatures w14:val="none"/>
        </w:rPr>
        <w:t>URL</w:t>
      </w:r>
      <w:r w:rsidRPr="00B44B71">
        <w:rPr>
          <w:rFonts w:ascii="Times New Roman" w:eastAsia="Calibri" w:hAnsi="Times New Roman" w:cs="Times New Roman"/>
          <w:sz w:val="24"/>
          <w:szCs w:val="24"/>
          <w:lang w:val="uk-UA"/>
          <w14:ligatures w14:val="none"/>
        </w:rPr>
        <w:t xml:space="preserve">: </w:t>
      </w:r>
      <w:hyperlink r:id="rId204" w:history="1">
        <w:r w:rsidRPr="00B44B71">
          <w:rPr>
            <w:rFonts w:ascii="Times New Roman" w:eastAsia="Calibri" w:hAnsi="Times New Roman" w:cs="Times New Roman"/>
            <w:sz w:val="24"/>
            <w:szCs w:val="24"/>
            <w:u w:val="single"/>
            <w:lang w:val="uk-UA"/>
            <w14:ligatures w14:val="none"/>
          </w:rPr>
          <w:t>http://balakliya-school2.edu.kh.ua/Files/downloads/Посібник%20по%20 медіаосвіті.pdf</w:t>
        </w:r>
      </w:hyperlink>
      <w:r w:rsidRPr="00B44B71">
        <w:rPr>
          <w:rFonts w:ascii="Times New Roman" w:eastAsia="Calibri" w:hAnsi="Times New Roman" w:cs="Times New Roman"/>
          <w:sz w:val="24"/>
          <w:szCs w:val="24"/>
          <w:lang w:val="uk-UA"/>
          <w14:ligatures w14:val="none"/>
        </w:rPr>
        <w:t>. (in Ukrainian).</w:t>
      </w:r>
    </w:p>
    <w:p w14:paraId="745F97CB" w14:textId="77777777" w:rsidR="00B44B71" w:rsidRPr="00B44B71" w:rsidRDefault="00B44B71" w:rsidP="00923BD7">
      <w:pPr>
        <w:numPr>
          <w:ilvl w:val="0"/>
          <w:numId w:val="6"/>
        </w:numPr>
        <w:tabs>
          <w:tab w:val="left"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Naidonova, L. A., &amp; Sliusarevskyi, M. M. (Eds.). (2016). Kontseptsiia vprovadzhennia mediaosvity v Ukraini (nova redaktsiia) [Concept of implementation of media education in Ukraine (new edition)]. Instytut sotsialnoi ta politychnoi psykholohii NAPN Ukrainy. </w:t>
      </w:r>
      <w:r w:rsidRPr="00B44B71">
        <w:rPr>
          <w:rFonts w:ascii="Times New Roman" w:eastAsia="Calibri" w:hAnsi="Times New Roman" w:cs="Times New Roman"/>
          <w:sz w:val="24"/>
          <w:szCs w:val="24"/>
          <w14:ligatures w14:val="none"/>
        </w:rPr>
        <w:t>URL</w:t>
      </w:r>
      <w:r w:rsidRPr="00B44B71">
        <w:rPr>
          <w:rFonts w:ascii="Times New Roman" w:eastAsia="Calibri" w:hAnsi="Times New Roman" w:cs="Times New Roman"/>
          <w:sz w:val="24"/>
          <w:szCs w:val="24"/>
          <w:lang w:val="uk-UA"/>
          <w14:ligatures w14:val="none"/>
        </w:rPr>
        <w:t xml:space="preserve">: </w:t>
      </w:r>
      <w:hyperlink r:id="rId205" w:history="1">
        <w:r w:rsidRPr="00B44B71">
          <w:rPr>
            <w:rFonts w:ascii="Times New Roman" w:eastAsia="Calibri" w:hAnsi="Times New Roman" w:cs="Times New Roman"/>
            <w:sz w:val="24"/>
            <w:szCs w:val="24"/>
            <w:u w:val="single"/>
            <w:lang w:val="uk-UA"/>
            <w14:ligatures w14:val="none"/>
          </w:rPr>
          <w:t>http://mediaosvita.org.ua/wp-content/uploads/2016/12/концепція-медіаосвіти.pdf</w:t>
        </w:r>
      </w:hyperlink>
      <w:r w:rsidRPr="00B44B71">
        <w:rPr>
          <w:rFonts w:ascii="Times New Roman" w:eastAsia="Calibri" w:hAnsi="Times New Roman" w:cs="Times New Roman"/>
          <w:sz w:val="24"/>
          <w:szCs w:val="24"/>
          <w:lang w:val="uk-UA"/>
          <w14:ligatures w14:val="none"/>
        </w:rPr>
        <w:t>. (in Ukrainian).</w:t>
      </w:r>
    </w:p>
    <w:p w14:paraId="124F351E" w14:textId="77777777" w:rsidR="00B44B71" w:rsidRPr="00B44B71" w:rsidRDefault="00B44B71" w:rsidP="00923BD7">
      <w:pPr>
        <w:numPr>
          <w:ilvl w:val="0"/>
          <w:numId w:val="6"/>
        </w:numPr>
        <w:tabs>
          <w:tab w:val="left"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Potiatynyk, B. V. (2004). Media: kliuchi do rozuminnia [Media: Keys to understanding]. PAIS.</w:t>
      </w:r>
    </w:p>
    <w:p w14:paraId="03B588CF" w14:textId="77777777" w:rsidR="00B44B71" w:rsidRPr="00B44B71" w:rsidRDefault="00B44B71" w:rsidP="00923BD7">
      <w:pPr>
        <w:numPr>
          <w:ilvl w:val="0"/>
          <w:numId w:val="6"/>
        </w:numPr>
        <w:tabs>
          <w:tab w:val="left"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Yandola, K. (2024). Suchasni trendy formuvannia ta rozvytku mediahramotnosti viiskovosluzhbovtsiv [Modern trends in the formation and development of media literacy of military personnel]. In </w:t>
      </w:r>
      <w:r w:rsidRPr="00B44B71">
        <w:rPr>
          <w:rFonts w:ascii="Times New Roman" w:eastAsia="Calibri" w:hAnsi="Times New Roman" w:cs="Times New Roman"/>
          <w:i/>
          <w:iCs/>
          <w:sz w:val="24"/>
          <w:szCs w:val="24"/>
          <w:lang w:val="uk-UA"/>
          <w14:ligatures w14:val="none"/>
        </w:rPr>
        <w:t>Ukrainske suspilstvo v umovakh tsyfrovykh transformatsii: vyklyky, tendentsii, mozhlyvosti</w:t>
      </w:r>
      <w:r w:rsidRPr="00B44B71">
        <w:rPr>
          <w:rFonts w:ascii="Times New Roman" w:eastAsia="Calibri" w:hAnsi="Times New Roman" w:cs="Times New Roman"/>
          <w:sz w:val="24"/>
          <w:szCs w:val="24"/>
          <w:lang w:val="uk-UA"/>
          <w14:ligatures w14:val="none"/>
        </w:rPr>
        <w:t xml:space="preserve"> [Ukrainian society in the conditions of digital transformations: Challenges, trends, opportunities] (pp. 392–423). </w:t>
      </w:r>
      <w:hyperlink r:id="rId206" w:history="1">
        <w:r w:rsidRPr="00B44B71">
          <w:rPr>
            <w:rFonts w:ascii="Times New Roman" w:eastAsia="Calibri" w:hAnsi="Times New Roman" w:cs="Times New Roman"/>
            <w:sz w:val="24"/>
            <w:szCs w:val="24"/>
            <w:u w:val="single"/>
            <w:lang w:val="uk-UA"/>
            <w14:ligatures w14:val="none"/>
          </w:rPr>
          <w:t>https://doi.org/10.15421/342475</w:t>
        </w:r>
      </w:hyperlink>
      <w:r w:rsidRPr="00B44B71">
        <w:rPr>
          <w:rFonts w:ascii="Times New Roman" w:eastAsia="Calibri" w:hAnsi="Times New Roman" w:cs="Times New Roman"/>
          <w:sz w:val="24"/>
          <w:szCs w:val="24"/>
          <w:lang w:val="uk-UA"/>
          <w14:ligatures w14:val="none"/>
        </w:rPr>
        <w:t>. (in Ukrainian).</w:t>
      </w:r>
    </w:p>
    <w:p w14:paraId="664E168F" w14:textId="77777777" w:rsidR="00B44B71" w:rsidRPr="00B44B71" w:rsidRDefault="00B44B71" w:rsidP="00923BD7">
      <w:pPr>
        <w:numPr>
          <w:ilvl w:val="0"/>
          <w:numId w:val="6"/>
        </w:numPr>
        <w:tabs>
          <w:tab w:val="left"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Izbash, S. S. (2021). Psykholoho-pedahohichni umovy formuvannia mediahramotnosti v kursantiv Natsionalnoi akademii Natsionalnoi hvardii Ukrainy [Psychological and pedagogical conditions for the formation of media literacy of cadets of the National Academy of the National Guard of Ukraine]. </w:t>
      </w:r>
      <w:r w:rsidRPr="00B44B71">
        <w:rPr>
          <w:rFonts w:ascii="Times New Roman" w:eastAsia="Calibri" w:hAnsi="Times New Roman" w:cs="Times New Roman"/>
          <w:i/>
          <w:iCs/>
          <w:sz w:val="24"/>
          <w:szCs w:val="24"/>
          <w:lang w:val="uk-UA"/>
          <w14:ligatures w14:val="none"/>
        </w:rPr>
        <w:t>Naukovyi zhurnal Khortytskoi natsionalnoi akademii</w:t>
      </w:r>
      <w:r w:rsidRPr="00B44B71">
        <w:rPr>
          <w:rFonts w:ascii="Times New Roman" w:eastAsia="Calibri" w:hAnsi="Times New Roman" w:cs="Times New Roman"/>
          <w:sz w:val="24"/>
          <w:szCs w:val="24"/>
          <w:lang w:val="uk-UA"/>
          <w14:ligatures w14:val="none"/>
        </w:rPr>
        <w:t xml:space="preserve">, 1(4), 45–56. </w:t>
      </w:r>
      <w:hyperlink r:id="rId207" w:history="1">
        <w:r w:rsidRPr="00B44B71">
          <w:rPr>
            <w:rFonts w:ascii="Times New Roman" w:eastAsia="Calibri" w:hAnsi="Times New Roman" w:cs="Times New Roman"/>
            <w:sz w:val="24"/>
            <w:szCs w:val="24"/>
            <w:u w:val="single"/>
            <w:lang w:val="uk-UA"/>
            <w14:ligatures w14:val="none"/>
          </w:rPr>
          <w:t>https://doi.org/10.51706/2707-3076-2021-4-4</w:t>
        </w:r>
      </w:hyperlink>
      <w:r w:rsidRPr="00B44B71">
        <w:rPr>
          <w:rFonts w:ascii="Times New Roman" w:eastAsia="Calibri" w:hAnsi="Times New Roman" w:cs="Times New Roman"/>
          <w:sz w:val="24"/>
          <w:szCs w:val="24"/>
          <w:lang w:val="uk-UA"/>
          <w14:ligatures w14:val="none"/>
        </w:rPr>
        <w:t>. (in Ukrainian).</w:t>
      </w:r>
    </w:p>
    <w:p w14:paraId="5CC44FFA" w14:textId="77777777" w:rsidR="00B44B71" w:rsidRPr="00B44B71" w:rsidRDefault="00B44B71" w:rsidP="00923BD7">
      <w:pPr>
        <w:numPr>
          <w:ilvl w:val="0"/>
          <w:numId w:val="6"/>
        </w:numPr>
        <w:tabs>
          <w:tab w:val="left"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Kiriakidi, O. Yu. (2024). Rozvytok mediahramotnosti maibutnikh ofitseriv Viiskovo-Morskykh Syl Zbroinykh Syl Ukrainy u protsesi profesiinoi pidhotovky [Development of media literacy of future Naval Forces officers in the process of professional training] (Doctoral dissertation, specialty 011). </w:t>
      </w:r>
      <w:r w:rsidRPr="00B44B71">
        <w:rPr>
          <w:rFonts w:ascii="Times New Roman" w:eastAsia="Calibri" w:hAnsi="Times New Roman" w:cs="Times New Roman"/>
          <w:sz w:val="24"/>
          <w:szCs w:val="24"/>
          <w14:ligatures w14:val="none"/>
        </w:rPr>
        <w:t>URL</w:t>
      </w:r>
      <w:r w:rsidRPr="00B44B71">
        <w:rPr>
          <w:rFonts w:ascii="Times New Roman" w:eastAsia="Calibri" w:hAnsi="Times New Roman" w:cs="Times New Roman"/>
          <w:sz w:val="24"/>
          <w:szCs w:val="24"/>
          <w:lang w:val="uk-UA"/>
          <w14:ligatures w14:val="none"/>
        </w:rPr>
        <w:t xml:space="preserve">: </w:t>
      </w:r>
      <w:hyperlink r:id="rId208" w:tgtFrame="_new" w:history="1">
        <w:r w:rsidRPr="00B44B71">
          <w:rPr>
            <w:rFonts w:ascii="Times New Roman" w:eastAsia="Calibri" w:hAnsi="Times New Roman" w:cs="Times New Roman"/>
            <w:sz w:val="24"/>
            <w:szCs w:val="24"/>
            <w:u w:val="single"/>
            <w:lang w:val="uk-UA"/>
            <w14:ligatures w14:val="none"/>
          </w:rPr>
          <w:t>https://nauka.khmnu.edu.ua/wp-content/uploads/dysertatsiia-kiriakidi.pdf</w:t>
        </w:r>
      </w:hyperlink>
      <w:r w:rsidRPr="00B44B71">
        <w:rPr>
          <w:rFonts w:ascii="Times New Roman" w:eastAsia="Calibri" w:hAnsi="Times New Roman" w:cs="Times New Roman"/>
          <w:sz w:val="24"/>
          <w:szCs w:val="24"/>
          <w:lang w:val="uk-UA"/>
          <w14:ligatures w14:val="none"/>
        </w:rPr>
        <w:t>. (in Ukrainian).</w:t>
      </w:r>
    </w:p>
    <w:p w14:paraId="723D1677" w14:textId="77777777" w:rsidR="00B44B71" w:rsidRPr="00B44B71" w:rsidRDefault="00B44B71" w:rsidP="00923BD7">
      <w:pPr>
        <w:numPr>
          <w:ilvl w:val="0"/>
          <w:numId w:val="6"/>
        </w:numPr>
        <w:tabs>
          <w:tab w:val="left"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President of Ukraine. (2021). Pro Stratehiiu informatsiinoi bezpeky: Ukaz № 685/2021 [On the Information Security Strategy: Decree No. 685/2021]. </w:t>
      </w:r>
      <w:r w:rsidRPr="00B44B71">
        <w:rPr>
          <w:rFonts w:ascii="Times New Roman" w:eastAsia="Calibri" w:hAnsi="Times New Roman" w:cs="Times New Roman"/>
          <w:sz w:val="24"/>
          <w:szCs w:val="24"/>
          <w14:ligatures w14:val="none"/>
        </w:rPr>
        <w:t>URL</w:t>
      </w:r>
      <w:r w:rsidRPr="00B44B71">
        <w:rPr>
          <w:rFonts w:ascii="Times New Roman" w:eastAsia="Calibri" w:hAnsi="Times New Roman" w:cs="Times New Roman"/>
          <w:sz w:val="24"/>
          <w:szCs w:val="24"/>
          <w:lang w:val="uk-UA"/>
          <w14:ligatures w14:val="none"/>
        </w:rPr>
        <w:t xml:space="preserve">: </w:t>
      </w:r>
      <w:hyperlink r:id="rId209" w:history="1">
        <w:r w:rsidRPr="00B44B71">
          <w:rPr>
            <w:rFonts w:ascii="Times New Roman" w:eastAsia="Calibri" w:hAnsi="Times New Roman" w:cs="Times New Roman"/>
            <w:sz w:val="24"/>
            <w:szCs w:val="24"/>
            <w:u w:val="single"/>
            <w:lang w:val="uk-UA"/>
            <w14:ligatures w14:val="none"/>
          </w:rPr>
          <w:t>https://www.president.gov.ua/documents/6852021-41069</w:t>
        </w:r>
      </w:hyperlink>
      <w:r w:rsidRPr="00B44B71">
        <w:rPr>
          <w:rFonts w:ascii="Times New Roman" w:eastAsia="Calibri" w:hAnsi="Times New Roman" w:cs="Times New Roman"/>
          <w:sz w:val="24"/>
          <w:szCs w:val="24"/>
          <w:lang w:val="uk-UA"/>
          <w14:ligatures w14:val="none"/>
        </w:rPr>
        <w:t>. (in Ukrainian).</w:t>
      </w:r>
    </w:p>
    <w:p w14:paraId="2C93BB9B" w14:textId="77777777" w:rsidR="00B44B71" w:rsidRPr="00B44B71" w:rsidRDefault="00B44B71" w:rsidP="00923BD7">
      <w:pPr>
        <w:numPr>
          <w:ilvl w:val="0"/>
          <w:numId w:val="6"/>
        </w:numPr>
        <w:tabs>
          <w:tab w:val="left"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NATO. (2022). NATO 2022 strategic concept. NATO Public Diplomacy Division. </w:t>
      </w:r>
      <w:r w:rsidRPr="00B44B71">
        <w:rPr>
          <w:rFonts w:ascii="Times New Roman" w:eastAsia="Calibri" w:hAnsi="Times New Roman" w:cs="Times New Roman"/>
          <w:sz w:val="24"/>
          <w:szCs w:val="24"/>
          <w14:ligatures w14:val="none"/>
        </w:rPr>
        <w:t>URL</w:t>
      </w:r>
      <w:r w:rsidRPr="00B44B71">
        <w:rPr>
          <w:rFonts w:ascii="Times New Roman" w:eastAsia="Calibri" w:hAnsi="Times New Roman" w:cs="Times New Roman"/>
          <w:sz w:val="24"/>
          <w:szCs w:val="24"/>
          <w:lang w:val="uk-UA"/>
          <w14:ligatures w14:val="none"/>
        </w:rPr>
        <w:t xml:space="preserve">: </w:t>
      </w:r>
      <w:hyperlink r:id="rId210" w:history="1">
        <w:r w:rsidRPr="00B44B71">
          <w:rPr>
            <w:rFonts w:ascii="Times New Roman" w:eastAsia="Calibri" w:hAnsi="Times New Roman" w:cs="Times New Roman"/>
            <w:sz w:val="24"/>
            <w:szCs w:val="24"/>
            <w:u w:val="single"/>
            <w:lang w:val="uk-UA"/>
            <w14:ligatures w14:val="none"/>
          </w:rPr>
          <w:t>https://www.nato.int/en/about-us/official-texts-and-resources/strategic-concepts/nato-2022-strategic-concept</w:t>
        </w:r>
      </w:hyperlink>
    </w:p>
    <w:p w14:paraId="3A910433" w14:textId="77777777" w:rsidR="00B44B71" w:rsidRPr="00B44B71" w:rsidRDefault="00B44B71" w:rsidP="00923BD7">
      <w:pPr>
        <w:numPr>
          <w:ilvl w:val="0"/>
          <w:numId w:val="6"/>
        </w:numPr>
        <w:tabs>
          <w:tab w:val="left"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Jolls, T. (2022). Building resiliency: Media literacy as a strategic defense strategy for the transatlantic. Center for Media Literacy. </w:t>
      </w:r>
      <w:r w:rsidRPr="00B44B71">
        <w:rPr>
          <w:rFonts w:ascii="Times New Roman" w:eastAsia="Calibri" w:hAnsi="Times New Roman" w:cs="Times New Roman"/>
          <w:sz w:val="24"/>
          <w:szCs w:val="24"/>
          <w14:ligatures w14:val="none"/>
        </w:rPr>
        <w:t>URL</w:t>
      </w:r>
      <w:r w:rsidRPr="00B44B71">
        <w:rPr>
          <w:rFonts w:ascii="Times New Roman" w:eastAsia="Calibri" w:hAnsi="Times New Roman" w:cs="Times New Roman"/>
          <w:sz w:val="24"/>
          <w:szCs w:val="24"/>
          <w:lang w:val="uk-UA"/>
          <w14:ligatures w14:val="none"/>
        </w:rPr>
        <w:t xml:space="preserve">: </w:t>
      </w:r>
      <w:hyperlink r:id="rId211" w:history="1">
        <w:r w:rsidRPr="00B44B71">
          <w:rPr>
            <w:rFonts w:ascii="Times New Roman" w:eastAsia="Calibri" w:hAnsi="Times New Roman" w:cs="Times New Roman"/>
            <w:sz w:val="24"/>
            <w:szCs w:val="24"/>
            <w:u w:val="single"/>
            <w:lang w:val="uk-UA"/>
            <w14:ligatures w14:val="none"/>
          </w:rPr>
          <w:t>https://gicid.unizar.es/wp-content/uploads/Building-Resiliency-Media-Literacy-as-a-Strategic-Defense-Strategy-for-the-Transatlantic.pdf</w:t>
        </w:r>
      </w:hyperlink>
    </w:p>
    <w:p w14:paraId="685AD8AA" w14:textId="77777777" w:rsidR="00B44B71" w:rsidRPr="00B44B71" w:rsidRDefault="00B44B71" w:rsidP="00923BD7">
      <w:pPr>
        <w:numPr>
          <w:ilvl w:val="0"/>
          <w:numId w:val="6"/>
        </w:numPr>
        <w:tabs>
          <w:tab w:val="left"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Valtonen, V., &amp; Branders, M. (2016). Tracing the Finnish comprehensive security model. In </w:t>
      </w:r>
      <w:r w:rsidRPr="00B44B71">
        <w:rPr>
          <w:rFonts w:ascii="Times New Roman" w:eastAsia="Calibri" w:hAnsi="Times New Roman" w:cs="Times New Roman"/>
          <w:i/>
          <w:iCs/>
          <w:sz w:val="24"/>
          <w:szCs w:val="24"/>
          <w:lang w:val="uk-UA"/>
          <w14:ligatures w14:val="none"/>
        </w:rPr>
        <w:t>Nordic societal security: Convergence and divergence</w:t>
      </w:r>
      <w:r w:rsidRPr="00B44B71">
        <w:rPr>
          <w:rFonts w:ascii="Times New Roman" w:eastAsia="Calibri" w:hAnsi="Times New Roman" w:cs="Times New Roman"/>
          <w:sz w:val="24"/>
          <w:szCs w:val="24"/>
          <w:lang w:val="uk-UA"/>
          <w14:ligatures w14:val="none"/>
        </w:rPr>
        <w:t xml:space="preserve"> (pp. 91–108). Palgrave Macmillan. </w:t>
      </w:r>
      <w:r w:rsidRPr="00B44B71">
        <w:rPr>
          <w:rFonts w:ascii="Times New Roman" w:eastAsia="Calibri" w:hAnsi="Times New Roman" w:cs="Times New Roman"/>
          <w:sz w:val="24"/>
          <w:szCs w:val="24"/>
          <w14:ligatures w14:val="none"/>
        </w:rPr>
        <w:t>URL</w:t>
      </w:r>
      <w:r w:rsidRPr="00B44B71">
        <w:rPr>
          <w:rFonts w:ascii="Times New Roman" w:eastAsia="Calibri" w:hAnsi="Times New Roman" w:cs="Times New Roman"/>
          <w:sz w:val="24"/>
          <w:szCs w:val="24"/>
          <w:lang w:val="uk-UA"/>
          <w14:ligatures w14:val="none"/>
        </w:rPr>
        <w:t xml:space="preserve">: </w:t>
      </w:r>
      <w:hyperlink r:id="rId212" w:history="1">
        <w:r w:rsidRPr="00B44B71">
          <w:rPr>
            <w:rFonts w:ascii="Times New Roman" w:eastAsia="Calibri" w:hAnsi="Times New Roman" w:cs="Times New Roman"/>
            <w:sz w:val="24"/>
            <w:szCs w:val="24"/>
            <w:u w:val="single"/>
            <w:lang w:val="uk-UA"/>
            <w14:ligatures w14:val="none"/>
          </w:rPr>
          <w:t>https://library.oapen.org/bitstream/handle/20.500.12657/102490/9781000168570.pdf</w:t>
        </w:r>
      </w:hyperlink>
    </w:p>
    <w:p w14:paraId="0036DE2F" w14:textId="77777777" w:rsidR="00B44B71" w:rsidRPr="00B44B71" w:rsidRDefault="00B44B71" w:rsidP="00923BD7">
      <w:pPr>
        <w:numPr>
          <w:ilvl w:val="0"/>
          <w:numId w:val="6"/>
        </w:numPr>
        <w:tabs>
          <w:tab w:val="left"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lastRenderedPageBreak/>
        <w:t xml:space="preserve">Gelot, L. (2021). Adapting a governmental training platform to simulate peace operations in the classroom. </w:t>
      </w:r>
      <w:r w:rsidRPr="00B44B71">
        <w:rPr>
          <w:rFonts w:ascii="Times New Roman" w:eastAsia="Calibri" w:hAnsi="Times New Roman" w:cs="Times New Roman"/>
          <w:i/>
          <w:iCs/>
          <w:sz w:val="24"/>
          <w:szCs w:val="24"/>
          <w:lang w:val="uk-UA"/>
          <w14:ligatures w14:val="none"/>
        </w:rPr>
        <w:t>Journal of Political Science Education</w:t>
      </w:r>
      <w:r w:rsidRPr="00B44B71">
        <w:rPr>
          <w:rFonts w:ascii="Times New Roman" w:eastAsia="Calibri" w:hAnsi="Times New Roman" w:cs="Times New Roman"/>
          <w:sz w:val="24"/>
          <w:szCs w:val="24"/>
          <w:lang w:val="uk-UA"/>
          <w14:ligatures w14:val="none"/>
        </w:rPr>
        <w:t xml:space="preserve">, 17(2), 269–284. </w:t>
      </w:r>
      <w:hyperlink r:id="rId213" w:history="1">
        <w:r w:rsidRPr="00B44B71">
          <w:rPr>
            <w:rFonts w:ascii="Times New Roman" w:eastAsia="Calibri" w:hAnsi="Times New Roman" w:cs="Times New Roman"/>
            <w:sz w:val="24"/>
            <w:szCs w:val="24"/>
            <w:u w:val="single"/>
            <w:lang w:val="uk-UA"/>
            <w14:ligatures w14:val="none"/>
          </w:rPr>
          <w:t>https://doi.org/10.1080/15512169.2019.1621180</w:t>
        </w:r>
      </w:hyperlink>
    </w:p>
    <w:p w14:paraId="53F65E2E" w14:textId="77777777" w:rsidR="00B44B71" w:rsidRPr="00B44B71" w:rsidRDefault="00B44B71" w:rsidP="00923BD7">
      <w:pPr>
        <w:numPr>
          <w:ilvl w:val="0"/>
          <w:numId w:val="6"/>
        </w:numPr>
        <w:tabs>
          <w:tab w:val="left"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Riven mediahramotnosti kursanta VVNZ v umovakh informatsiinoi viiny [The level of media literacy of a military higher education cadet in conditions of information warfare]. (n.d.). Google Forms. </w:t>
      </w:r>
      <w:r w:rsidRPr="00B44B71">
        <w:rPr>
          <w:rFonts w:ascii="Times New Roman" w:eastAsia="Calibri" w:hAnsi="Times New Roman" w:cs="Times New Roman"/>
          <w:sz w:val="24"/>
          <w:szCs w:val="24"/>
          <w14:ligatures w14:val="none"/>
        </w:rPr>
        <w:t>URL</w:t>
      </w:r>
      <w:r w:rsidRPr="00B44B71">
        <w:rPr>
          <w:rFonts w:ascii="Times New Roman" w:eastAsia="Calibri" w:hAnsi="Times New Roman" w:cs="Times New Roman"/>
          <w:sz w:val="24"/>
          <w:szCs w:val="24"/>
          <w:lang w:val="uk-UA"/>
          <w14:ligatures w14:val="none"/>
        </w:rPr>
        <w:t xml:space="preserve">: </w:t>
      </w:r>
      <w:hyperlink r:id="rId214" w:history="1">
        <w:r w:rsidRPr="00B44B71">
          <w:rPr>
            <w:rFonts w:ascii="Times New Roman" w:eastAsia="Calibri" w:hAnsi="Times New Roman" w:cs="Times New Roman"/>
            <w:sz w:val="24"/>
            <w:szCs w:val="24"/>
            <w:u w:val="single"/>
            <w:lang w:val="uk-UA"/>
            <w14:ligatures w14:val="none"/>
          </w:rPr>
          <w:t>https://docs.google.com/forms/d/e/1FAIpQLScEzFpkEa WhmaNCRuCETjY6lc-xQq8HnTGPAYBUCbLdWu5Lw/viewform</w:t>
        </w:r>
      </w:hyperlink>
      <w:r w:rsidRPr="00B44B71">
        <w:rPr>
          <w:rFonts w:ascii="Calibri" w:eastAsia="Calibri" w:hAnsi="Calibri" w:cs="Times New Roman"/>
          <w:sz w:val="24"/>
          <w:szCs w:val="24"/>
          <w:lang w:val="uk-UA"/>
          <w14:ligatures w14:val="none"/>
        </w:rPr>
        <w:t xml:space="preserve">. </w:t>
      </w:r>
      <w:r w:rsidRPr="00B44B71">
        <w:rPr>
          <w:rFonts w:ascii="Times New Roman" w:eastAsia="Calibri" w:hAnsi="Times New Roman" w:cs="Times New Roman"/>
          <w:sz w:val="24"/>
          <w:szCs w:val="24"/>
          <w:lang w:val="uk-UA"/>
          <w14:ligatures w14:val="none"/>
        </w:rPr>
        <w:t>(in Ukrainian).</w:t>
      </w:r>
    </w:p>
    <w:p w14:paraId="53577E43" w14:textId="366CF957" w:rsidR="00B44B71" w:rsidRPr="00107662" w:rsidRDefault="00B44B71" w:rsidP="00107662">
      <w:pPr>
        <w:numPr>
          <w:ilvl w:val="0"/>
          <w:numId w:val="6"/>
        </w:numPr>
        <w:tabs>
          <w:tab w:val="left" w:pos="1134"/>
          <w:tab w:val="left" w:pos="9638"/>
        </w:tabs>
        <w:spacing w:after="0" w:line="240" w:lineRule="auto"/>
        <w:ind w:left="0"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 xml:space="preserve">Van der Linden, S., &amp; Lewandowsky, S. (2021). Countering misinformation and fake news through inoculation and prebunking. </w:t>
      </w:r>
      <w:r w:rsidRPr="00B44B71">
        <w:rPr>
          <w:rFonts w:ascii="Times New Roman" w:eastAsia="Calibri" w:hAnsi="Times New Roman" w:cs="Times New Roman"/>
          <w:i/>
          <w:iCs/>
          <w:sz w:val="24"/>
          <w:szCs w:val="24"/>
          <w:lang w:val="uk-UA"/>
          <w14:ligatures w14:val="none"/>
        </w:rPr>
        <w:t>European Review of Social Psychology</w:t>
      </w:r>
      <w:r w:rsidRPr="00B44B71">
        <w:rPr>
          <w:rFonts w:ascii="Times New Roman" w:eastAsia="Calibri" w:hAnsi="Times New Roman" w:cs="Times New Roman"/>
          <w:sz w:val="24"/>
          <w:szCs w:val="24"/>
          <w:lang w:val="uk-UA"/>
          <w14:ligatures w14:val="none"/>
        </w:rPr>
        <w:t xml:space="preserve">, 32, 348–384. </w:t>
      </w:r>
      <w:hyperlink r:id="rId215" w:history="1">
        <w:r w:rsidRPr="00B44B71">
          <w:rPr>
            <w:rFonts w:ascii="Times New Roman" w:eastAsia="Calibri" w:hAnsi="Times New Roman" w:cs="Times New Roman"/>
            <w:sz w:val="24"/>
            <w:szCs w:val="24"/>
            <w:u w:val="single"/>
            <w:lang w:val="uk-UA"/>
            <w14:ligatures w14:val="none"/>
          </w:rPr>
          <w:t>https://doi.org/10.1080/10463283.2021.1876983</w:t>
        </w:r>
      </w:hyperlink>
    </w:p>
    <w:p w14:paraId="03E01E4D" w14:textId="3C57944B" w:rsidR="00F859BD" w:rsidRDefault="00B44B71" w:rsidP="00107662">
      <w:pPr>
        <w:tabs>
          <w:tab w:val="left" w:pos="9638"/>
        </w:tabs>
        <w:spacing w:after="0" w:line="240" w:lineRule="auto"/>
        <w:ind w:right="283"/>
        <w:contextualSpacing/>
        <w:jc w:val="center"/>
        <w:rPr>
          <w:rFonts w:ascii="Times New Roman" w:eastAsia="Calibri" w:hAnsi="Times New Roman" w:cs="Times New Roman"/>
          <w:b/>
          <w:bCs/>
          <w:sz w:val="24"/>
          <w:szCs w:val="24"/>
          <w:lang w:val="uk-UA"/>
          <w14:ligatures w14:val="none"/>
        </w:rPr>
      </w:pPr>
      <w:r w:rsidRPr="00B44B71">
        <w:rPr>
          <w:rFonts w:ascii="Times New Roman" w:eastAsia="Calibri" w:hAnsi="Times New Roman" w:cs="Times New Roman"/>
          <w:b/>
          <w:bCs/>
          <w:sz w:val="24"/>
          <w:szCs w:val="24"/>
          <w:lang w:val="uk-UA"/>
          <w14:ligatures w14:val="none"/>
        </w:rPr>
        <w:t>SUMMARY</w:t>
      </w:r>
    </w:p>
    <w:p w14:paraId="60790974" w14:textId="65DD8A24" w:rsidR="00B44B71" w:rsidRPr="00B15B58" w:rsidRDefault="00B44B71" w:rsidP="00023291">
      <w:pPr>
        <w:tabs>
          <w:tab w:val="left" w:pos="9638"/>
        </w:tabs>
        <w:spacing w:after="0" w:line="240" w:lineRule="auto"/>
        <w:ind w:right="283" w:firstLine="709"/>
        <w:contextualSpacing/>
        <w:jc w:val="right"/>
        <w:rPr>
          <w:rFonts w:ascii="Times New Roman" w:eastAsia="Calibri" w:hAnsi="Times New Roman" w:cs="Times New Roman"/>
          <w:b/>
          <w:bCs/>
          <w:sz w:val="24"/>
          <w:szCs w:val="24"/>
          <w:lang w:val="uk-UA"/>
          <w14:ligatures w14:val="none"/>
        </w:rPr>
      </w:pPr>
      <w:r w:rsidRPr="00B44B71">
        <w:rPr>
          <w:rFonts w:ascii="Times New Roman" w:eastAsia="Calibri" w:hAnsi="Times New Roman" w:cs="Times New Roman"/>
          <w:b/>
          <w:bCs/>
          <w:sz w:val="24"/>
          <w:szCs w:val="24"/>
          <w14:ligatures w14:val="none"/>
        </w:rPr>
        <w:t>Serhii Yemelianov</w:t>
      </w:r>
      <w:r w:rsidR="00B15B58">
        <w:rPr>
          <w:rFonts w:ascii="Times New Roman" w:eastAsia="Calibri" w:hAnsi="Times New Roman" w:cs="Times New Roman"/>
          <w:b/>
          <w:bCs/>
          <w:sz w:val="24"/>
          <w:szCs w:val="24"/>
          <w:lang w:val="uk-UA"/>
          <w14:ligatures w14:val="none"/>
        </w:rPr>
        <w:t>,</w:t>
      </w:r>
    </w:p>
    <w:p w14:paraId="449423BC" w14:textId="2FADDD9F" w:rsidR="00B44B71" w:rsidRPr="00B44B71" w:rsidRDefault="00B44B71" w:rsidP="00107662">
      <w:pPr>
        <w:tabs>
          <w:tab w:val="left" w:pos="9638"/>
        </w:tabs>
        <w:spacing w:after="0" w:line="240" w:lineRule="auto"/>
        <w:ind w:right="283" w:firstLine="709"/>
        <w:contextualSpacing/>
        <w:jc w:val="right"/>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sz w:val="24"/>
          <w:szCs w:val="24"/>
          <w:lang w:val="uk-UA"/>
          <w14:ligatures w14:val="none"/>
        </w:rPr>
        <w:t>National Defence University of Ukraine</w:t>
      </w:r>
    </w:p>
    <w:p w14:paraId="288CD0C6" w14:textId="2EACC3A9" w:rsidR="00583469" w:rsidRPr="00107662" w:rsidRDefault="00583469" w:rsidP="00107662">
      <w:pPr>
        <w:suppressAutoHyphens/>
        <w:spacing w:after="0" w:line="240" w:lineRule="auto"/>
        <w:ind w:right="283"/>
        <w:contextualSpacing/>
        <w:jc w:val="center"/>
        <w:rPr>
          <w:rFonts w:ascii="Times New Roman" w:eastAsia="Calibri" w:hAnsi="Times New Roman" w:cs="Times New Roman"/>
          <w:b/>
          <w:bCs/>
          <w:sz w:val="24"/>
          <w:szCs w:val="24"/>
          <w:lang w:val="uk-UA"/>
          <w14:ligatures w14:val="none"/>
        </w:rPr>
      </w:pPr>
      <w:r w:rsidRPr="00107662">
        <w:rPr>
          <w:rFonts w:ascii="Times New Roman" w:eastAsia="Calibri" w:hAnsi="Times New Roman" w:cs="Times New Roman"/>
          <w:b/>
          <w:bCs/>
          <w:sz w:val="24"/>
          <w:szCs w:val="24"/>
          <w:lang w:val="uk-UA"/>
          <w14:ligatures w14:val="none"/>
        </w:rPr>
        <w:t>Pedagogical Conditions for the Development of Media Literacy of Cadets of the Military Training Faculty of the State Special Transport Service in the Process of Professional Training</w:t>
      </w:r>
    </w:p>
    <w:p w14:paraId="3D31F3C0" w14:textId="77777777" w:rsidR="00583469" w:rsidRPr="00583469" w:rsidRDefault="00583469" w:rsidP="00583469">
      <w:pPr>
        <w:suppressAutoHyphens/>
        <w:spacing w:after="0" w:line="240" w:lineRule="auto"/>
        <w:ind w:right="283" w:firstLine="709"/>
        <w:contextualSpacing/>
        <w:jc w:val="both"/>
        <w:rPr>
          <w:rFonts w:ascii="Times New Roman" w:eastAsia="Calibri" w:hAnsi="Times New Roman" w:cs="Times New Roman"/>
          <w:sz w:val="24"/>
          <w:szCs w:val="24"/>
          <w:lang w:val="uk-UA"/>
          <w14:ligatures w14:val="none"/>
        </w:rPr>
      </w:pPr>
      <w:r w:rsidRPr="00414E32">
        <w:rPr>
          <w:rFonts w:ascii="Times New Roman" w:eastAsia="Calibri" w:hAnsi="Times New Roman" w:cs="Times New Roman"/>
          <w:sz w:val="24"/>
          <w:szCs w:val="24"/>
          <w:lang w:val="uk-UA"/>
          <w14:ligatures w14:val="none"/>
        </w:rPr>
        <w:t xml:space="preserve">Introduction. The article addresses the problem of developing media literacy among cadets of the Military Training Faculty of the State Special Transport Service in the context of modern information confrontation. The relevance of the study is justified by the growing role of the information component in modern warfare, the spread of disinformation, and information-psychological influence operations. Based on an analysis of national and international experience, particularly that of NATO member states, the pedagogical conditions for developing media literacy among cadets are substantiated. </w:t>
      </w:r>
    </w:p>
    <w:p w14:paraId="4060F2F4" w14:textId="77777777" w:rsidR="00583469" w:rsidRPr="00583469" w:rsidRDefault="00583469" w:rsidP="00583469">
      <w:pPr>
        <w:suppressAutoHyphens/>
        <w:spacing w:after="0" w:line="240" w:lineRule="auto"/>
        <w:ind w:right="283" w:firstLine="709"/>
        <w:contextualSpacing/>
        <w:jc w:val="both"/>
        <w:rPr>
          <w:rFonts w:ascii="Times New Roman" w:eastAsia="Calibri" w:hAnsi="Times New Roman" w:cs="Times New Roman"/>
          <w:sz w:val="24"/>
          <w:szCs w:val="24"/>
          <w:lang w:val="uk-UA"/>
          <w14:ligatures w14:val="none"/>
        </w:rPr>
      </w:pPr>
      <w:r w:rsidRPr="00583469">
        <w:rPr>
          <w:rFonts w:ascii="Times New Roman" w:eastAsia="Calibri" w:hAnsi="Times New Roman" w:cs="Times New Roman"/>
          <w:b/>
          <w:bCs/>
          <w:sz w:val="24"/>
          <w:szCs w:val="24"/>
          <w:lang w:val="uk-UA"/>
          <w14:ligatures w14:val="none"/>
        </w:rPr>
        <w:t>Purpose</w:t>
      </w:r>
      <w:r w:rsidRPr="00583469">
        <w:rPr>
          <w:rFonts w:ascii="Times New Roman" w:eastAsia="Calibri" w:hAnsi="Times New Roman" w:cs="Times New Roman"/>
          <w:sz w:val="24"/>
          <w:szCs w:val="24"/>
          <w:lang w:val="uk-UA"/>
          <w14:ligatures w14:val="none"/>
        </w:rPr>
        <w:t>. The purpose of the article is to generalize the international experience of NATO member states in developing media literacy in the military sphere and to substantiate the pedagogical conditions for the development of media literacy among cadets in the process of professional training.</w:t>
      </w:r>
    </w:p>
    <w:p w14:paraId="62554B30" w14:textId="77777777" w:rsidR="00583469" w:rsidRPr="00583469" w:rsidRDefault="00583469" w:rsidP="00414E32">
      <w:pPr>
        <w:suppressAutoHyphens/>
        <w:spacing w:after="0" w:line="240" w:lineRule="auto"/>
        <w:ind w:right="284" w:firstLine="709"/>
        <w:contextualSpacing/>
        <w:jc w:val="both"/>
        <w:rPr>
          <w:rFonts w:ascii="Times New Roman" w:eastAsia="Calibri" w:hAnsi="Times New Roman" w:cs="Times New Roman"/>
          <w:sz w:val="24"/>
          <w:szCs w:val="24"/>
          <w:lang w:val="uk-UA"/>
          <w14:ligatures w14:val="none"/>
        </w:rPr>
      </w:pPr>
      <w:r w:rsidRPr="00583469">
        <w:rPr>
          <w:rFonts w:ascii="Times New Roman" w:eastAsia="Calibri" w:hAnsi="Times New Roman" w:cs="Times New Roman"/>
          <w:b/>
          <w:bCs/>
          <w:sz w:val="24"/>
          <w:szCs w:val="24"/>
          <w:lang w:val="uk-UA"/>
          <w14:ligatures w14:val="none"/>
        </w:rPr>
        <w:t xml:space="preserve">Methods. </w:t>
      </w:r>
      <w:r w:rsidRPr="00583469">
        <w:rPr>
          <w:rFonts w:ascii="Times New Roman" w:eastAsia="Calibri" w:hAnsi="Times New Roman" w:cs="Times New Roman"/>
          <w:sz w:val="24"/>
          <w:szCs w:val="24"/>
          <w:lang w:val="uk-UA"/>
          <w14:ligatures w14:val="none"/>
        </w:rPr>
        <w:t>The study employs a set of general scientific and specific methods, including analysis and generalization of scientific sources, comparative analysis of international experience, systematization, and structural-functional analysis.</w:t>
      </w:r>
    </w:p>
    <w:p w14:paraId="7D325463" w14:textId="77777777" w:rsidR="00583469" w:rsidRPr="00583469" w:rsidRDefault="00583469" w:rsidP="00414E32">
      <w:pPr>
        <w:suppressAutoHyphens/>
        <w:spacing w:after="0" w:line="240" w:lineRule="auto"/>
        <w:ind w:right="284" w:firstLine="709"/>
        <w:contextualSpacing/>
        <w:jc w:val="both"/>
        <w:rPr>
          <w:rFonts w:ascii="Times New Roman" w:eastAsia="Calibri" w:hAnsi="Times New Roman" w:cs="Times New Roman"/>
          <w:sz w:val="24"/>
          <w:szCs w:val="24"/>
          <w:lang w:val="uk-UA"/>
          <w14:ligatures w14:val="none"/>
        </w:rPr>
      </w:pPr>
      <w:r w:rsidRPr="00583469">
        <w:rPr>
          <w:rFonts w:ascii="Times New Roman" w:eastAsia="Calibri" w:hAnsi="Times New Roman" w:cs="Times New Roman"/>
          <w:b/>
          <w:bCs/>
          <w:sz w:val="24"/>
          <w:szCs w:val="24"/>
          <w:lang w:val="uk-UA"/>
          <w14:ligatures w14:val="none"/>
        </w:rPr>
        <w:t xml:space="preserve">Results. </w:t>
      </w:r>
      <w:r w:rsidRPr="00414E32">
        <w:rPr>
          <w:rFonts w:ascii="Times New Roman" w:eastAsia="Calibri" w:hAnsi="Times New Roman" w:cs="Times New Roman"/>
          <w:sz w:val="24"/>
          <w:szCs w:val="24"/>
          <w:lang w:val="uk-UA"/>
          <w14:ligatures w14:val="none"/>
        </w:rPr>
        <w:t xml:space="preserve">The international experience of integrating media literacy into military education systems is analyzed, confirming the effectiveness of practice-oriented learning, simulations, and interdisciplinary approaches. The results of the empirical study indicate that cadets demonstrate a sufficient level of media literacy awareness; however, its cognitive, operational, and value-based components are developed unevenly. A set of pedagogical conditions for fostering media literacy among cadets is substantiated, including its integration into professional training, the creation of an information and educational environment, the use of practice-oriented teaching methods, and the development of information resilience. </w:t>
      </w:r>
    </w:p>
    <w:p w14:paraId="0EDC6602" w14:textId="77777777" w:rsidR="00583469" w:rsidRPr="00583469" w:rsidRDefault="00583469" w:rsidP="00414E32">
      <w:pPr>
        <w:suppressAutoHyphens/>
        <w:spacing w:after="0" w:line="240" w:lineRule="auto"/>
        <w:ind w:right="284" w:firstLine="709"/>
        <w:contextualSpacing/>
        <w:jc w:val="both"/>
        <w:rPr>
          <w:rFonts w:ascii="Times New Roman" w:eastAsia="Calibri" w:hAnsi="Times New Roman" w:cs="Times New Roman"/>
          <w:sz w:val="24"/>
          <w:szCs w:val="24"/>
          <w:lang w:val="uk-UA"/>
          <w14:ligatures w14:val="none"/>
        </w:rPr>
      </w:pPr>
      <w:r w:rsidRPr="00583469">
        <w:rPr>
          <w:rFonts w:ascii="Times New Roman" w:eastAsia="Calibri" w:hAnsi="Times New Roman" w:cs="Times New Roman"/>
          <w:b/>
          <w:bCs/>
          <w:sz w:val="24"/>
          <w:szCs w:val="24"/>
          <w:lang w:val="uk-UA"/>
          <w14:ligatures w14:val="none"/>
        </w:rPr>
        <w:t xml:space="preserve">Originality. </w:t>
      </w:r>
      <w:r w:rsidRPr="00583469">
        <w:rPr>
          <w:rFonts w:ascii="Times New Roman" w:eastAsia="Calibri" w:hAnsi="Times New Roman" w:cs="Times New Roman"/>
          <w:sz w:val="24"/>
          <w:szCs w:val="24"/>
          <w:lang w:val="uk-UA"/>
          <w14:ligatures w14:val="none"/>
        </w:rPr>
        <w:t>The scientific novelty lies in combining theoretical analysis with the results of empirical research, which made it possible to identify structural imbalances in the development of media literacy among cadets and to clarify the directions of pedagogical influence.</w:t>
      </w:r>
    </w:p>
    <w:p w14:paraId="384220EF" w14:textId="77777777" w:rsidR="00583469" w:rsidRPr="00583469" w:rsidRDefault="00583469" w:rsidP="00414E32">
      <w:pPr>
        <w:suppressAutoHyphens/>
        <w:spacing w:after="0" w:line="240" w:lineRule="auto"/>
        <w:ind w:right="284" w:firstLine="709"/>
        <w:contextualSpacing/>
        <w:jc w:val="both"/>
        <w:rPr>
          <w:rFonts w:ascii="Times New Roman" w:eastAsia="Calibri" w:hAnsi="Times New Roman" w:cs="Times New Roman"/>
          <w:sz w:val="24"/>
          <w:szCs w:val="24"/>
          <w:lang w:val="uk-UA"/>
          <w14:ligatures w14:val="none"/>
        </w:rPr>
      </w:pPr>
      <w:r w:rsidRPr="00583469">
        <w:rPr>
          <w:rFonts w:ascii="Times New Roman" w:eastAsia="Calibri" w:hAnsi="Times New Roman" w:cs="Times New Roman"/>
          <w:b/>
          <w:bCs/>
          <w:sz w:val="24"/>
          <w:szCs w:val="24"/>
          <w:lang w:val="uk-UA"/>
          <w14:ligatures w14:val="none"/>
        </w:rPr>
        <w:t>Conclusion.</w:t>
      </w:r>
      <w:r w:rsidRPr="00583469">
        <w:rPr>
          <w:rFonts w:ascii="Times New Roman" w:eastAsia="Calibri" w:hAnsi="Times New Roman" w:cs="Times New Roman"/>
          <w:sz w:val="24"/>
          <w:szCs w:val="24"/>
          <w:lang w:val="uk-UA"/>
          <w14:ligatures w14:val="none"/>
        </w:rPr>
        <w:t xml:space="preserve"> It is proved that effective development of media literacy among military personnel is possible under the condition of its systematic integration into professional training, the use of practice-oriented teaching methods, and the creation of a modern digital educational environment.</w:t>
      </w:r>
    </w:p>
    <w:p w14:paraId="5F6F7CFA" w14:textId="77777777" w:rsidR="00B44B71" w:rsidRPr="00B44B71" w:rsidRDefault="00B44B71" w:rsidP="00023291">
      <w:pPr>
        <w:tabs>
          <w:tab w:val="left" w:pos="9638"/>
        </w:tabs>
        <w:spacing w:after="0" w:line="240" w:lineRule="auto"/>
        <w:ind w:right="283" w:firstLine="709"/>
        <w:contextualSpacing/>
        <w:jc w:val="both"/>
        <w:rPr>
          <w:rFonts w:ascii="Times New Roman" w:eastAsia="Calibri" w:hAnsi="Times New Roman" w:cs="Times New Roman"/>
          <w:sz w:val="24"/>
          <w:szCs w:val="24"/>
          <w:lang w:val="uk-UA"/>
          <w14:ligatures w14:val="none"/>
        </w:rPr>
      </w:pPr>
      <w:r w:rsidRPr="00B44B71">
        <w:rPr>
          <w:rFonts w:ascii="Times New Roman" w:eastAsia="Calibri" w:hAnsi="Times New Roman" w:cs="Times New Roman"/>
          <w:b/>
          <w:bCs/>
          <w:sz w:val="24"/>
          <w:szCs w:val="24"/>
          <w:lang w:val="uk-UA"/>
          <w14:ligatures w14:val="none"/>
        </w:rPr>
        <w:t xml:space="preserve">Keywords: </w:t>
      </w:r>
      <w:r w:rsidRPr="00B44B71">
        <w:rPr>
          <w:rFonts w:ascii="Times New Roman" w:eastAsia="Calibri" w:hAnsi="Times New Roman" w:cs="Times New Roman"/>
          <w:sz w:val="24"/>
          <w:szCs w:val="24"/>
          <w:lang w:val="uk-UA"/>
          <w14:ligatures w14:val="none"/>
        </w:rPr>
        <w:t>media literacy; military education; cadets; information warfare; critical thinking; NATO; information resilience.</w:t>
      </w:r>
    </w:p>
    <w:p w14:paraId="395E0328"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надійшов до редакції 29.12.2025</w:t>
      </w:r>
    </w:p>
    <w:p w14:paraId="66ABE9C0"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прийнято до друку після рецензування 02.04.2026</w:t>
      </w:r>
    </w:p>
    <w:p w14:paraId="6C334AE1"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Дата публікації 25.05.2026</w:t>
      </w:r>
    </w:p>
    <w:p w14:paraId="661A8D81" w14:textId="31BCBDB1" w:rsidR="00023291" w:rsidRPr="00B44B71" w:rsidRDefault="00107662" w:rsidP="00023291">
      <w:pPr>
        <w:tabs>
          <w:tab w:val="left" w:pos="9638"/>
        </w:tabs>
        <w:spacing w:after="0" w:line="240" w:lineRule="auto"/>
        <w:ind w:right="-1"/>
        <w:rPr>
          <w:rFonts w:ascii="Times New Roman" w:eastAsia="Calibri" w:hAnsi="Times New Roman" w:cs="Times New Roman"/>
          <w:b/>
          <w:bCs/>
          <w:sz w:val="24"/>
          <w:szCs w:val="24"/>
          <w:lang w:val="uk-UA"/>
          <w14:ligatures w14:val="none"/>
        </w:rPr>
      </w:pPr>
      <w:r>
        <w:rPr>
          <w:rFonts w:ascii="Times New Roman" w:eastAsia="Times New Roman" w:hAnsi="Times New Roman" w:cs="Times New Roman"/>
          <w:kern w:val="0"/>
          <w:sz w:val="23"/>
          <w:szCs w:val="23"/>
          <w:lang w:val="uk-UA" w:eastAsia="ru-RU"/>
          <w14:ligatures w14:val="none"/>
        </w:rPr>
        <w:br w:type="column"/>
      </w:r>
      <w:r w:rsidR="00023291" w:rsidRPr="00B44B71">
        <w:rPr>
          <w:rFonts w:ascii="Times New Roman" w:eastAsia="Times New Roman" w:hAnsi="Times New Roman" w:cs="Times New Roman"/>
          <w:kern w:val="0"/>
          <w:sz w:val="23"/>
          <w:szCs w:val="23"/>
          <w:lang w:val="uk-UA" w:eastAsia="ru-RU"/>
          <w14:ligatures w14:val="none"/>
        </w:rPr>
        <w:lastRenderedPageBreak/>
        <w:t>ISSN:2617-1775</w:t>
      </w:r>
      <w:r w:rsidR="00023291" w:rsidRPr="00E4040F">
        <w:rPr>
          <w:rFonts w:ascii="Times New Roman" w:eastAsia="Calibri" w:hAnsi="Times New Roman" w:cs="Times New Roman"/>
          <w:b/>
          <w:kern w:val="0"/>
          <w:sz w:val="24"/>
          <w:szCs w:val="24"/>
          <w:lang w:val="uk-UA"/>
          <w14:ligatures w14:val="none"/>
        </w:rPr>
        <w:t xml:space="preserve"> </w:t>
      </w:r>
      <w:r w:rsidR="00023291" w:rsidRPr="00443B42">
        <w:rPr>
          <w:rFonts w:ascii="Times New Roman" w:eastAsia="Calibri" w:hAnsi="Times New Roman" w:cs="Times New Roman"/>
          <w:b/>
          <w:kern w:val="0"/>
          <w:sz w:val="24"/>
          <w:szCs w:val="24"/>
          <w:lang w:val="uk-UA"/>
          <w14:ligatures w14:val="none"/>
        </w:rPr>
        <w:t xml:space="preserve">                                                               </w:t>
      </w:r>
      <w:r w:rsidR="00023291">
        <w:rPr>
          <w:rFonts w:ascii="Times New Roman" w:eastAsia="Calibri" w:hAnsi="Times New Roman" w:cs="Times New Roman"/>
          <w:b/>
          <w:kern w:val="0"/>
          <w:sz w:val="24"/>
          <w:szCs w:val="24"/>
          <w:lang w:val="uk-UA"/>
          <w14:ligatures w14:val="none"/>
        </w:rPr>
        <w:t xml:space="preserve">     </w:t>
      </w:r>
      <w:r w:rsidR="00FC4DBB">
        <w:rPr>
          <w:rFonts w:ascii="Times New Roman" w:eastAsia="Calibri" w:hAnsi="Times New Roman" w:cs="Times New Roman"/>
          <w:b/>
          <w:kern w:val="0"/>
          <w:sz w:val="24"/>
          <w:szCs w:val="24"/>
          <w:lang w:val="uk-UA"/>
          <w14:ligatures w14:val="none"/>
        </w:rPr>
        <w:t xml:space="preserve">  </w:t>
      </w:r>
      <w:r w:rsidR="00023291">
        <w:rPr>
          <w:rFonts w:ascii="Times New Roman" w:eastAsia="Calibri" w:hAnsi="Times New Roman" w:cs="Times New Roman"/>
          <w:b/>
          <w:kern w:val="0"/>
          <w:sz w:val="24"/>
          <w:szCs w:val="24"/>
          <w:lang w:val="uk-UA"/>
          <w14:ligatures w14:val="none"/>
        </w:rPr>
        <w:t>У</w:t>
      </w:r>
      <w:r w:rsidR="00023291" w:rsidRPr="00B44B71">
        <w:rPr>
          <w:rFonts w:ascii="Times New Roman" w:eastAsia="Calibri" w:hAnsi="Times New Roman" w:cs="Times New Roman"/>
          <w:b/>
          <w:bCs/>
          <w:kern w:val="0"/>
          <w:sz w:val="24"/>
          <w:szCs w:val="24"/>
          <w:lang w:val="uk-UA"/>
          <w14:ligatures w14:val="none"/>
        </w:rPr>
        <w:t>ДК:355.233:159.955:623.42:623.486</w:t>
      </w:r>
    </w:p>
    <w:p w14:paraId="23B3696D" w14:textId="3E66FACD" w:rsidR="00023291" w:rsidRPr="00F96118" w:rsidRDefault="00023291" w:rsidP="00023291">
      <w:pPr>
        <w:tabs>
          <w:tab w:val="left" w:pos="9638"/>
        </w:tabs>
        <w:spacing w:after="0" w:line="240" w:lineRule="auto"/>
        <w:ind w:right="-1"/>
        <w:rPr>
          <w:rFonts w:ascii="Times New Roman" w:eastAsia="Times New Roman" w:hAnsi="Times New Roman" w:cs="Times New Roman"/>
          <w:color w:val="0563C1"/>
          <w:kern w:val="0"/>
          <w:sz w:val="24"/>
          <w:szCs w:val="24"/>
          <w:u w:val="single"/>
          <w:lang w:val="uk-UA"/>
          <w14:ligatures w14:val="none"/>
        </w:rPr>
      </w:pPr>
      <w:r w:rsidRPr="00B44B71">
        <w:rPr>
          <w:rFonts w:ascii="Times New Roman" w:eastAsia="Times New Roman" w:hAnsi="Times New Roman" w:cs="Times New Roman"/>
          <w:kern w:val="0"/>
          <w:sz w:val="23"/>
          <w:szCs w:val="23"/>
          <w:lang w:val="uk-UA" w:eastAsia="ru-RU"/>
          <w14:ligatures w14:val="none"/>
        </w:rPr>
        <w:t>ISSN: 2617-1783 (online)</w:t>
      </w:r>
      <w:r w:rsidRPr="00443B42">
        <w:rPr>
          <w:rFonts w:ascii="Times New Roman" w:eastAsia="Times New Roman" w:hAnsi="Times New Roman" w:cs="Times New Roman"/>
          <w:kern w:val="0"/>
          <w:sz w:val="23"/>
          <w:szCs w:val="23"/>
          <w:lang w:val="uk-UA" w:eastAsia="ru-RU"/>
          <w14:ligatures w14:val="none"/>
        </w:rPr>
        <w:t xml:space="preserve">                                             </w:t>
      </w:r>
      <w:r>
        <w:rPr>
          <w:rFonts w:ascii="Times New Roman" w:eastAsia="Times New Roman" w:hAnsi="Times New Roman" w:cs="Times New Roman"/>
          <w:kern w:val="0"/>
          <w:sz w:val="23"/>
          <w:szCs w:val="23"/>
          <w:lang w:val="uk-UA" w:eastAsia="ru-RU"/>
          <w14:ligatures w14:val="none"/>
        </w:rPr>
        <w:t xml:space="preserve">     </w:t>
      </w:r>
      <w:r w:rsidR="00FC4DBB">
        <w:rPr>
          <w:rFonts w:ascii="Times New Roman" w:eastAsia="Times New Roman" w:hAnsi="Times New Roman" w:cs="Times New Roman"/>
          <w:kern w:val="0"/>
          <w:sz w:val="23"/>
          <w:szCs w:val="23"/>
          <w:lang w:val="uk-UA" w:eastAsia="ru-RU"/>
          <w14:ligatures w14:val="none"/>
        </w:rPr>
        <w:t xml:space="preserve"> </w:t>
      </w:r>
      <w:r>
        <w:rPr>
          <w:rFonts w:ascii="Times New Roman" w:eastAsia="Times New Roman" w:hAnsi="Times New Roman" w:cs="Times New Roman"/>
          <w:kern w:val="0"/>
          <w:sz w:val="23"/>
          <w:szCs w:val="23"/>
          <w:lang w:val="uk-UA" w:eastAsia="ru-RU"/>
          <w14:ligatures w14:val="none"/>
        </w:rPr>
        <w:t xml:space="preserve">  </w:t>
      </w:r>
      <w:r w:rsidRPr="00F96118">
        <w:rPr>
          <w:rFonts w:ascii="Times New Roman" w:eastAsia="Times New Roman" w:hAnsi="Times New Roman" w:cs="Times New Roman"/>
          <w:bCs/>
          <w:smallCaps/>
          <w:color w:val="000000"/>
          <w:kern w:val="0"/>
          <w:sz w:val="24"/>
          <w:szCs w:val="24"/>
          <w:lang w:eastAsia="ru-RU"/>
          <w14:ligatures w14:val="none"/>
        </w:rPr>
        <w:t>DOI</w:t>
      </w:r>
      <w:r w:rsidRPr="00F96118">
        <w:rPr>
          <w:rFonts w:ascii="Times New Roman" w:eastAsia="Times New Roman" w:hAnsi="Times New Roman" w:cs="Times New Roman"/>
          <w:bCs/>
          <w:smallCaps/>
          <w:color w:val="000000"/>
          <w:kern w:val="0"/>
          <w:sz w:val="24"/>
          <w:szCs w:val="24"/>
          <w:lang w:val="uk-UA" w:eastAsia="ru-RU"/>
          <w14:ligatures w14:val="none"/>
        </w:rPr>
        <w:t>: 10.33099/2617-1775/202</w:t>
      </w:r>
      <w:r>
        <w:rPr>
          <w:rFonts w:ascii="Times New Roman" w:eastAsia="Times New Roman" w:hAnsi="Times New Roman" w:cs="Times New Roman"/>
          <w:bCs/>
          <w:smallCaps/>
          <w:color w:val="000000"/>
          <w:kern w:val="0"/>
          <w:sz w:val="24"/>
          <w:szCs w:val="24"/>
          <w:lang w:val="uk-UA" w:eastAsia="ru-RU"/>
          <w14:ligatures w14:val="none"/>
        </w:rPr>
        <w:t>6</w:t>
      </w:r>
      <w:r w:rsidRPr="00F96118">
        <w:rPr>
          <w:rFonts w:ascii="Times New Roman" w:eastAsia="Times New Roman" w:hAnsi="Times New Roman" w:cs="Times New Roman"/>
          <w:bCs/>
          <w:smallCaps/>
          <w:color w:val="000000"/>
          <w:kern w:val="0"/>
          <w:sz w:val="24"/>
          <w:szCs w:val="24"/>
          <w:lang w:val="uk-UA" w:eastAsia="ru-RU"/>
          <w14:ligatures w14:val="none"/>
        </w:rPr>
        <w:t>-0</w:t>
      </w:r>
      <w:r>
        <w:rPr>
          <w:rFonts w:ascii="Times New Roman" w:eastAsia="Times New Roman" w:hAnsi="Times New Roman" w:cs="Times New Roman"/>
          <w:bCs/>
          <w:smallCaps/>
          <w:color w:val="000000"/>
          <w:kern w:val="0"/>
          <w:sz w:val="24"/>
          <w:szCs w:val="24"/>
          <w:lang w:val="uk-UA" w:eastAsia="ru-RU"/>
          <w14:ligatures w14:val="none"/>
        </w:rPr>
        <w:t>1</w:t>
      </w:r>
      <w:r w:rsidRPr="00F96118">
        <w:rPr>
          <w:rFonts w:ascii="Times New Roman" w:eastAsia="Times New Roman" w:hAnsi="Times New Roman" w:cs="Times New Roman"/>
          <w:bCs/>
          <w:smallCaps/>
          <w:color w:val="000000"/>
          <w:kern w:val="0"/>
          <w:sz w:val="24"/>
          <w:szCs w:val="24"/>
          <w:lang w:val="uk-UA" w:eastAsia="ru-RU"/>
          <w14:ligatures w14:val="none"/>
        </w:rPr>
        <w:t>/</w:t>
      </w:r>
      <w:r w:rsidR="00FC4DBB">
        <w:rPr>
          <w:rFonts w:ascii="Times New Roman" w:eastAsia="Times New Roman" w:hAnsi="Times New Roman" w:cs="Times New Roman"/>
          <w:bCs/>
          <w:smallCaps/>
          <w:color w:val="000000"/>
          <w:kern w:val="0"/>
          <w:sz w:val="24"/>
          <w:szCs w:val="24"/>
          <w:lang w:val="uk-UA" w:eastAsia="ru-RU"/>
          <w14:ligatures w14:val="none"/>
        </w:rPr>
        <w:t>158-171</w:t>
      </w:r>
    </w:p>
    <w:p w14:paraId="34E05317" w14:textId="77777777" w:rsidR="00023291" w:rsidRDefault="00023291" w:rsidP="00023291">
      <w:pPr>
        <w:tabs>
          <w:tab w:val="left" w:pos="9638"/>
        </w:tabs>
        <w:spacing w:after="0" w:line="240" w:lineRule="auto"/>
        <w:ind w:right="283" w:firstLine="709"/>
        <w:jc w:val="right"/>
        <w:rPr>
          <w:rFonts w:ascii="Times New Roman" w:eastAsia="Calibri" w:hAnsi="Times New Roman" w:cs="Times New Roman"/>
          <w:b/>
          <w:bCs/>
          <w:sz w:val="24"/>
          <w:szCs w:val="24"/>
          <w:lang w:val="uk-UA"/>
          <w14:ligatures w14:val="none"/>
        </w:rPr>
      </w:pPr>
    </w:p>
    <w:p w14:paraId="19769265" w14:textId="77777777" w:rsidR="00B44B71" w:rsidRPr="00446297" w:rsidRDefault="00B44B71" w:rsidP="00023291">
      <w:pPr>
        <w:tabs>
          <w:tab w:val="left" w:pos="9638"/>
        </w:tabs>
        <w:spacing w:after="0" w:line="240" w:lineRule="auto"/>
        <w:jc w:val="right"/>
        <w:rPr>
          <w:rFonts w:ascii="Times New Roman" w:eastAsia="Calibri" w:hAnsi="Times New Roman" w:cs="Times New Roman"/>
          <w:b/>
          <w:bCs/>
          <w:iCs/>
          <w:kern w:val="0"/>
          <w:sz w:val="24"/>
          <w:szCs w:val="24"/>
          <w:lang w:val="uk-UA"/>
          <w14:ligatures w14:val="none"/>
        </w:rPr>
      </w:pPr>
      <w:r w:rsidRPr="00446297">
        <w:rPr>
          <w:rFonts w:ascii="Times New Roman" w:eastAsia="Calibri" w:hAnsi="Times New Roman" w:cs="Times New Roman"/>
          <w:b/>
          <w:bCs/>
          <w:iCs/>
          <w:kern w:val="0"/>
          <w:sz w:val="24"/>
          <w:szCs w:val="24"/>
          <w:lang w:val="uk-UA"/>
          <w14:ligatures w14:val="none"/>
        </w:rPr>
        <w:t xml:space="preserve">Євгенія Іванченко, </w:t>
      </w:r>
    </w:p>
    <w:p w14:paraId="74DAFAFD" w14:textId="29F9B974" w:rsidR="00B44B71" w:rsidRPr="00446297" w:rsidRDefault="00B44B71" w:rsidP="00023291">
      <w:pPr>
        <w:tabs>
          <w:tab w:val="left" w:pos="9638"/>
        </w:tabs>
        <w:spacing w:after="0" w:line="240" w:lineRule="auto"/>
        <w:jc w:val="right"/>
        <w:rPr>
          <w:rFonts w:ascii="Times New Roman" w:eastAsia="Calibri" w:hAnsi="Times New Roman" w:cs="Times New Roman"/>
          <w:kern w:val="0"/>
          <w:sz w:val="24"/>
          <w:szCs w:val="24"/>
          <w:lang w:val="uk-UA"/>
          <w14:ligatures w14:val="none"/>
        </w:rPr>
      </w:pPr>
      <w:r w:rsidRPr="00446297">
        <w:rPr>
          <w:rFonts w:ascii="Times New Roman" w:eastAsia="Calibri" w:hAnsi="Times New Roman" w:cs="Times New Roman"/>
          <w:kern w:val="0"/>
          <w:sz w:val="24"/>
          <w:szCs w:val="24"/>
          <w:lang w:val="uk-UA"/>
          <w14:ligatures w14:val="none"/>
        </w:rPr>
        <w:t>док</w:t>
      </w:r>
      <w:r w:rsidR="00B15B58">
        <w:rPr>
          <w:rFonts w:ascii="Times New Roman" w:eastAsia="Calibri" w:hAnsi="Times New Roman" w:cs="Times New Roman"/>
          <w:kern w:val="0"/>
          <w:sz w:val="24"/>
          <w:szCs w:val="24"/>
          <w:lang w:val="uk-UA"/>
          <w14:ligatures w14:val="none"/>
        </w:rPr>
        <w:t>тор педагогічних наук, професор</w:t>
      </w:r>
    </w:p>
    <w:p w14:paraId="0FDBB4FF" w14:textId="77777777" w:rsidR="00B44B71" w:rsidRPr="00446297" w:rsidRDefault="00B44B71" w:rsidP="00023291">
      <w:pPr>
        <w:tabs>
          <w:tab w:val="left" w:pos="9638"/>
        </w:tabs>
        <w:spacing w:after="0" w:line="240" w:lineRule="auto"/>
        <w:jc w:val="right"/>
        <w:rPr>
          <w:rFonts w:ascii="Times New Roman" w:eastAsia="Calibri" w:hAnsi="Times New Roman" w:cs="Times New Roman"/>
          <w:iCs/>
          <w:kern w:val="0"/>
          <w:sz w:val="24"/>
          <w:szCs w:val="24"/>
          <w:lang w:val="uk-UA"/>
          <w14:ligatures w14:val="none"/>
        </w:rPr>
      </w:pPr>
      <w:r w:rsidRPr="00446297">
        <w:rPr>
          <w:rFonts w:ascii="Times New Roman" w:eastAsia="Calibri" w:hAnsi="Times New Roman" w:cs="Times New Roman"/>
          <w:kern w:val="0"/>
          <w:sz w:val="24"/>
          <w:szCs w:val="24"/>
          <w:lang w:val="uk-UA"/>
          <w14:ligatures w14:val="none"/>
        </w:rPr>
        <w:t xml:space="preserve"> </w:t>
      </w:r>
      <w:r w:rsidRPr="00446297">
        <w:rPr>
          <w:rFonts w:ascii="Times New Roman" w:eastAsia="Calibri" w:hAnsi="Times New Roman" w:cs="Times New Roman"/>
          <w:iCs/>
          <w:kern w:val="0"/>
          <w:sz w:val="24"/>
          <w:szCs w:val="24"/>
          <w:lang w:val="uk-UA"/>
          <w14:ligatures w14:val="none"/>
        </w:rPr>
        <w:t>Військова академія (м. Одеса), м. Одеса</w:t>
      </w:r>
    </w:p>
    <w:p w14:paraId="7ABB627D" w14:textId="77777777" w:rsidR="00B44B71" w:rsidRPr="00446297" w:rsidRDefault="00B44B71" w:rsidP="00023291">
      <w:pPr>
        <w:tabs>
          <w:tab w:val="left" w:pos="9638"/>
        </w:tabs>
        <w:spacing w:after="0" w:line="240" w:lineRule="auto"/>
        <w:jc w:val="right"/>
        <w:rPr>
          <w:rFonts w:ascii="Times New Roman" w:eastAsia="Calibri" w:hAnsi="Times New Roman" w:cs="Times New Roman"/>
          <w:iCs/>
          <w:kern w:val="0"/>
          <w:sz w:val="24"/>
          <w:szCs w:val="24"/>
          <w:lang w:val="uk-UA"/>
          <w14:ligatures w14:val="none"/>
        </w:rPr>
      </w:pPr>
      <w:r w:rsidRPr="00446297">
        <w:rPr>
          <w:rFonts w:ascii="Times New Roman" w:eastAsia="Calibri" w:hAnsi="Times New Roman" w:cs="Times New Roman"/>
          <w:iCs/>
          <w:kern w:val="0"/>
          <w:sz w:val="24"/>
          <w:szCs w:val="24"/>
          <w:lang w:val="uk-UA"/>
          <w14:ligatures w14:val="none"/>
        </w:rPr>
        <w:t xml:space="preserve"> </w:t>
      </w:r>
      <w:hyperlink r:id="rId216" w:history="1">
        <w:r w:rsidRPr="00446297">
          <w:rPr>
            <w:rFonts w:ascii="Times New Roman" w:eastAsia="Calibri" w:hAnsi="Times New Roman" w:cs="Times New Roman"/>
            <w:bCs/>
            <w:iCs/>
            <w:color w:val="0563C1"/>
            <w:kern w:val="0"/>
            <w:sz w:val="24"/>
            <w:szCs w:val="24"/>
            <w:u w:val="single"/>
            <w:lang w:val="uk-UA"/>
            <w14:ligatures w14:val="none"/>
          </w:rPr>
          <w:t>https://orcid.org</w:t>
        </w:r>
        <w:r w:rsidRPr="00446297">
          <w:rPr>
            <w:rFonts w:ascii="Times New Roman" w:eastAsia="Calibri" w:hAnsi="Times New Roman" w:cs="Times New Roman"/>
            <w:b/>
            <w:bCs/>
            <w:iCs/>
            <w:color w:val="0563C1"/>
            <w:kern w:val="0"/>
            <w:sz w:val="24"/>
            <w:szCs w:val="24"/>
            <w:u w:val="single"/>
            <w:lang w:val="uk-UA"/>
            <w14:ligatures w14:val="none"/>
          </w:rPr>
          <w:t>/</w:t>
        </w:r>
        <w:r w:rsidRPr="00446297">
          <w:rPr>
            <w:rFonts w:ascii="Times New Roman" w:eastAsia="Calibri" w:hAnsi="Times New Roman" w:cs="Times New Roman"/>
            <w:iCs/>
            <w:color w:val="0563C1"/>
            <w:kern w:val="0"/>
            <w:sz w:val="24"/>
            <w:szCs w:val="24"/>
            <w:u w:val="single"/>
            <w:lang w:val="uk-UA"/>
            <w14:ligatures w14:val="none"/>
          </w:rPr>
          <w:t>0000-0003-3071-0938</w:t>
        </w:r>
      </w:hyperlink>
    </w:p>
    <w:p w14:paraId="01BE5D09" w14:textId="77777777" w:rsidR="00B44B71" w:rsidRPr="00446297" w:rsidRDefault="00B44B71" w:rsidP="00023291">
      <w:pPr>
        <w:tabs>
          <w:tab w:val="left" w:pos="9638"/>
        </w:tabs>
        <w:spacing w:after="0" w:line="240" w:lineRule="auto"/>
        <w:jc w:val="right"/>
        <w:rPr>
          <w:rFonts w:ascii="Times New Roman" w:eastAsia="Calibri" w:hAnsi="Times New Roman" w:cs="Times New Roman"/>
          <w:b/>
          <w:bCs/>
          <w:iCs/>
          <w:kern w:val="0"/>
          <w:sz w:val="24"/>
          <w:szCs w:val="24"/>
          <w:lang w:val="uk-UA"/>
          <w14:ligatures w14:val="none"/>
        </w:rPr>
      </w:pPr>
      <w:r w:rsidRPr="00446297">
        <w:rPr>
          <w:rFonts w:ascii="Times New Roman" w:eastAsia="Calibri" w:hAnsi="Times New Roman" w:cs="Times New Roman"/>
          <w:b/>
          <w:bCs/>
          <w:iCs/>
          <w:kern w:val="0"/>
          <w:sz w:val="24"/>
          <w:szCs w:val="24"/>
          <w:lang w:val="uk-UA"/>
          <w14:ligatures w14:val="none"/>
        </w:rPr>
        <w:t>Олександр Войнуш,</w:t>
      </w:r>
    </w:p>
    <w:p w14:paraId="7F03CD0D" w14:textId="77777777" w:rsidR="00B44B71" w:rsidRPr="00446297" w:rsidRDefault="00B44B71" w:rsidP="00023291">
      <w:pPr>
        <w:tabs>
          <w:tab w:val="left" w:pos="9638"/>
        </w:tabs>
        <w:spacing w:after="0" w:line="240" w:lineRule="auto"/>
        <w:jc w:val="right"/>
        <w:rPr>
          <w:rFonts w:ascii="Times New Roman" w:eastAsia="Calibri" w:hAnsi="Times New Roman" w:cs="Times New Roman"/>
          <w:iCs/>
          <w:kern w:val="0"/>
          <w:sz w:val="24"/>
          <w:szCs w:val="24"/>
          <w:lang w:val="uk-UA"/>
          <w14:ligatures w14:val="none"/>
        </w:rPr>
      </w:pPr>
      <w:r w:rsidRPr="00446297">
        <w:rPr>
          <w:rFonts w:ascii="Times New Roman" w:eastAsia="Calibri" w:hAnsi="Times New Roman" w:cs="Times New Roman"/>
          <w:kern w:val="0"/>
          <w:sz w:val="24"/>
          <w:szCs w:val="24"/>
          <w:lang w:val="uk-UA"/>
          <w14:ligatures w14:val="none"/>
        </w:rPr>
        <w:t xml:space="preserve"> </w:t>
      </w:r>
      <w:r w:rsidRPr="00446297">
        <w:rPr>
          <w:rFonts w:ascii="Times New Roman" w:eastAsia="Calibri" w:hAnsi="Times New Roman" w:cs="Times New Roman"/>
          <w:iCs/>
          <w:kern w:val="0"/>
          <w:sz w:val="24"/>
          <w:szCs w:val="24"/>
          <w:lang w:val="uk-UA"/>
          <w14:ligatures w14:val="none"/>
        </w:rPr>
        <w:t>Військова академія (м. Одеса), м. Одеса,</w:t>
      </w:r>
    </w:p>
    <w:p w14:paraId="5901562C" w14:textId="77777777" w:rsidR="00446297" w:rsidRPr="002A5031" w:rsidRDefault="00B44B71" w:rsidP="00023291">
      <w:pPr>
        <w:tabs>
          <w:tab w:val="left" w:pos="9638"/>
        </w:tabs>
        <w:spacing w:after="0" w:line="240" w:lineRule="auto"/>
        <w:jc w:val="right"/>
        <w:rPr>
          <w:lang w:val="uk-UA"/>
        </w:rPr>
      </w:pPr>
      <w:r w:rsidRPr="00446297">
        <w:rPr>
          <w:rFonts w:ascii="Times New Roman" w:eastAsia="Calibri" w:hAnsi="Times New Roman" w:cs="Times New Roman"/>
          <w:kern w:val="0"/>
          <w:sz w:val="24"/>
          <w:szCs w:val="24"/>
          <w:lang w:val="uk-UA"/>
          <w14:ligatures w14:val="none"/>
        </w:rPr>
        <w:t xml:space="preserve"> </w:t>
      </w:r>
      <w:hyperlink r:id="rId217" w:history="1">
        <w:r w:rsidRPr="00446297">
          <w:rPr>
            <w:rFonts w:ascii="Times New Roman" w:eastAsia="Calibri" w:hAnsi="Times New Roman" w:cs="Times New Roman"/>
            <w:color w:val="0563C1"/>
            <w:kern w:val="0"/>
            <w:sz w:val="24"/>
            <w:szCs w:val="24"/>
            <w:u w:val="single"/>
            <w:lang w:val="uk-UA"/>
            <w14:ligatures w14:val="none"/>
          </w:rPr>
          <w:t>https://orcid.org/0009-0001-8591-9440</w:t>
        </w:r>
      </w:hyperlink>
    </w:p>
    <w:p w14:paraId="0B9F095F" w14:textId="77777777" w:rsidR="005B0FF4" w:rsidRPr="00446297" w:rsidRDefault="005B0FF4" w:rsidP="00023291">
      <w:pPr>
        <w:tabs>
          <w:tab w:val="left" w:pos="9638"/>
        </w:tabs>
        <w:spacing w:after="0" w:line="240" w:lineRule="auto"/>
        <w:jc w:val="right"/>
        <w:rPr>
          <w:rFonts w:ascii="Times New Roman" w:hAnsi="Times New Roman" w:cs="Times New Roman"/>
          <w:sz w:val="24"/>
          <w:szCs w:val="24"/>
          <w:lang w:val="uk-UA"/>
        </w:rPr>
      </w:pPr>
    </w:p>
    <w:p w14:paraId="758BA0F9" w14:textId="77777777" w:rsidR="00B44B71" w:rsidRPr="00B44B71" w:rsidRDefault="00B44B71" w:rsidP="00023291">
      <w:pPr>
        <w:tabs>
          <w:tab w:val="left" w:pos="9638"/>
        </w:tabs>
        <w:spacing w:after="0" w:line="240" w:lineRule="auto"/>
        <w:jc w:val="center"/>
        <w:rPr>
          <w:rFonts w:ascii="Times New Roman" w:eastAsia="Times New Roman" w:hAnsi="Times New Roman" w:cs="Times New Roman"/>
          <w:b/>
          <w:kern w:val="0"/>
          <w:sz w:val="28"/>
          <w:szCs w:val="24"/>
          <w:lang w:val="uk-UA"/>
          <w14:ligatures w14:val="none"/>
        </w:rPr>
      </w:pPr>
      <w:r w:rsidRPr="00B44B71">
        <w:rPr>
          <w:rFonts w:ascii="Times New Roman" w:eastAsia="Times New Roman" w:hAnsi="Times New Roman" w:cs="Times New Roman"/>
          <w:b/>
          <w:kern w:val="0"/>
          <w:sz w:val="28"/>
          <w:szCs w:val="24"/>
          <w:lang w:val="uk-UA"/>
          <w14:ligatures w14:val="none"/>
        </w:rPr>
        <w:t xml:space="preserve">ТЕХНІЧНЕ МИСЛЕННЯ ЯК ПІДҐРУНТЯ ПРОФЕСІЙНОГО СТАНОВЛЕННЯ МАЙБУТНЬОГО ОФІЦЕРА З РЕМОНТУ АРТИЛЕРІЙСЬКОГО ОЗБРОЄННЯ В УМОВАХ СУЧАСНОЇ ВІЙНИ </w:t>
      </w:r>
    </w:p>
    <w:p w14:paraId="08AB7828" w14:textId="77777777" w:rsidR="00B44B71" w:rsidRPr="00B44B71" w:rsidRDefault="00B44B71" w:rsidP="00023291">
      <w:pPr>
        <w:tabs>
          <w:tab w:val="left" w:pos="9638"/>
        </w:tabs>
        <w:spacing w:after="0" w:line="240" w:lineRule="auto"/>
        <w:jc w:val="center"/>
        <w:rPr>
          <w:rFonts w:ascii="Times New Roman" w:eastAsia="Times New Roman" w:hAnsi="Times New Roman" w:cs="Times New Roman"/>
          <w:b/>
          <w:kern w:val="0"/>
          <w:sz w:val="28"/>
          <w:szCs w:val="24"/>
          <w:lang w:val="uk-UA"/>
          <w14:ligatures w14:val="none"/>
        </w:rPr>
      </w:pPr>
    </w:p>
    <w:p w14:paraId="352D483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lang w:val="uk-UA"/>
          <w14:ligatures w14:val="none"/>
        </w:rPr>
      </w:pPr>
      <w:r w:rsidRPr="00B44B71">
        <w:rPr>
          <w:rFonts w:ascii="Times New Roman" w:eastAsia="Times New Roman" w:hAnsi="Times New Roman" w:cs="Times New Roman"/>
          <w:b/>
          <w:i/>
          <w:kern w:val="0"/>
          <w:sz w:val="24"/>
          <w:szCs w:val="24"/>
          <w:lang w:val="uk-UA"/>
          <w14:ligatures w14:val="none"/>
        </w:rPr>
        <w:t xml:space="preserve">Анотація: </w:t>
      </w:r>
      <w:r w:rsidRPr="00B44B71">
        <w:rPr>
          <w:rFonts w:ascii="Times New Roman" w:eastAsia="Times New Roman" w:hAnsi="Times New Roman" w:cs="Times New Roman"/>
          <w:i/>
          <w:kern w:val="0"/>
          <w:sz w:val="24"/>
          <w:szCs w:val="24"/>
          <w:lang w:val="uk-UA"/>
          <w14:ligatures w14:val="none"/>
        </w:rPr>
        <w:t xml:space="preserve">У статті обґрунтовано актуальність розвитку технічного мислення у майбутніх офіцерів з ремонту артилерійського озброєння в умовах трансформації військової освіти України, підвищення вимог до практичної підготовки військових фахівців та ускладнення сучасних зразків озброєння і військової техніки. Визначено, що технічне мислення майбутнього офіцера-ремонтника є інтегрованою професійно важливою якістю, яка забезпечує аналіз технічного стану зразка, виявлення причин несправностей, вибір оптимального способу ремонту, оцінювання його доцільності та контроль результатів відновлення. </w:t>
      </w:r>
    </w:p>
    <w:p w14:paraId="25380381" w14:textId="77777777" w:rsidR="00B44B71" w:rsidRPr="00B44B71" w:rsidRDefault="00B44B71" w:rsidP="00023291">
      <w:pPr>
        <w:tabs>
          <w:tab w:val="left" w:pos="9638"/>
        </w:tabs>
        <w:spacing w:after="0" w:line="240" w:lineRule="auto"/>
        <w:ind w:firstLine="709"/>
        <w:jc w:val="both"/>
        <w:rPr>
          <w:rFonts w:ascii="Times New Roman" w:eastAsia="Calibri" w:hAnsi="Times New Roman" w:cs="Times New Roman"/>
          <w:i/>
          <w:kern w:val="0"/>
          <w:sz w:val="24"/>
          <w:lang w:val="uk-UA"/>
          <w14:ligatures w14:val="none"/>
        </w:rPr>
      </w:pPr>
      <w:r w:rsidRPr="00B44B71">
        <w:rPr>
          <w:rFonts w:ascii="Times New Roman" w:eastAsia="Times New Roman" w:hAnsi="Times New Roman" w:cs="Times New Roman"/>
          <w:i/>
          <w:kern w:val="0"/>
          <w:sz w:val="24"/>
          <w:szCs w:val="24"/>
          <w:lang w:val="uk-UA"/>
          <w14:ligatures w14:val="none"/>
        </w:rPr>
        <w:t xml:space="preserve">На основі аналізу сучасних українських джерел з військової освіти, а також власного опрацювання етапів ремонтної діяльності уточнено компетентності, що є критично важливими для розвитку технічного мислення: техніко-системна, діагностично-алгоритмічна, просторово-конструктивна, техніко-документаційна, рефлексивно-коригувальна та компетентність прийняття технічних рішень. Проведено порівняння між компетентностями, що загалом формуються у ВВНЗ, і компетентностями, які безпосередньо забезпечують розвиток технічного мислення майбутнього офіцера з ремонту артилерійського озброєння. Встановлено, що наявна система підготовки створює необхідну базу, проте потребує посилення саме в частині діагностичної, просторово-конструктивної, інформаційно-технічної та рефлексивної складових. </w:t>
      </w:r>
      <w:r w:rsidRPr="00B44B71">
        <w:rPr>
          <w:rFonts w:ascii="Times New Roman" w:eastAsia="Calibri" w:hAnsi="Times New Roman" w:cs="Times New Roman"/>
          <w:i/>
          <w:kern w:val="0"/>
          <w:sz w:val="24"/>
          <w:lang w:val="uk-UA"/>
          <w14:ligatures w14:val="none"/>
        </w:rPr>
        <w:t>Акцентується увага на</w:t>
      </w:r>
      <w:r w:rsidRPr="00B44B71">
        <w:rPr>
          <w:rFonts w:ascii="Times New Roman" w:eastAsia="Calibri" w:hAnsi="Times New Roman" w:cs="Times New Roman"/>
          <w:i/>
          <w:color w:val="FF0000"/>
          <w:kern w:val="0"/>
          <w:sz w:val="24"/>
          <w:lang w:val="uk-UA"/>
          <w14:ligatures w14:val="none"/>
        </w:rPr>
        <w:t xml:space="preserve"> </w:t>
      </w:r>
      <w:r w:rsidRPr="00B44B71">
        <w:rPr>
          <w:rFonts w:ascii="Times New Roman" w:eastAsia="Calibri" w:hAnsi="Times New Roman" w:cs="Times New Roman"/>
          <w:i/>
          <w:kern w:val="0"/>
          <w:sz w:val="24"/>
          <w:lang w:val="uk-UA"/>
          <w14:ligatures w14:val="none"/>
        </w:rPr>
        <w:t>необхідності інтеграції цифрових технологій, тренажерних комплексів і міждисциплінарного підходу до навчання, що сприятиме формуванню гнучкого, критичного та технічно орієнтованого мислення майбутніх військових фахівців.</w:t>
      </w:r>
    </w:p>
    <w:p w14:paraId="70EB3511"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kern w:val="0"/>
          <w:sz w:val="28"/>
          <w:szCs w:val="24"/>
          <w:lang w:val="uk-UA"/>
          <w14:ligatures w14:val="none"/>
        </w:rPr>
      </w:pPr>
      <w:r w:rsidRPr="00B44B71">
        <w:rPr>
          <w:rFonts w:ascii="Times New Roman" w:eastAsia="Calibri" w:hAnsi="Times New Roman" w:cs="Times New Roman"/>
          <w:i/>
          <w:kern w:val="0"/>
          <w:sz w:val="24"/>
          <w:lang w:val="uk-UA"/>
          <w14:ligatures w14:val="none"/>
        </w:rPr>
        <w:t xml:space="preserve"> </w:t>
      </w:r>
      <w:r w:rsidRPr="00B44B71">
        <w:rPr>
          <w:rFonts w:ascii="Times New Roman" w:eastAsia="Times New Roman" w:hAnsi="Times New Roman" w:cs="Times New Roman"/>
          <w:i/>
          <w:kern w:val="0"/>
          <w:sz w:val="24"/>
          <w:szCs w:val="24"/>
          <w:lang w:val="uk-UA"/>
          <w14:ligatures w14:val="none"/>
        </w:rPr>
        <w:t>Запропоновано напрями вдосконалення підготовки, а саме: конкретизацію фахових компетентностей освітніх програм, розширення кейсового і симуляційного навчання, врахування сучасного бойового досвіду війни з рф, посилення роботи з технічною документацією, розвиток технічної рефлексії та прив’язку освітнього процесу до логіки реального ремонтного циклу.</w:t>
      </w:r>
      <w:r w:rsidRPr="00B44B71">
        <w:rPr>
          <w:rFonts w:ascii="Calibri" w:eastAsia="Calibri" w:hAnsi="Calibri" w:cs="Times New Roman"/>
          <w:kern w:val="0"/>
          <w:lang w:val="uk-UA"/>
          <w14:ligatures w14:val="none"/>
        </w:rPr>
        <w:t xml:space="preserve"> </w:t>
      </w:r>
    </w:p>
    <w:p w14:paraId="0A5FB8C7"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lang w:val="uk-UA"/>
          <w14:ligatures w14:val="none"/>
        </w:rPr>
      </w:pPr>
      <w:r w:rsidRPr="00B44B71">
        <w:rPr>
          <w:rFonts w:ascii="Times New Roman" w:eastAsia="Times New Roman" w:hAnsi="Times New Roman" w:cs="Times New Roman"/>
          <w:b/>
          <w:i/>
          <w:kern w:val="0"/>
          <w:sz w:val="24"/>
          <w:szCs w:val="24"/>
          <w:lang w:val="uk-UA"/>
          <w14:ligatures w14:val="none"/>
        </w:rPr>
        <w:t>Ключові слова:</w:t>
      </w:r>
      <w:r w:rsidRPr="00B44B71">
        <w:rPr>
          <w:rFonts w:ascii="Times New Roman" w:eastAsia="Times New Roman" w:hAnsi="Times New Roman" w:cs="Times New Roman"/>
          <w:kern w:val="0"/>
          <w:sz w:val="24"/>
          <w:szCs w:val="24"/>
          <w:lang w:val="uk-UA"/>
          <w14:ligatures w14:val="none"/>
        </w:rPr>
        <w:t xml:space="preserve"> </w:t>
      </w:r>
      <w:r w:rsidRPr="00B44B71">
        <w:rPr>
          <w:rFonts w:ascii="Times New Roman" w:eastAsia="Times New Roman" w:hAnsi="Times New Roman" w:cs="Times New Roman"/>
          <w:i/>
          <w:kern w:val="0"/>
          <w:sz w:val="24"/>
          <w:szCs w:val="24"/>
          <w:lang w:val="uk-UA"/>
          <w14:ligatures w14:val="none"/>
        </w:rPr>
        <w:t>технічне мислення; майбутні офіцери, ремонт артилерійського озброєння, компетентності, ВВНЗ, професійна підготовка, військова освіта, бойовий досвід.</w:t>
      </w:r>
    </w:p>
    <w:p w14:paraId="6068AB1A" w14:textId="77777777" w:rsidR="00B44B71" w:rsidRPr="00B44B71" w:rsidRDefault="00B44B71" w:rsidP="006D5E8E">
      <w:pPr>
        <w:tabs>
          <w:tab w:val="left" w:pos="9638"/>
        </w:tabs>
        <w:spacing w:after="0" w:line="240" w:lineRule="auto"/>
        <w:jc w:val="both"/>
        <w:rPr>
          <w:rFonts w:ascii="Times New Roman" w:eastAsia="Times New Roman" w:hAnsi="Times New Roman" w:cs="Times New Roman"/>
          <w:b/>
          <w:kern w:val="0"/>
          <w:sz w:val="28"/>
          <w:szCs w:val="28"/>
          <w:lang w:val="uk-UA"/>
          <w14:ligatures w14:val="none"/>
        </w:rPr>
      </w:pPr>
    </w:p>
    <w:p w14:paraId="77DE1C9A"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b/>
          <w:kern w:val="0"/>
          <w:sz w:val="28"/>
          <w:szCs w:val="28"/>
          <w:lang w:val="uk-UA"/>
          <w14:ligatures w14:val="none"/>
        </w:rPr>
        <w:t xml:space="preserve">Постановка проблеми у загальному вигляді. </w:t>
      </w:r>
      <w:r w:rsidRPr="00B44B71">
        <w:rPr>
          <w:rFonts w:ascii="Times New Roman" w:eastAsia="Times New Roman" w:hAnsi="Times New Roman" w:cs="Times New Roman"/>
          <w:kern w:val="0"/>
          <w:sz w:val="28"/>
          <w:szCs w:val="28"/>
          <w:lang w:val="uk-UA"/>
          <w14:ligatures w14:val="none"/>
        </w:rPr>
        <w:t xml:space="preserve">Сучасна система військової освіти України орієнтується на практичну спрямованість підготовки, розвиток професійної військової освіти, інтеграцію з підходами НАТО та формування у майбутніх офіцерів не лише знань, а й здатності діяти в реальних професійних </w:t>
      </w:r>
      <w:r w:rsidRPr="00B44B71">
        <w:rPr>
          <w:rFonts w:ascii="Times New Roman" w:eastAsia="Times New Roman" w:hAnsi="Times New Roman" w:cs="Times New Roman"/>
          <w:kern w:val="0"/>
          <w:sz w:val="28"/>
          <w:szCs w:val="28"/>
          <w:lang w:val="uk-UA"/>
          <w14:ligatures w14:val="none"/>
        </w:rPr>
        <w:lastRenderedPageBreak/>
        <w:t xml:space="preserve">ситуаціях [9]. За таких умов підготовка майбутніх офіцерів з ремонту артилерійського озброєння не може обмежуватися засвоєнням будови зразків озброєння та нормативного порядку їх обслуговування. Вона має забезпечувати розвиток технічного мислення як здатності аналізувати технічний стан системи, встановлювати причинно-наслідкові зв’язки між ознаками несправності та її джерелом, приймати обґрунтовані рішення щодо ремонту, контролювати результати відновлення і прогнозувати подальшу надійність функціонування зразка [7-9]. </w:t>
      </w:r>
    </w:p>
    <w:p w14:paraId="1EFC26E6"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Особливої актуальності ця проблема набуває для фахівців ремонтного профілю ракетно-артилерійського озброєння, оскільки сучасні умови служби вимагають від них високого рівня аналітичності, системності, технологічної культури, просторового уявлення, уважності до деталей, уміння працювати з технічною документацією та швидко діяти в умовах обмеженого часу [3; 8; 9]. Водночас в оприлюднених освітніх матеріалах Військової академії (м.</w:t>
      </w:r>
      <w:r w:rsidRPr="00B44B71">
        <w:rPr>
          <w:rFonts w:ascii="Calibri" w:eastAsia="Calibri" w:hAnsi="Calibri" w:cs="Times New Roman"/>
          <w:kern w:val="0"/>
          <w:lang w:val="uk-UA"/>
          <w14:ligatures w14:val="none"/>
        </w:rPr>
        <w:t> </w:t>
      </w:r>
      <w:r w:rsidRPr="00B44B71">
        <w:rPr>
          <w:rFonts w:ascii="Times New Roman" w:eastAsia="Times New Roman" w:hAnsi="Times New Roman" w:cs="Times New Roman"/>
          <w:kern w:val="0"/>
          <w:sz w:val="28"/>
          <w:szCs w:val="28"/>
          <w:lang w:val="uk-UA"/>
          <w14:ligatures w14:val="none"/>
        </w:rPr>
        <w:t>Одеса) простежується компетентністна логіка підготовки: силабус визначається як інструмент переходу від знань і практичних навичок до компетентностей, а освітньо-професійні програми - як рамка формування компетентностей [1-2]. Це створює підґрунтя для дослідження щодо підсилення компетентностей, які на сьогодні формуються у вищому військовому навчальному закладі (ВВНЗ), розвитком технічного мислення майбутнього офіцера-ремонтника.</w:t>
      </w:r>
    </w:p>
    <w:p w14:paraId="4A6D0F35"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b/>
          <w:bCs/>
          <w:kern w:val="0"/>
          <w:sz w:val="28"/>
          <w:szCs w:val="28"/>
          <w:lang w:val="uk-UA"/>
          <w14:ligatures w14:val="none"/>
        </w:rPr>
        <w:t xml:space="preserve">Аналіз останніх досліджень і публікацій. </w:t>
      </w:r>
      <w:r w:rsidRPr="00B44B71">
        <w:rPr>
          <w:rFonts w:ascii="Times New Roman" w:eastAsia="Times New Roman" w:hAnsi="Times New Roman" w:cs="Times New Roman"/>
          <w:kern w:val="0"/>
          <w:sz w:val="28"/>
          <w:szCs w:val="28"/>
          <w:lang w:val="uk-UA"/>
          <w14:ligatures w14:val="none"/>
        </w:rPr>
        <w:t xml:space="preserve">У сучасних українських публікаціях з військової освіти наголошується, що підготовка майбутнього офіцера повинна бути зорієнтована на розвиток професійної компетентності, критичного і креативного мислення, активне навчання, системний підхід до формування результатів навчання та здатність до безперервного професійного розвитку. </w:t>
      </w:r>
    </w:p>
    <w:p w14:paraId="54ED534C"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Трансформацію системи військової освіти досліджували В. Мірненко, Д. Вітер та В. Оліферук. Авторами виокремлено основні тенденції та перспективи розвитку.</w:t>
      </w:r>
    </w:p>
    <w:p w14:paraId="2FA16BCB"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8"/>
          <w:lang w:val="uk-UA"/>
          <w14:ligatures w14:val="none"/>
        </w:rPr>
      </w:pPr>
      <w:r w:rsidRPr="00B44B71">
        <w:rPr>
          <w:rFonts w:ascii="Times New Roman" w:eastAsia="Calibri" w:hAnsi="Times New Roman" w:cs="Times New Roman"/>
          <w:kern w:val="0"/>
          <w:sz w:val="28"/>
          <w:lang w:val="uk-UA"/>
          <w14:ligatures w14:val="none"/>
        </w:rPr>
        <w:t xml:space="preserve">В. Рахманов і Л. Тимчук вивчали основні етапи системного підходу до навчання у вищому військовому навчальному закладі та наголосили, що військова освіта повинна забезпечувати розвиток критичного мислення та прийняття оптимальних рішень в бойових умовах, орієнтуючись на системність і цілісність навчального процесу. </w:t>
      </w:r>
    </w:p>
    <w:p w14:paraId="5EB114C6" w14:textId="77777777" w:rsidR="00B44B71" w:rsidRPr="00B44B71" w:rsidRDefault="00B44B71" w:rsidP="00023291">
      <w:pPr>
        <w:tabs>
          <w:tab w:val="left" w:pos="9638"/>
        </w:tabs>
        <w:spacing w:after="0" w:line="240" w:lineRule="auto"/>
        <w:ind w:firstLine="567"/>
        <w:jc w:val="both"/>
        <w:rPr>
          <w:rFonts w:ascii="Segoe UI" w:eastAsia="Calibri" w:hAnsi="Segoe UI" w:cs="Segoe UI"/>
          <w:spacing w:val="-2"/>
          <w:kern w:val="0"/>
          <w:shd w:val="clear" w:color="auto" w:fill="171717"/>
          <w:lang w:val="uk-UA"/>
          <w14:ligatures w14:val="none"/>
        </w:rPr>
      </w:pPr>
      <w:r w:rsidRPr="00B44B71">
        <w:rPr>
          <w:rFonts w:ascii="Times New Roman" w:eastAsia="Calibri" w:hAnsi="Times New Roman" w:cs="Times New Roman"/>
          <w:noProof/>
          <w:color w:val="000000"/>
          <w:kern w:val="0"/>
          <w:sz w:val="28"/>
          <w:szCs w:val="28"/>
          <w:lang w:val="uk-UA"/>
          <w14:ligatures w14:val="none"/>
        </w:rPr>
        <w:t>Професійну компетентність офіцерів та розвиток їхнього критичного і креативного мислення у військовій освіті вивчали І. Ролін (спільно з                            О. Серпуховим, О. Чернявським, Н. Вавіловою). Дослідники пропонують застосовувати таксономію Блума як інструмент для покращення рівня зазначеної компетентності.</w:t>
      </w:r>
    </w:p>
    <w:p w14:paraId="4A76DB74"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8"/>
          <w:lang w:val="uk-UA"/>
          <w14:ligatures w14:val="none"/>
        </w:rPr>
      </w:pPr>
      <w:r w:rsidRPr="00B44B71">
        <w:rPr>
          <w:rFonts w:ascii="Times New Roman" w:eastAsia="Times New Roman" w:hAnsi="Times New Roman" w:cs="Times New Roman"/>
          <w:kern w:val="0"/>
          <w:sz w:val="28"/>
          <w:szCs w:val="28"/>
          <w:lang w:val="uk-UA"/>
          <w14:ligatures w14:val="none"/>
        </w:rPr>
        <w:t>Впровадженню інноваційних технологій у викладанні військово-технічних дисциплін для фахівців ракетних військ та артилерії</w:t>
      </w:r>
      <w:r w:rsidRPr="00B44B71">
        <w:rPr>
          <w:rFonts w:ascii="Times New Roman" w:eastAsia="Calibri" w:hAnsi="Times New Roman" w:cs="Times New Roman"/>
          <w:kern w:val="0"/>
          <w:sz w:val="28"/>
          <w:lang w:val="uk-UA"/>
          <w14:ligatures w14:val="none"/>
        </w:rPr>
        <w:t xml:space="preserve"> присвятили свої розробки </w:t>
      </w:r>
      <w:r w:rsidRPr="00B44B71">
        <w:rPr>
          <w:rFonts w:ascii="Times New Roman" w:eastAsia="Times New Roman" w:hAnsi="Times New Roman" w:cs="Times New Roman"/>
          <w:kern w:val="0"/>
          <w:sz w:val="28"/>
          <w:szCs w:val="28"/>
          <w:lang w:val="uk-UA"/>
          <w14:ligatures w14:val="none"/>
        </w:rPr>
        <w:t xml:space="preserve">А. Дерев’янчук, А. Наливайко та Д. Чопа, </w:t>
      </w:r>
      <w:r w:rsidRPr="00B44B71">
        <w:rPr>
          <w:rFonts w:ascii="Times New Roman" w:eastAsia="Calibri" w:hAnsi="Times New Roman" w:cs="Times New Roman"/>
          <w:kern w:val="0"/>
          <w:sz w:val="28"/>
          <w:lang w:val="uk-UA"/>
          <w14:ligatures w14:val="none"/>
        </w:rPr>
        <w:t xml:space="preserve">а Ю. Розумовська в своїй роботі </w:t>
      </w:r>
      <w:r w:rsidRPr="00B44B71">
        <w:rPr>
          <w:rFonts w:ascii="Times New Roman" w:eastAsia="Calibri" w:hAnsi="Times New Roman" w:cs="Times New Roman"/>
          <w:kern w:val="0"/>
          <w:sz w:val="28"/>
          <w:lang w:val="uk-UA"/>
          <w14:ligatures w14:val="none"/>
        </w:rPr>
        <w:lastRenderedPageBreak/>
        <w:t xml:space="preserve">зосередила увагу на інформаційно-комунікаційній компетентності офіцерів тактичної ланки управління. </w:t>
      </w:r>
    </w:p>
    <w:p w14:paraId="4CCDBDB8" w14:textId="77777777" w:rsidR="00B44B71" w:rsidRPr="00B44B71" w:rsidRDefault="00B44B71" w:rsidP="00023291">
      <w:pPr>
        <w:tabs>
          <w:tab w:val="left" w:pos="9638"/>
        </w:tabs>
        <w:spacing w:after="0" w:line="240" w:lineRule="auto"/>
        <w:ind w:firstLine="720"/>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Рівень готовності майбутніх офіцерів до неперервного професійного розвитку досліджував І. Зелений.</w:t>
      </w:r>
    </w:p>
    <w:p w14:paraId="0BF407C0"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 xml:space="preserve">На формуванні технічного мислення майбутніх учителів фізики через STEM-освіту зосередилася у своїй роботі Г. Касянова. Вона обґрунтувала значущість розвитку уміння мислити інженерно й проєктно - зокрема через інтеграцію точних наук, технологій, інженерії та математики. </w:t>
      </w:r>
    </w:p>
    <w:p w14:paraId="2BDA044D"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Узагальненню даних з польових умов війни, врахуванню причин відмов зразків САУ та їх вплив на бойову готовність та рекомендації щодо покращення технічного обслуговування висвітлили у своїй роботі О. Сампір, Р. Возняк та ін.</w:t>
      </w:r>
    </w:p>
    <w:p w14:paraId="65E3D69C"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8"/>
          <w:lang w:val="uk-UA"/>
          <w14:ligatures w14:val="none"/>
        </w:rPr>
      </w:pPr>
      <w:r w:rsidRPr="00B44B71">
        <w:rPr>
          <w:rFonts w:ascii="Times New Roman" w:eastAsia="Times New Roman" w:hAnsi="Times New Roman" w:cs="Times New Roman"/>
          <w:kern w:val="0"/>
          <w:sz w:val="28"/>
          <w:szCs w:val="28"/>
          <w:lang w:val="uk-UA"/>
          <w14:ligatures w14:val="none"/>
        </w:rPr>
        <w:t xml:space="preserve">Разом з тим аналіз джерел показує, що проблема розвитку технічного мислення майбутніх офіцерів з ремонту артилерійського озброєння найчастіше розглядається опосередковано через загальну професійну підготовку, впровадження новітніх технологій навчання або формування окремих компетентностей. </w:t>
      </w:r>
    </w:p>
    <w:p w14:paraId="70AD1A4D"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Аналіз досліджень і публікацій довів, що недостатньо розробленим залишається питання співвіднесення загальних компетентностей, що формуються у ВВНЗ, із тими спеціалізованими компетентностями, які є критично необхідними саме для технічного мислення фахівця ремонтного профілю. Саме ця прогалина і зумовлює потребу в даному дослідженні.</w:t>
      </w:r>
    </w:p>
    <w:p w14:paraId="3BD6F0F0"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b/>
          <w:kern w:val="0"/>
          <w:sz w:val="28"/>
          <w:szCs w:val="28"/>
          <w:lang w:val="uk-UA"/>
          <w14:ligatures w14:val="none"/>
        </w:rPr>
        <w:t xml:space="preserve">Мета </w:t>
      </w:r>
      <w:r w:rsidRPr="00B44B71">
        <w:rPr>
          <w:rFonts w:ascii="Times New Roman" w:eastAsia="Times New Roman" w:hAnsi="Times New Roman" w:cs="Times New Roman"/>
          <w:kern w:val="0"/>
          <w:sz w:val="28"/>
          <w:szCs w:val="28"/>
          <w:lang w:val="uk-UA"/>
          <w14:ligatures w14:val="none"/>
        </w:rPr>
        <w:t>роботи полягає у теоретичному обґрунтуванні сутності технічного мислення майбутніх офіцерів з ремонту ракетно-артилерійського озброєння, визначенні компетентностей, необхідних для його розвитку та окреслення напрямів вдосконалення професійної підготовки майбутніх офіцерів з ремонту артилерійського озброєння у ВВНЗ.</w:t>
      </w:r>
    </w:p>
    <w:p w14:paraId="3FE5EF7E"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b/>
          <w:bCs/>
          <w:kern w:val="0"/>
          <w:sz w:val="28"/>
          <w:szCs w:val="28"/>
          <w:lang w:val="uk-UA"/>
          <w14:ligatures w14:val="none"/>
        </w:rPr>
      </w:pPr>
      <w:r w:rsidRPr="00B44B71">
        <w:rPr>
          <w:rFonts w:ascii="Times New Roman" w:eastAsia="Times New Roman" w:hAnsi="Times New Roman" w:cs="Times New Roman"/>
          <w:b/>
          <w:bCs/>
          <w:kern w:val="0"/>
          <w:sz w:val="28"/>
          <w:szCs w:val="28"/>
          <w:lang w:val="uk-UA"/>
          <w14:ligatures w14:val="none"/>
        </w:rPr>
        <w:t xml:space="preserve">Методи дослідження: </w:t>
      </w:r>
      <w:r w:rsidRPr="00B44B71">
        <w:rPr>
          <w:rFonts w:ascii="Times New Roman" w:eastAsia="Times New Roman" w:hAnsi="Times New Roman" w:cs="Times New Roman"/>
          <w:bCs/>
          <w:kern w:val="0"/>
          <w:sz w:val="28"/>
          <w:szCs w:val="28"/>
          <w:lang w:val="uk-UA"/>
          <w14:ligatures w14:val="none"/>
        </w:rPr>
        <w:t xml:space="preserve">У дослідженні застосовано методи </w:t>
      </w:r>
      <w:r w:rsidRPr="00B44B71">
        <w:rPr>
          <w:rFonts w:ascii="Times New Roman" w:eastAsia="Times New Roman" w:hAnsi="Times New Roman" w:cs="Times New Roman"/>
          <w:kern w:val="0"/>
          <w:sz w:val="28"/>
          <w:szCs w:val="28"/>
          <w:lang w:val="uk-UA"/>
          <w14:ligatures w14:val="none"/>
        </w:rPr>
        <w:t xml:space="preserve">аналізу і синтезу, узагальнення, порівняння, систематизації. </w:t>
      </w:r>
    </w:p>
    <w:p w14:paraId="73219979"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b/>
          <w:color w:val="000000"/>
          <w:kern w:val="0"/>
          <w:sz w:val="28"/>
          <w:szCs w:val="28"/>
          <w:lang w:val="uk-UA"/>
          <w14:ligatures w14:val="none"/>
        </w:rPr>
      </w:pPr>
      <w:r w:rsidRPr="00B44B71">
        <w:rPr>
          <w:rFonts w:ascii="Times New Roman" w:eastAsia="Calibri" w:hAnsi="Times New Roman" w:cs="Times New Roman"/>
          <w:b/>
          <w:color w:val="000000"/>
          <w:kern w:val="0"/>
          <w:sz w:val="28"/>
          <w:szCs w:val="28"/>
          <w:lang w:val="uk-UA"/>
          <w14:ligatures w14:val="none"/>
        </w:rPr>
        <w:t xml:space="preserve">Виклад основного матеріалу. </w:t>
      </w:r>
      <w:r w:rsidRPr="00B44B71">
        <w:rPr>
          <w:rFonts w:ascii="Times New Roman" w:eastAsia="Calibri" w:hAnsi="Times New Roman" w:cs="Times New Roman"/>
          <w:color w:val="000000"/>
          <w:kern w:val="0"/>
          <w:sz w:val="28"/>
          <w:szCs w:val="28"/>
          <w:lang w:val="uk-UA"/>
          <w14:ligatures w14:val="none"/>
        </w:rPr>
        <w:t xml:space="preserve">Аналіз сучасного бойового досвіду свідчить, що в умовах інтенсивних бойових дій значно зростає роль оперативного відновлення озброєння та військової техніки безпосередньо в районах виконання бойових завдань. Для таких умов характерні: обмеженість часу, дефіцит ресурсів, відсутність повної технічної документації, необхідність прийняття рішень в умовах невизначеності, а також високий рівень відповідальності за результат, який безпосередньо впливає на боєздатність підрозділів. Практика застосування ракетно-артилерійського озброєння у ході відсічі агресії рф показала, що ефективність ремонтної діяльності визначається не лише рівнем теоретичної підготовки, а насамперед сформованістю технічного мислення, здатністю швидко діагностувати несправності, адаптувати стандартні алгоритми ремонту до нестандартних умов та приймати обґрунтовані технічні рішення. Технічне мислення майбутнього офіцера з ремонту ракетно-артилерійського озброєння доцільно визначати як професійно-важливу якість, що проявляється у здатності розуміти будову і принцип функціонування технічної системи, </w:t>
      </w:r>
      <w:r w:rsidRPr="00B44B71">
        <w:rPr>
          <w:rFonts w:ascii="Times New Roman" w:eastAsia="Calibri" w:hAnsi="Times New Roman" w:cs="Times New Roman"/>
          <w:color w:val="000000"/>
          <w:kern w:val="0"/>
          <w:sz w:val="28"/>
          <w:szCs w:val="28"/>
          <w:lang w:val="uk-UA"/>
          <w14:ligatures w14:val="none"/>
        </w:rPr>
        <w:lastRenderedPageBreak/>
        <w:t xml:space="preserve">аналізувати її технічний стан, встановлювати причини відмов, обирати раціональний алгоритм діагностики і ремонту, оцінювати доцільність відновлення та контролювати результат виконаних робіт. У професійній діяльності офіцера-ремонтника таке мислення не є абстрактною інтелектуальною характеристикою, а функціонує як практично спрямований спосіб опрацювання технічної інформації й прийняття рішень у процесі відновлення працездатності зразка [3; 7; 8]. </w:t>
      </w:r>
    </w:p>
    <w:p w14:paraId="6B09BBF4"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color w:val="000000"/>
          <w:kern w:val="0"/>
          <w:sz w:val="28"/>
          <w:szCs w:val="28"/>
          <w:lang w:val="uk-UA"/>
          <w14:ligatures w14:val="none"/>
        </w:rPr>
      </w:pPr>
      <w:r w:rsidRPr="00B44B71">
        <w:rPr>
          <w:rFonts w:ascii="Times New Roman" w:eastAsia="Calibri" w:hAnsi="Times New Roman" w:cs="Times New Roman"/>
          <w:color w:val="000000"/>
          <w:kern w:val="0"/>
          <w:sz w:val="28"/>
          <w:szCs w:val="28"/>
          <w:lang w:val="uk-UA"/>
          <w14:ligatures w14:val="none"/>
        </w:rPr>
        <w:t>Доцільно розглядати розвиток технічного мислення через логіку</w:t>
      </w:r>
      <w:r w:rsidRPr="00B44B71">
        <w:rPr>
          <w:rFonts w:ascii="Times New Roman" w:eastAsia="Calibri" w:hAnsi="Times New Roman" w:cs="Times New Roman"/>
          <w:color w:val="000000"/>
          <w:kern w:val="0"/>
          <w:sz w:val="28"/>
          <w:szCs w:val="28"/>
          <w:lang w:val="ru-RU"/>
          <w14:ligatures w14:val="none"/>
        </w:rPr>
        <w:t xml:space="preserve"> </w:t>
      </w:r>
      <w:r w:rsidRPr="00B44B71">
        <w:rPr>
          <w:rFonts w:ascii="Times New Roman" w:eastAsia="Calibri" w:hAnsi="Times New Roman" w:cs="Times New Roman"/>
          <w:color w:val="000000"/>
          <w:kern w:val="0"/>
          <w:sz w:val="28"/>
          <w:szCs w:val="28"/>
          <w:lang w:val="uk-UA"/>
          <w14:ligatures w14:val="none"/>
        </w:rPr>
        <w:t>та складові ремонтного циклу (рис. 1). У цьому підході кожному етапу діяльності відповідає свій набір професійних вимог: знання, вміння, навички, досвід діяльності й особистісні якості. Наведена модель пов’язує технічне мислення не з абстрактною інтелектуальною здатністю, а з реальною структурою діяльності офіцера з ремонту ракетно-артилерійського озброєння.</w:t>
      </w:r>
    </w:p>
    <w:p w14:paraId="6F7C695D"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color w:val="000000"/>
          <w:kern w:val="0"/>
          <w:sz w:val="28"/>
          <w:szCs w:val="28"/>
          <w:lang w:val="uk-UA"/>
          <w14:ligatures w14:val="none"/>
        </w:rPr>
      </w:pPr>
    </w:p>
    <w:p w14:paraId="12E2FA04" w14:textId="77777777" w:rsidR="00B44B71" w:rsidRPr="00B44B71" w:rsidRDefault="00B44B71" w:rsidP="00023291">
      <w:pPr>
        <w:tabs>
          <w:tab w:val="left" w:pos="9638"/>
        </w:tabs>
        <w:spacing w:after="0" w:line="240" w:lineRule="auto"/>
        <w:ind w:right="-1"/>
        <w:jc w:val="center"/>
        <w:rPr>
          <w:rFonts w:ascii="Times New Roman" w:eastAsia="Calibri" w:hAnsi="Times New Roman" w:cs="Times New Roman"/>
          <w:color w:val="000000"/>
          <w:kern w:val="0"/>
          <w:sz w:val="28"/>
          <w:szCs w:val="28"/>
          <w:lang w:val="uk-UA"/>
          <w14:ligatures w14:val="none"/>
        </w:rPr>
      </w:pPr>
      <w:r w:rsidRPr="00B44B71">
        <w:rPr>
          <w:rFonts w:ascii="Calibri" w:eastAsia="Calibri" w:hAnsi="Calibri" w:cs="Times New Roman"/>
          <w:noProof/>
          <w:kern w:val="0"/>
          <w:lang w:val="uk-UA" w:eastAsia="uk-UA"/>
          <w14:ligatures w14:val="none"/>
        </w:rPr>
        <w:drawing>
          <wp:inline distT="0" distB="0" distL="0" distR="0" wp14:anchorId="22DE860B" wp14:editId="4DC90D9E">
            <wp:extent cx="6120130" cy="2486836"/>
            <wp:effectExtent l="0" t="0" r="0" b="8890"/>
            <wp:docPr id="904580821" name="Рисунок 904580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6120130" cy="2486836"/>
                    </a:xfrm>
                    <a:prstGeom prst="rect">
                      <a:avLst/>
                    </a:prstGeom>
                  </pic:spPr>
                </pic:pic>
              </a:graphicData>
            </a:graphic>
          </wp:inline>
        </w:drawing>
      </w:r>
      <w:r w:rsidRPr="00B44B71">
        <w:rPr>
          <w:rFonts w:ascii="Times New Roman" w:eastAsia="Calibri" w:hAnsi="Times New Roman" w:cs="Times New Roman"/>
          <w:color w:val="FF0000"/>
          <w:kern w:val="0"/>
          <w:sz w:val="28"/>
          <w:szCs w:val="28"/>
          <w:lang w:val="uk-UA"/>
          <w14:ligatures w14:val="none"/>
        </w:rPr>
        <w:br/>
      </w:r>
      <w:r w:rsidRPr="00B44B71">
        <w:rPr>
          <w:rFonts w:ascii="Times New Roman" w:eastAsia="Calibri" w:hAnsi="Times New Roman" w:cs="Times New Roman"/>
          <w:color w:val="000000"/>
          <w:kern w:val="0"/>
          <w:sz w:val="28"/>
          <w:szCs w:val="28"/>
          <w:lang w:val="uk-UA"/>
          <w14:ligatures w14:val="none"/>
        </w:rPr>
        <w:t>Рис. 1. Логіка та складові ремонтного циклу.</w:t>
      </w:r>
    </w:p>
    <w:p w14:paraId="289E2E37" w14:textId="77777777" w:rsidR="00B44B71" w:rsidRPr="00B44B71" w:rsidRDefault="00B44B71" w:rsidP="00023291">
      <w:pPr>
        <w:tabs>
          <w:tab w:val="left" w:pos="9638"/>
        </w:tabs>
        <w:spacing w:after="0" w:line="240" w:lineRule="auto"/>
        <w:ind w:left="720" w:firstLine="709"/>
        <w:jc w:val="center"/>
        <w:rPr>
          <w:rFonts w:ascii="Times New Roman" w:eastAsia="Calibri" w:hAnsi="Times New Roman" w:cs="Times New Roman"/>
          <w:color w:val="000000"/>
          <w:kern w:val="0"/>
          <w:sz w:val="28"/>
          <w:szCs w:val="28"/>
          <w:lang w:val="uk-UA"/>
          <w14:ligatures w14:val="none"/>
        </w:rPr>
      </w:pPr>
    </w:p>
    <w:p w14:paraId="575FC7C0"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noProof/>
          <w:color w:val="000000"/>
          <w:kern w:val="0"/>
          <w:sz w:val="28"/>
          <w:szCs w:val="28"/>
          <w:lang w:val="uk-UA"/>
          <w14:ligatures w14:val="none"/>
        </w:rPr>
      </w:pPr>
      <w:bookmarkStart w:id="11" w:name="_Hlk224714767"/>
      <w:r w:rsidRPr="00B44B71">
        <w:rPr>
          <w:rFonts w:ascii="Times New Roman" w:eastAsia="Calibri" w:hAnsi="Times New Roman" w:cs="Times New Roman"/>
          <w:color w:val="000000"/>
          <w:kern w:val="0"/>
          <w:sz w:val="28"/>
          <w:szCs w:val="28"/>
          <w:lang w:val="uk-UA"/>
          <w14:ligatures w14:val="none"/>
        </w:rPr>
        <w:t>Аналіз професійної діяльності офіцерів-ремонтників показує, що технічне мислення найкраще розкривається через послідовність етапів ремонтної діяльності. На кожному з них воно спирається на певну комбінацію знань, умінь, навичок, досвіду діяльності та особистісних якостей. Таким чином, на етапі візуального огляду визначальними є спостережливість, уважність, технічна допитливість і здатність синтезувати первинні дані. На етапі діагностики − аналітичність, логічність, системність, критичність та навички роботи з вимірювальним обладнанням. Під час усунення недоліків − системний підхід, відповідальність за результат, самокритичність і здатність оцінювати доцільність ремонту за критеріями часу, ресурсу та надійності. Під час збирання − покроковість, точність, просторово-конструктивне мислення; на етапі передачі в підрозділ − техніко-документаційні та комунікативні вміння. Таким чином, технічне мислення офіцера-ремонтника має багатокомпонентну природу і формується в діяльності, а не лише через теоретичну підготовку.</w:t>
      </w:r>
      <w:bookmarkStart w:id="12" w:name="_Hlk224645928"/>
    </w:p>
    <w:p w14:paraId="107EED71"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color w:val="000000"/>
          <w:kern w:val="0"/>
          <w:sz w:val="28"/>
          <w:szCs w:val="28"/>
          <w:lang w:val="uk-UA"/>
          <w14:ligatures w14:val="none"/>
        </w:rPr>
      </w:pPr>
      <w:r w:rsidRPr="00B44B71">
        <w:rPr>
          <w:rFonts w:ascii="Times New Roman" w:eastAsia="Calibri" w:hAnsi="Times New Roman" w:cs="Times New Roman"/>
          <w:color w:val="000000"/>
          <w:kern w:val="0"/>
          <w:sz w:val="28"/>
          <w:szCs w:val="28"/>
          <w:lang w:val="uk-UA"/>
          <w14:ligatures w14:val="none"/>
        </w:rPr>
        <w:lastRenderedPageBreak/>
        <w:t xml:space="preserve">Після проведеного аналізу наукових джерел, ОПП, вивчення кожного з етапів, необхідних для успішного ремонту техніки та спираючись на власне бачення проблеми були встановлені вимоги, необхідні для успішного виконання ремонтних робіт, які наведено у табл. 1. Зауважимо, що необхідні для успішного виконання ремонтних робіт вимоги подано через знання, вміння, навички, досвід діяльності та особистісні якості. </w:t>
      </w:r>
    </w:p>
    <w:p w14:paraId="60A8D54A" w14:textId="77777777" w:rsidR="006D5E8E" w:rsidRDefault="006D5E8E" w:rsidP="00023291">
      <w:pPr>
        <w:tabs>
          <w:tab w:val="left" w:pos="9638"/>
        </w:tabs>
        <w:spacing w:after="0" w:line="240" w:lineRule="auto"/>
        <w:jc w:val="right"/>
        <w:rPr>
          <w:rFonts w:ascii="Times New Roman" w:eastAsia="Calibri" w:hAnsi="Times New Roman" w:cs="Times New Roman"/>
          <w:iCs/>
          <w:color w:val="000000"/>
          <w:kern w:val="0"/>
          <w:sz w:val="28"/>
          <w:szCs w:val="28"/>
          <w:lang w:val="uk-UA"/>
          <w14:ligatures w14:val="none"/>
        </w:rPr>
      </w:pPr>
    </w:p>
    <w:p w14:paraId="4E385F22" w14:textId="16053401" w:rsidR="00B44B71" w:rsidRPr="00B44B71" w:rsidRDefault="00B44B71" w:rsidP="00023291">
      <w:pPr>
        <w:tabs>
          <w:tab w:val="left" w:pos="9638"/>
        </w:tabs>
        <w:spacing w:after="0" w:line="240" w:lineRule="auto"/>
        <w:jc w:val="right"/>
        <w:rPr>
          <w:rFonts w:ascii="Times New Roman" w:eastAsia="Calibri" w:hAnsi="Times New Roman" w:cs="Times New Roman"/>
          <w:iCs/>
          <w:color w:val="000000"/>
          <w:kern w:val="0"/>
          <w:sz w:val="28"/>
          <w:szCs w:val="28"/>
          <w:lang w:val="uk-UA"/>
          <w14:ligatures w14:val="none"/>
        </w:rPr>
      </w:pPr>
      <w:r w:rsidRPr="00B44B71">
        <w:rPr>
          <w:rFonts w:ascii="Times New Roman" w:eastAsia="Calibri" w:hAnsi="Times New Roman" w:cs="Times New Roman"/>
          <w:iCs/>
          <w:color w:val="000000"/>
          <w:kern w:val="0"/>
          <w:sz w:val="28"/>
          <w:szCs w:val="28"/>
          <w:lang w:val="uk-UA"/>
          <w14:ligatures w14:val="none"/>
        </w:rPr>
        <w:t>Таблиця 1</w:t>
      </w:r>
    </w:p>
    <w:p w14:paraId="63A67710" w14:textId="77777777" w:rsidR="00B44B71" w:rsidRDefault="00B44B71" w:rsidP="00023291">
      <w:pPr>
        <w:tabs>
          <w:tab w:val="left" w:pos="9638"/>
        </w:tabs>
        <w:spacing w:after="0" w:line="240" w:lineRule="auto"/>
        <w:jc w:val="center"/>
        <w:rPr>
          <w:rFonts w:ascii="Times New Roman" w:eastAsia="Calibri" w:hAnsi="Times New Roman" w:cs="Times New Roman"/>
          <w:b/>
          <w:bCs/>
          <w:color w:val="000000"/>
          <w:kern w:val="0"/>
          <w:sz w:val="28"/>
          <w:szCs w:val="28"/>
          <w:lang w:val="uk-UA"/>
          <w14:ligatures w14:val="none"/>
        </w:rPr>
      </w:pPr>
      <w:r w:rsidRPr="00B44B71">
        <w:rPr>
          <w:rFonts w:ascii="Times New Roman" w:eastAsia="Calibri" w:hAnsi="Times New Roman" w:cs="Times New Roman"/>
          <w:b/>
          <w:bCs/>
          <w:color w:val="000000"/>
          <w:kern w:val="0"/>
          <w:sz w:val="28"/>
          <w:szCs w:val="28"/>
          <w:lang w:val="uk-UA"/>
          <w14:ligatures w14:val="none"/>
        </w:rPr>
        <w:t>Вимоги, необхідні для успішного виконання ремонтних робіт</w:t>
      </w:r>
    </w:p>
    <w:p w14:paraId="78F9CD75" w14:textId="77777777" w:rsidR="006D5E8E" w:rsidRPr="00B44B71" w:rsidRDefault="006D5E8E" w:rsidP="00023291">
      <w:pPr>
        <w:tabs>
          <w:tab w:val="left" w:pos="9638"/>
        </w:tabs>
        <w:spacing w:after="0" w:line="240" w:lineRule="auto"/>
        <w:jc w:val="center"/>
        <w:rPr>
          <w:rFonts w:ascii="Times New Roman" w:eastAsia="Calibri" w:hAnsi="Times New Roman" w:cs="Times New Roman"/>
          <w:b/>
          <w:bCs/>
          <w:color w:val="000000"/>
          <w:kern w:val="0"/>
          <w:sz w:val="28"/>
          <w:szCs w:val="28"/>
          <w:lang w:val="uk-UA"/>
          <w14:ligatures w14:val="none"/>
        </w:rPr>
      </w:pPr>
    </w:p>
    <w:tbl>
      <w:tblPr>
        <w:tblStyle w:val="90"/>
        <w:tblW w:w="9750" w:type="dxa"/>
        <w:jc w:val="center"/>
        <w:tblLayout w:type="fixed"/>
        <w:tblLook w:val="04A0" w:firstRow="1" w:lastRow="0" w:firstColumn="1" w:lastColumn="0" w:noHBand="0" w:noVBand="1"/>
      </w:tblPr>
      <w:tblGrid>
        <w:gridCol w:w="1403"/>
        <w:gridCol w:w="1701"/>
        <w:gridCol w:w="1701"/>
        <w:gridCol w:w="1559"/>
        <w:gridCol w:w="1418"/>
        <w:gridCol w:w="1968"/>
      </w:tblGrid>
      <w:tr w:rsidR="00B44B71" w:rsidRPr="006D5E8E" w14:paraId="3604CA46" w14:textId="77777777" w:rsidTr="006D5E8E">
        <w:trPr>
          <w:cantSplit/>
          <w:trHeight w:val="1701"/>
          <w:jc w:val="center"/>
        </w:trPr>
        <w:tc>
          <w:tcPr>
            <w:tcW w:w="1403" w:type="dxa"/>
            <w:tcBorders>
              <w:bottom w:val="single" w:sz="4" w:space="0" w:color="auto"/>
              <w:tl2br w:val="single" w:sz="4" w:space="0" w:color="auto"/>
            </w:tcBorders>
          </w:tcPr>
          <w:bookmarkEnd w:id="12"/>
          <w:p w14:paraId="0432873E" w14:textId="77777777" w:rsidR="00B44B71" w:rsidRPr="006D5E8E" w:rsidRDefault="00B44B71" w:rsidP="00023291">
            <w:pPr>
              <w:tabs>
                <w:tab w:val="left" w:pos="9638"/>
              </w:tabs>
              <w:jc w:val="right"/>
              <w:rPr>
                <w:rFonts w:ascii="Times New Roman" w:eastAsia="Calibri" w:hAnsi="Times New Roman" w:cs="Times New Roman"/>
                <w:b/>
                <w:sz w:val="24"/>
                <w:szCs w:val="24"/>
              </w:rPr>
            </w:pPr>
            <w:r w:rsidRPr="006D5E8E">
              <w:rPr>
                <w:rFonts w:ascii="Times New Roman" w:eastAsia="Calibri" w:hAnsi="Times New Roman" w:cs="Times New Roman"/>
                <w:b/>
                <w:sz w:val="24"/>
                <w:szCs w:val="24"/>
              </w:rPr>
              <w:t>Вимоги</w:t>
            </w:r>
          </w:p>
          <w:p w14:paraId="217B149E" w14:textId="77777777" w:rsidR="00B44B71" w:rsidRPr="006D5E8E" w:rsidRDefault="00B44B71" w:rsidP="00023291">
            <w:pPr>
              <w:tabs>
                <w:tab w:val="left" w:pos="9638"/>
              </w:tabs>
              <w:jc w:val="both"/>
              <w:rPr>
                <w:rFonts w:ascii="Times New Roman" w:eastAsia="Calibri" w:hAnsi="Times New Roman" w:cs="Times New Roman"/>
                <w:b/>
                <w:sz w:val="24"/>
                <w:szCs w:val="24"/>
              </w:rPr>
            </w:pPr>
          </w:p>
          <w:p w14:paraId="09D2A2A1" w14:textId="77777777" w:rsidR="00B44B71" w:rsidRPr="006D5E8E" w:rsidRDefault="00B44B71" w:rsidP="00023291">
            <w:pPr>
              <w:tabs>
                <w:tab w:val="left" w:pos="9638"/>
              </w:tabs>
              <w:jc w:val="both"/>
              <w:rPr>
                <w:rFonts w:ascii="Times New Roman" w:eastAsia="Calibri" w:hAnsi="Times New Roman" w:cs="Times New Roman"/>
                <w:b/>
                <w:sz w:val="24"/>
                <w:szCs w:val="24"/>
              </w:rPr>
            </w:pPr>
          </w:p>
          <w:p w14:paraId="70B5BAED" w14:textId="77777777" w:rsidR="00B44B71" w:rsidRPr="006D5E8E" w:rsidRDefault="00B44B71" w:rsidP="00023291">
            <w:pPr>
              <w:tabs>
                <w:tab w:val="left" w:pos="9638"/>
              </w:tabs>
              <w:jc w:val="both"/>
              <w:rPr>
                <w:rFonts w:ascii="Times New Roman" w:eastAsia="Calibri" w:hAnsi="Times New Roman" w:cs="Times New Roman"/>
                <w:b/>
                <w:sz w:val="24"/>
                <w:szCs w:val="24"/>
              </w:rPr>
            </w:pPr>
          </w:p>
          <w:p w14:paraId="06D0F808" w14:textId="77777777" w:rsidR="00B44B71" w:rsidRPr="006D5E8E" w:rsidRDefault="00B44B71" w:rsidP="00023291">
            <w:pPr>
              <w:tabs>
                <w:tab w:val="left" w:pos="9638"/>
              </w:tabs>
              <w:jc w:val="both"/>
              <w:rPr>
                <w:rFonts w:ascii="Times New Roman" w:eastAsia="Calibri" w:hAnsi="Times New Roman" w:cs="Times New Roman"/>
                <w:b/>
                <w:sz w:val="24"/>
                <w:szCs w:val="24"/>
              </w:rPr>
            </w:pPr>
            <w:r w:rsidRPr="006D5E8E">
              <w:rPr>
                <w:rFonts w:ascii="Times New Roman" w:eastAsia="Calibri" w:hAnsi="Times New Roman" w:cs="Times New Roman"/>
                <w:b/>
                <w:sz w:val="24"/>
                <w:szCs w:val="24"/>
              </w:rPr>
              <w:t xml:space="preserve">Етапи </w:t>
            </w:r>
          </w:p>
        </w:tc>
        <w:tc>
          <w:tcPr>
            <w:tcW w:w="1701" w:type="dxa"/>
            <w:textDirection w:val="btLr"/>
            <w:vAlign w:val="center"/>
          </w:tcPr>
          <w:p w14:paraId="19C80DF8" w14:textId="77777777" w:rsidR="00B44B71" w:rsidRPr="006D5E8E" w:rsidRDefault="00B44B71" w:rsidP="00023291">
            <w:pPr>
              <w:tabs>
                <w:tab w:val="left" w:pos="9638"/>
              </w:tabs>
              <w:ind w:left="113" w:right="113"/>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Провідні знання</w:t>
            </w:r>
          </w:p>
        </w:tc>
        <w:tc>
          <w:tcPr>
            <w:tcW w:w="1701" w:type="dxa"/>
            <w:textDirection w:val="btLr"/>
            <w:vAlign w:val="center"/>
          </w:tcPr>
          <w:p w14:paraId="2ACCAC60" w14:textId="77777777" w:rsidR="00B44B71" w:rsidRPr="006D5E8E" w:rsidRDefault="00B44B71" w:rsidP="00023291">
            <w:pPr>
              <w:tabs>
                <w:tab w:val="left" w:pos="9638"/>
              </w:tabs>
              <w:ind w:left="113" w:right="113"/>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Провідні вміння</w:t>
            </w:r>
          </w:p>
        </w:tc>
        <w:tc>
          <w:tcPr>
            <w:tcW w:w="1559" w:type="dxa"/>
            <w:textDirection w:val="btLr"/>
            <w:vAlign w:val="center"/>
          </w:tcPr>
          <w:p w14:paraId="08FDAB15" w14:textId="77777777" w:rsidR="00B44B71" w:rsidRPr="006D5E8E" w:rsidRDefault="00B44B71" w:rsidP="00023291">
            <w:pPr>
              <w:tabs>
                <w:tab w:val="left" w:pos="9638"/>
              </w:tabs>
              <w:ind w:left="113" w:right="113"/>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Провідні навички</w:t>
            </w:r>
          </w:p>
        </w:tc>
        <w:tc>
          <w:tcPr>
            <w:tcW w:w="1418" w:type="dxa"/>
            <w:textDirection w:val="btLr"/>
            <w:vAlign w:val="center"/>
          </w:tcPr>
          <w:p w14:paraId="0698EDB2" w14:textId="77777777" w:rsidR="00B44B71" w:rsidRPr="006D5E8E" w:rsidRDefault="00B44B71" w:rsidP="00023291">
            <w:pPr>
              <w:tabs>
                <w:tab w:val="left" w:pos="9638"/>
              </w:tabs>
              <w:ind w:left="113" w:right="113"/>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Досвід діяльності</w:t>
            </w:r>
          </w:p>
        </w:tc>
        <w:tc>
          <w:tcPr>
            <w:tcW w:w="1968" w:type="dxa"/>
            <w:textDirection w:val="btLr"/>
            <w:vAlign w:val="center"/>
          </w:tcPr>
          <w:p w14:paraId="33E36775" w14:textId="77777777" w:rsidR="00B44B71" w:rsidRPr="006D5E8E" w:rsidRDefault="00B44B71" w:rsidP="00023291">
            <w:pPr>
              <w:tabs>
                <w:tab w:val="left" w:pos="9638"/>
              </w:tabs>
              <w:ind w:left="113" w:right="113"/>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Провідні особистісні якості</w:t>
            </w:r>
          </w:p>
        </w:tc>
      </w:tr>
      <w:tr w:rsidR="00B44B71" w:rsidRPr="006D5E8E" w14:paraId="5EBD4F8F" w14:textId="77777777" w:rsidTr="006D5E8E">
        <w:trPr>
          <w:trHeight w:val="354"/>
          <w:jc w:val="center"/>
        </w:trPr>
        <w:tc>
          <w:tcPr>
            <w:tcW w:w="1403" w:type="dxa"/>
            <w:tcBorders>
              <w:tl2br w:val="nil"/>
            </w:tcBorders>
            <w:vAlign w:val="center"/>
          </w:tcPr>
          <w:p w14:paraId="70D09FF1" w14:textId="77777777" w:rsidR="00B44B71" w:rsidRPr="006D5E8E" w:rsidRDefault="00B44B71" w:rsidP="00023291">
            <w:pPr>
              <w:tabs>
                <w:tab w:val="left" w:pos="9638"/>
              </w:tabs>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1</w:t>
            </w:r>
          </w:p>
        </w:tc>
        <w:tc>
          <w:tcPr>
            <w:tcW w:w="1701" w:type="dxa"/>
            <w:vAlign w:val="center"/>
          </w:tcPr>
          <w:p w14:paraId="0E94C974" w14:textId="77777777" w:rsidR="00B44B71" w:rsidRPr="006D5E8E" w:rsidRDefault="00B44B71" w:rsidP="00023291">
            <w:pPr>
              <w:tabs>
                <w:tab w:val="left" w:pos="9638"/>
              </w:tabs>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2</w:t>
            </w:r>
          </w:p>
        </w:tc>
        <w:tc>
          <w:tcPr>
            <w:tcW w:w="1701" w:type="dxa"/>
            <w:vAlign w:val="center"/>
          </w:tcPr>
          <w:p w14:paraId="7D012601" w14:textId="77777777" w:rsidR="00B44B71" w:rsidRPr="006D5E8E" w:rsidRDefault="00B44B71" w:rsidP="00023291">
            <w:pPr>
              <w:tabs>
                <w:tab w:val="left" w:pos="9638"/>
              </w:tabs>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3</w:t>
            </w:r>
          </w:p>
        </w:tc>
        <w:tc>
          <w:tcPr>
            <w:tcW w:w="1559" w:type="dxa"/>
            <w:vAlign w:val="center"/>
          </w:tcPr>
          <w:p w14:paraId="301BDD6A" w14:textId="77777777" w:rsidR="00B44B71" w:rsidRPr="006D5E8E" w:rsidRDefault="00B44B71" w:rsidP="00023291">
            <w:pPr>
              <w:tabs>
                <w:tab w:val="left" w:pos="9638"/>
              </w:tabs>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4</w:t>
            </w:r>
          </w:p>
        </w:tc>
        <w:tc>
          <w:tcPr>
            <w:tcW w:w="1418" w:type="dxa"/>
            <w:vAlign w:val="center"/>
          </w:tcPr>
          <w:p w14:paraId="3809F876" w14:textId="77777777" w:rsidR="00B44B71" w:rsidRPr="006D5E8E" w:rsidRDefault="00B44B71" w:rsidP="00023291">
            <w:pPr>
              <w:tabs>
                <w:tab w:val="left" w:pos="9638"/>
              </w:tabs>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5</w:t>
            </w:r>
          </w:p>
        </w:tc>
        <w:tc>
          <w:tcPr>
            <w:tcW w:w="1968" w:type="dxa"/>
            <w:vAlign w:val="center"/>
          </w:tcPr>
          <w:p w14:paraId="718D8F3F" w14:textId="77777777" w:rsidR="00B44B71" w:rsidRPr="006D5E8E" w:rsidRDefault="00B44B71" w:rsidP="00023291">
            <w:pPr>
              <w:tabs>
                <w:tab w:val="left" w:pos="9638"/>
              </w:tabs>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6</w:t>
            </w:r>
          </w:p>
        </w:tc>
      </w:tr>
      <w:tr w:rsidR="00B44B71" w:rsidRPr="006D5E8E" w14:paraId="702A2784" w14:textId="77777777" w:rsidTr="006D5E8E">
        <w:trPr>
          <w:jc w:val="center"/>
        </w:trPr>
        <w:tc>
          <w:tcPr>
            <w:tcW w:w="1403" w:type="dxa"/>
            <w:vAlign w:val="center"/>
          </w:tcPr>
          <w:p w14:paraId="1FA1FB8A" w14:textId="77777777" w:rsidR="00B44B71" w:rsidRPr="006D5E8E" w:rsidRDefault="00B44B71" w:rsidP="00023291">
            <w:pPr>
              <w:tabs>
                <w:tab w:val="left" w:pos="9638"/>
              </w:tabs>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Отримання та візуальний огляд</w:t>
            </w:r>
          </w:p>
        </w:tc>
        <w:tc>
          <w:tcPr>
            <w:tcW w:w="1701" w:type="dxa"/>
          </w:tcPr>
          <w:p w14:paraId="243BA7C3"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Будова, принцип роботи систем, типові ознаки механічних та електричних пошкоджень</w:t>
            </w:r>
          </w:p>
        </w:tc>
        <w:tc>
          <w:tcPr>
            <w:tcW w:w="1701" w:type="dxa"/>
          </w:tcPr>
          <w:p w14:paraId="1F9FBA62"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Здійснювати первин-ний технічний огляд, аналізувати зовнішні ознаки несправностей, визначати ступінь пошкодження, синтез зібраних даних</w:t>
            </w:r>
          </w:p>
        </w:tc>
        <w:tc>
          <w:tcPr>
            <w:tcW w:w="1559" w:type="dxa"/>
          </w:tcPr>
          <w:p w14:paraId="4DBE1393"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Самостійне виявлення дефектів при візуальному контролі, фіксація технічного стану обладнання</w:t>
            </w:r>
          </w:p>
        </w:tc>
        <w:tc>
          <w:tcPr>
            <w:tcW w:w="1418" w:type="dxa"/>
          </w:tcPr>
          <w:p w14:paraId="1001BD4E"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Проведення технічних оглядів, робота з журналами обліку ремонту, аналіз експлуатаційних несправностей</w:t>
            </w:r>
          </w:p>
        </w:tc>
        <w:tc>
          <w:tcPr>
            <w:tcW w:w="1968" w:type="dxa"/>
          </w:tcPr>
          <w:p w14:paraId="2DC81714"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Спостережливість, уваж-ність, відповідальність, технічна допитливість, розуміння просторового перетворення об’єктів</w:t>
            </w:r>
          </w:p>
        </w:tc>
      </w:tr>
      <w:tr w:rsidR="00B44B71" w:rsidRPr="006D5E8E" w14:paraId="427DD36D" w14:textId="77777777" w:rsidTr="006D5E8E">
        <w:trPr>
          <w:jc w:val="center"/>
        </w:trPr>
        <w:tc>
          <w:tcPr>
            <w:tcW w:w="1403" w:type="dxa"/>
            <w:vAlign w:val="center"/>
          </w:tcPr>
          <w:p w14:paraId="1C3AD736" w14:textId="77777777" w:rsidR="00B44B71" w:rsidRPr="006D5E8E" w:rsidRDefault="00B44B71" w:rsidP="00023291">
            <w:pPr>
              <w:tabs>
                <w:tab w:val="left" w:pos="9638"/>
              </w:tabs>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Діагностика</w:t>
            </w:r>
          </w:p>
        </w:tc>
        <w:tc>
          <w:tcPr>
            <w:tcW w:w="1701" w:type="dxa"/>
          </w:tcPr>
          <w:p w14:paraId="185EE798"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Методи діагностики, принципи роботи механізмів, алгоритми пошуку несправностей</w:t>
            </w:r>
          </w:p>
        </w:tc>
        <w:tc>
          <w:tcPr>
            <w:tcW w:w="1701" w:type="dxa"/>
          </w:tcPr>
          <w:p w14:paraId="0BE775CF"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Проводити технічну діагностику, визначати причини несправностей, формування діагностічних висновків</w:t>
            </w:r>
          </w:p>
        </w:tc>
        <w:tc>
          <w:tcPr>
            <w:tcW w:w="1559" w:type="dxa"/>
          </w:tcPr>
          <w:p w14:paraId="7961E16E" w14:textId="77777777" w:rsidR="00B44B71"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Самостійна робота з вимірювальним обладнанням, тестування систем і механізмів, пошук прихованих/дрібних дефектів, Навички роботи з інформацією</w:t>
            </w:r>
          </w:p>
          <w:p w14:paraId="499F3388" w14:textId="77777777" w:rsidR="006D5E8E" w:rsidRPr="006D5E8E" w:rsidRDefault="006D5E8E" w:rsidP="00023291">
            <w:pPr>
              <w:tabs>
                <w:tab w:val="left" w:pos="9638"/>
              </w:tabs>
              <w:jc w:val="both"/>
              <w:rPr>
                <w:rFonts w:ascii="Times New Roman" w:eastAsia="Calibri" w:hAnsi="Times New Roman" w:cs="Times New Roman"/>
                <w:sz w:val="24"/>
                <w:szCs w:val="24"/>
              </w:rPr>
            </w:pPr>
          </w:p>
        </w:tc>
        <w:tc>
          <w:tcPr>
            <w:tcW w:w="1418" w:type="dxa"/>
          </w:tcPr>
          <w:p w14:paraId="7B88BE1F"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Практичне застосування методів діагностики, аналіз відмов техніки, використання діагностичних алгоритмів</w:t>
            </w:r>
          </w:p>
        </w:tc>
        <w:tc>
          <w:tcPr>
            <w:tcW w:w="1968" w:type="dxa"/>
          </w:tcPr>
          <w:p w14:paraId="47F2A3AC" w14:textId="77777777" w:rsidR="00B44B71" w:rsidRPr="006D5E8E" w:rsidRDefault="00B44B71" w:rsidP="00023291">
            <w:pPr>
              <w:tabs>
                <w:tab w:val="left" w:pos="9638"/>
              </w:tabs>
              <w:ind w:right="-51"/>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Аналітичне мислення, логічність, системність, технічна допитливість, обізнанність, критичність</w:t>
            </w:r>
          </w:p>
        </w:tc>
      </w:tr>
      <w:tr w:rsidR="00B44B71" w:rsidRPr="006D5E8E" w14:paraId="5FA72BBB" w14:textId="77777777" w:rsidTr="006D5E8E">
        <w:trPr>
          <w:jc w:val="center"/>
        </w:trPr>
        <w:tc>
          <w:tcPr>
            <w:tcW w:w="1403" w:type="dxa"/>
            <w:vAlign w:val="center"/>
          </w:tcPr>
          <w:p w14:paraId="7024E38C" w14:textId="77777777" w:rsidR="00B44B71" w:rsidRPr="006D5E8E" w:rsidRDefault="00B44B71" w:rsidP="00023291">
            <w:pPr>
              <w:tabs>
                <w:tab w:val="left" w:pos="9638"/>
              </w:tabs>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lastRenderedPageBreak/>
              <w:t>Усунення недоліків, заміна деталей</w:t>
            </w:r>
          </w:p>
        </w:tc>
        <w:tc>
          <w:tcPr>
            <w:tcW w:w="1701" w:type="dxa"/>
          </w:tcPr>
          <w:p w14:paraId="523A61BA"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Технології ремонту, матеріалознавство, методи відновлення деталей, стандарти якості ремонту</w:t>
            </w:r>
          </w:p>
        </w:tc>
        <w:tc>
          <w:tcPr>
            <w:tcW w:w="1701" w:type="dxa"/>
          </w:tcPr>
          <w:p w14:paraId="24C3FDC1"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Визначення можливості ремонту, виконувати ремонтні операції, підбирання необхідних запчастин, здатність застосування системного підходу</w:t>
            </w:r>
          </w:p>
        </w:tc>
        <w:tc>
          <w:tcPr>
            <w:tcW w:w="1559" w:type="dxa"/>
          </w:tcPr>
          <w:p w14:paraId="0DEA9F25"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Самостійне відновлення пошкоджених елементів, монтаж нових деталей, використання ремонтного обладнання, навички роботи з інформацією (а також опрацювання, в цифровому інформаційному середовищі)</w:t>
            </w:r>
          </w:p>
        </w:tc>
        <w:tc>
          <w:tcPr>
            <w:tcW w:w="1418" w:type="dxa"/>
          </w:tcPr>
          <w:p w14:paraId="7CE81399"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Виконання ремонтних робіт, робота з запасними частинами</w:t>
            </w:r>
          </w:p>
        </w:tc>
        <w:tc>
          <w:tcPr>
            <w:tcW w:w="1968" w:type="dxa"/>
          </w:tcPr>
          <w:p w14:paraId="6E44C785" w14:textId="77777777" w:rsidR="00B44B71" w:rsidRPr="006D5E8E" w:rsidRDefault="00B44B71" w:rsidP="00023291">
            <w:pPr>
              <w:tabs>
                <w:tab w:val="left" w:pos="9638"/>
              </w:tabs>
              <w:ind w:right="-51"/>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Технічне мислення, відповідальність за результат, наполегливість, уважність, обізнанність, творчий характер, розуміння просторового перетворення об’єктів, самокритичність</w:t>
            </w:r>
          </w:p>
        </w:tc>
      </w:tr>
      <w:tr w:rsidR="00B44B71" w:rsidRPr="006D5E8E" w14:paraId="64B8669E" w14:textId="77777777" w:rsidTr="006D5E8E">
        <w:trPr>
          <w:jc w:val="center"/>
        </w:trPr>
        <w:tc>
          <w:tcPr>
            <w:tcW w:w="1403" w:type="dxa"/>
            <w:vAlign w:val="center"/>
          </w:tcPr>
          <w:p w14:paraId="2B458CDC" w14:textId="77777777" w:rsidR="00B44B71" w:rsidRPr="006D5E8E" w:rsidRDefault="00B44B71" w:rsidP="00023291">
            <w:pPr>
              <w:tabs>
                <w:tab w:val="left" w:pos="9638"/>
              </w:tabs>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Збирання</w:t>
            </w:r>
          </w:p>
        </w:tc>
        <w:tc>
          <w:tcPr>
            <w:tcW w:w="1701" w:type="dxa"/>
          </w:tcPr>
          <w:p w14:paraId="2639AB4A"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Конструктивна структура виробу, технологія збирання, вимоги до точності монтажу, технічні стандарти</w:t>
            </w:r>
          </w:p>
        </w:tc>
        <w:tc>
          <w:tcPr>
            <w:tcW w:w="1701" w:type="dxa"/>
          </w:tcPr>
          <w:p w14:paraId="0D6D07C8"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Правильно збирати системи та механізми, дотримання послідовності операцій</w:t>
            </w:r>
          </w:p>
        </w:tc>
        <w:tc>
          <w:tcPr>
            <w:tcW w:w="1559" w:type="dxa"/>
          </w:tcPr>
          <w:p w14:paraId="2AD04B97"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Самостійне покрокове складання механізмів та систем , а також їх регулювання/калібрування</w:t>
            </w:r>
          </w:p>
        </w:tc>
        <w:tc>
          <w:tcPr>
            <w:tcW w:w="1418" w:type="dxa"/>
          </w:tcPr>
          <w:p w14:paraId="13F0A1B8"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Складання технічних виробів, виконання регулювальних/калібрувальних операцій</w:t>
            </w:r>
          </w:p>
        </w:tc>
        <w:tc>
          <w:tcPr>
            <w:tcW w:w="1968" w:type="dxa"/>
          </w:tcPr>
          <w:p w14:paraId="1178DCB9" w14:textId="77777777" w:rsidR="00B44B71" w:rsidRPr="006D5E8E" w:rsidRDefault="00B44B71" w:rsidP="00023291">
            <w:pPr>
              <w:tabs>
                <w:tab w:val="left" w:pos="9638"/>
              </w:tabs>
              <w:ind w:right="-51"/>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Акуратність, точність, уважність, організованість, покроковість, системність, творчий характер, розуміння просторового перетворення об’єктів</w:t>
            </w:r>
          </w:p>
        </w:tc>
      </w:tr>
      <w:tr w:rsidR="00B44B71" w:rsidRPr="006D5E8E" w14:paraId="68511875" w14:textId="77777777" w:rsidTr="006D5E8E">
        <w:trPr>
          <w:jc w:val="center"/>
        </w:trPr>
        <w:tc>
          <w:tcPr>
            <w:tcW w:w="1403" w:type="dxa"/>
            <w:vAlign w:val="center"/>
          </w:tcPr>
          <w:p w14:paraId="1145AB32" w14:textId="77777777" w:rsidR="00B44B71" w:rsidRPr="006D5E8E" w:rsidRDefault="00B44B71" w:rsidP="00023291">
            <w:pPr>
              <w:tabs>
                <w:tab w:val="left" w:pos="9638"/>
              </w:tabs>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Перевірка</w:t>
            </w:r>
          </w:p>
        </w:tc>
        <w:tc>
          <w:tcPr>
            <w:tcW w:w="1701" w:type="dxa"/>
          </w:tcPr>
          <w:p w14:paraId="38C550F1"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Методи технічних випробувань, критерії працездатності обладнання</w:t>
            </w:r>
          </w:p>
        </w:tc>
        <w:tc>
          <w:tcPr>
            <w:tcW w:w="1701" w:type="dxa"/>
          </w:tcPr>
          <w:p w14:paraId="04BEF4BD"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Проводити функціональні випробування, оцінка працездатності систем, аналізувати результати перевірки</w:t>
            </w:r>
          </w:p>
        </w:tc>
        <w:tc>
          <w:tcPr>
            <w:tcW w:w="1559" w:type="dxa"/>
          </w:tcPr>
          <w:p w14:paraId="2CBF9934"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Самостійне використання перевірочного обладнання, тестування механізмів та систем, фіксація результатів</w:t>
            </w:r>
          </w:p>
        </w:tc>
        <w:tc>
          <w:tcPr>
            <w:tcW w:w="1418" w:type="dxa"/>
          </w:tcPr>
          <w:p w14:paraId="4D652F9D"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Проведення функціональних випробувань виробів, аналіз працездатності техніки</w:t>
            </w:r>
          </w:p>
        </w:tc>
        <w:tc>
          <w:tcPr>
            <w:tcW w:w="1968" w:type="dxa"/>
          </w:tcPr>
          <w:p w14:paraId="3DE07E11" w14:textId="77777777" w:rsidR="00B44B71" w:rsidRPr="006D5E8E" w:rsidRDefault="00B44B71" w:rsidP="00023291">
            <w:pPr>
              <w:tabs>
                <w:tab w:val="left" w:pos="9638"/>
              </w:tabs>
              <w:ind w:right="-51"/>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Об’єктивність, критичне мислення, уважність, відповідальність</w:t>
            </w:r>
          </w:p>
        </w:tc>
      </w:tr>
      <w:tr w:rsidR="00B44B71" w:rsidRPr="006D5E8E" w14:paraId="1432B8CF" w14:textId="77777777" w:rsidTr="006D5E8E">
        <w:trPr>
          <w:jc w:val="center"/>
        </w:trPr>
        <w:tc>
          <w:tcPr>
            <w:tcW w:w="1403" w:type="dxa"/>
            <w:vAlign w:val="center"/>
          </w:tcPr>
          <w:p w14:paraId="0A2428E2" w14:textId="77777777" w:rsidR="00B44B71" w:rsidRPr="006D5E8E" w:rsidRDefault="00B44B71" w:rsidP="00023291">
            <w:pPr>
              <w:tabs>
                <w:tab w:val="left" w:pos="9638"/>
              </w:tabs>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Передача в підрозділ</w:t>
            </w:r>
          </w:p>
        </w:tc>
        <w:tc>
          <w:tcPr>
            <w:tcW w:w="1701" w:type="dxa"/>
          </w:tcPr>
          <w:p w14:paraId="28411A8E"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t xml:space="preserve">Правила технічного обліку, нормативи експлуатації та </w:t>
            </w:r>
            <w:r w:rsidRPr="006D5E8E">
              <w:rPr>
                <w:rFonts w:ascii="Times New Roman" w:eastAsia="Calibri" w:hAnsi="Times New Roman" w:cs="Times New Roman"/>
                <w:sz w:val="24"/>
                <w:szCs w:val="24"/>
              </w:rPr>
              <w:lastRenderedPageBreak/>
              <w:t>перевезення техніки</w:t>
            </w:r>
          </w:p>
        </w:tc>
        <w:tc>
          <w:tcPr>
            <w:tcW w:w="1701" w:type="dxa"/>
          </w:tcPr>
          <w:p w14:paraId="64A472C1"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lastRenderedPageBreak/>
              <w:t xml:space="preserve">Оформлювати результати ремонту, передача, пояснення особливостей </w:t>
            </w:r>
            <w:r w:rsidRPr="006D5E8E">
              <w:rPr>
                <w:rFonts w:ascii="Times New Roman" w:eastAsia="Calibri" w:hAnsi="Times New Roman" w:cs="Times New Roman"/>
                <w:sz w:val="24"/>
                <w:szCs w:val="24"/>
              </w:rPr>
              <w:lastRenderedPageBreak/>
              <w:t>подальшого використання для запобігання повторних відмов техніки</w:t>
            </w:r>
          </w:p>
        </w:tc>
        <w:tc>
          <w:tcPr>
            <w:tcW w:w="1559" w:type="dxa"/>
          </w:tcPr>
          <w:p w14:paraId="13D346A9"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lastRenderedPageBreak/>
              <w:t xml:space="preserve">Самостійне ведення технічної документації, комунікація </w:t>
            </w:r>
            <w:r w:rsidRPr="006D5E8E">
              <w:rPr>
                <w:rFonts w:ascii="Times New Roman" w:eastAsia="Calibri" w:hAnsi="Times New Roman" w:cs="Times New Roman"/>
                <w:sz w:val="24"/>
                <w:szCs w:val="24"/>
              </w:rPr>
              <w:lastRenderedPageBreak/>
              <w:t>з персоналом, мовні навички</w:t>
            </w:r>
          </w:p>
        </w:tc>
        <w:tc>
          <w:tcPr>
            <w:tcW w:w="1418" w:type="dxa"/>
          </w:tcPr>
          <w:p w14:paraId="2B4A6E21"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lastRenderedPageBreak/>
              <w:t>Оформлення актів прийому/передачі, взаємодія з підрозділа</w:t>
            </w:r>
            <w:r w:rsidRPr="006D5E8E">
              <w:rPr>
                <w:rFonts w:ascii="Times New Roman" w:eastAsia="Calibri" w:hAnsi="Times New Roman" w:cs="Times New Roman"/>
                <w:sz w:val="24"/>
                <w:szCs w:val="24"/>
              </w:rPr>
              <w:lastRenderedPageBreak/>
              <w:t>ми, що експлуатують  техніку</w:t>
            </w:r>
          </w:p>
        </w:tc>
        <w:tc>
          <w:tcPr>
            <w:tcW w:w="1968" w:type="dxa"/>
          </w:tcPr>
          <w:p w14:paraId="616FAC52" w14:textId="77777777" w:rsidR="00B44B71" w:rsidRPr="006D5E8E" w:rsidRDefault="00B44B71" w:rsidP="00023291">
            <w:pPr>
              <w:tabs>
                <w:tab w:val="left" w:pos="9638"/>
              </w:tabs>
              <w:ind w:right="-51"/>
              <w:jc w:val="both"/>
              <w:rPr>
                <w:rFonts w:ascii="Times New Roman" w:eastAsia="Calibri" w:hAnsi="Times New Roman" w:cs="Times New Roman"/>
                <w:sz w:val="24"/>
                <w:szCs w:val="24"/>
              </w:rPr>
            </w:pPr>
            <w:r w:rsidRPr="006D5E8E">
              <w:rPr>
                <w:rFonts w:ascii="Times New Roman" w:eastAsia="Calibri" w:hAnsi="Times New Roman" w:cs="Times New Roman"/>
                <w:sz w:val="24"/>
                <w:szCs w:val="24"/>
              </w:rPr>
              <w:lastRenderedPageBreak/>
              <w:t>Комунікабельність, організованість, відповідальність, обізнанність,</w:t>
            </w:r>
          </w:p>
        </w:tc>
      </w:tr>
    </w:tbl>
    <w:p w14:paraId="78E889B4"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8"/>
          <w:szCs w:val="28"/>
          <w:lang w:val="uk-UA"/>
          <w14:ligatures w14:val="none"/>
        </w:rPr>
      </w:pPr>
    </w:p>
    <w:p w14:paraId="0BF7BA8D"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8"/>
          <w:szCs w:val="28"/>
          <w:lang w:val="uk-UA"/>
          <w14:ligatures w14:val="none"/>
        </w:rPr>
      </w:pPr>
      <w:r w:rsidRPr="00B44B71">
        <w:rPr>
          <w:rFonts w:ascii="Times New Roman" w:eastAsia="Times New Roman" w:hAnsi="Times New Roman" w:cs="Times New Roman"/>
          <w:color w:val="000000"/>
          <w:kern w:val="0"/>
          <w:sz w:val="28"/>
          <w:szCs w:val="28"/>
          <w:lang w:val="uk-UA"/>
          <w14:ligatures w14:val="none"/>
        </w:rPr>
        <w:t xml:space="preserve">В оприлюднених матеріалах Військової академії (м. Одеса) освітній процес подається як такий, що орієнтований на формування компетентностей [1-2]. </w:t>
      </w:r>
    </w:p>
    <w:p w14:paraId="39BC65F3"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8"/>
          <w:szCs w:val="28"/>
          <w:lang w:val="uk-UA"/>
          <w14:ligatures w14:val="none"/>
        </w:rPr>
      </w:pPr>
      <w:r w:rsidRPr="00B44B71">
        <w:rPr>
          <w:rFonts w:ascii="Times New Roman" w:eastAsia="Times New Roman" w:hAnsi="Times New Roman" w:cs="Times New Roman"/>
          <w:color w:val="000000"/>
          <w:kern w:val="0"/>
          <w:sz w:val="28"/>
          <w:szCs w:val="28"/>
          <w:lang w:val="uk-UA"/>
          <w14:ligatures w14:val="none"/>
        </w:rPr>
        <w:t xml:space="preserve">У сучасних наукових публікаціях це конкретизується через вимоги до розвитку когнітивних навичок, критичного мислення, системного підходу до навчання, інформаційно-комунікаційної компетентності, практичної підготовки, готовності до безперервного професійного розвитку, тощо [7-9]. </w:t>
      </w:r>
    </w:p>
    <w:p w14:paraId="0B9FF3FF"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color w:val="000000"/>
          <w:kern w:val="0"/>
          <w:sz w:val="28"/>
          <w:szCs w:val="28"/>
          <w:lang w:val="uk-UA"/>
          <w14:ligatures w14:val="none"/>
        </w:rPr>
      </w:pPr>
      <w:r w:rsidRPr="00B44B71">
        <w:rPr>
          <w:rFonts w:ascii="Times New Roman" w:eastAsia="Calibri" w:hAnsi="Times New Roman" w:cs="Times New Roman"/>
          <w:color w:val="000000"/>
          <w:kern w:val="0"/>
          <w:sz w:val="28"/>
          <w:szCs w:val="28"/>
          <w:lang w:val="uk-UA"/>
          <w14:ligatures w14:val="none"/>
        </w:rPr>
        <w:t xml:space="preserve">На основі зіставлення сучасних підходів військової освіти та логіки ремонтного циклу доцільно виокремити компетентності, які є </w:t>
      </w:r>
      <w:r w:rsidRPr="00B44B71">
        <w:rPr>
          <w:rFonts w:ascii="Times New Roman" w:eastAsia="Calibri" w:hAnsi="Times New Roman" w:cs="Times New Roman"/>
          <w:bCs/>
          <w:color w:val="000000"/>
          <w:kern w:val="0"/>
          <w:sz w:val="28"/>
          <w:szCs w:val="28"/>
          <w:lang w:val="uk-UA"/>
          <w14:ligatures w14:val="none"/>
        </w:rPr>
        <w:t>критично необхідними для розвитку технічного мислення</w:t>
      </w:r>
      <w:r w:rsidRPr="00B44B71">
        <w:rPr>
          <w:rFonts w:ascii="Times New Roman" w:eastAsia="Calibri" w:hAnsi="Times New Roman" w:cs="Times New Roman"/>
          <w:color w:val="000000"/>
          <w:kern w:val="0"/>
          <w:sz w:val="28"/>
          <w:szCs w:val="28"/>
          <w:lang w:val="uk-UA"/>
          <w14:ligatures w14:val="none"/>
        </w:rPr>
        <w:t xml:space="preserve"> майбутнього офіцера з ремонту артилерійського озброєння:</w:t>
      </w:r>
    </w:p>
    <w:p w14:paraId="12603383" w14:textId="77777777" w:rsidR="00B44B71" w:rsidRPr="00B44B71" w:rsidRDefault="00B44B71" w:rsidP="00023291">
      <w:pPr>
        <w:numPr>
          <w:ilvl w:val="0"/>
          <w:numId w:val="14"/>
        </w:numPr>
        <w:tabs>
          <w:tab w:val="left" w:pos="9638"/>
        </w:tabs>
        <w:spacing w:after="0" w:line="240" w:lineRule="auto"/>
        <w:contextualSpacing/>
        <w:jc w:val="both"/>
        <w:rPr>
          <w:rFonts w:ascii="Times New Roman" w:eastAsia="Calibri" w:hAnsi="Times New Roman" w:cs="Times New Roman"/>
          <w:color w:val="000000"/>
          <w:kern w:val="0"/>
          <w:sz w:val="28"/>
          <w:szCs w:val="28"/>
          <w:lang w:val="uk-UA"/>
          <w14:ligatures w14:val="none"/>
        </w:rPr>
      </w:pPr>
      <w:r w:rsidRPr="00B44B71">
        <w:rPr>
          <w:rFonts w:ascii="Times New Roman" w:eastAsia="Calibri" w:hAnsi="Times New Roman" w:cs="Times New Roman"/>
          <w:bCs/>
          <w:color w:val="000000"/>
          <w:kern w:val="0"/>
          <w:sz w:val="28"/>
          <w:szCs w:val="28"/>
          <w:lang w:val="uk-UA"/>
          <w14:ligatures w14:val="none"/>
        </w:rPr>
        <w:t>Техніко-системну компетентність</w:t>
      </w:r>
      <w:r w:rsidRPr="00B44B71">
        <w:rPr>
          <w:rFonts w:ascii="Times New Roman" w:eastAsia="Calibri" w:hAnsi="Times New Roman" w:cs="Times New Roman"/>
          <w:color w:val="000000"/>
          <w:kern w:val="0"/>
          <w:sz w:val="28"/>
          <w:szCs w:val="28"/>
          <w:lang w:val="uk-UA"/>
          <w14:ligatures w14:val="none"/>
        </w:rPr>
        <w:t xml:space="preserve"> </w:t>
      </w:r>
      <w:r w:rsidRPr="00B44B71">
        <w:rPr>
          <w:rFonts w:ascii="Times New Roman" w:eastAsia="Calibri" w:hAnsi="Times New Roman" w:cs="Times New Roman"/>
          <w:color w:val="000000"/>
          <w:kern w:val="0"/>
          <w:sz w:val="28"/>
          <w:szCs w:val="28"/>
          <w:lang w:val="ru-RU"/>
          <w14:ligatures w14:val="none"/>
        </w:rPr>
        <w:t>‒</w:t>
      </w:r>
      <w:r w:rsidRPr="00B44B71">
        <w:rPr>
          <w:rFonts w:ascii="Times New Roman" w:eastAsia="Calibri" w:hAnsi="Times New Roman" w:cs="Times New Roman"/>
          <w:color w:val="000000"/>
          <w:kern w:val="0"/>
          <w:sz w:val="28"/>
          <w:szCs w:val="28"/>
          <w:lang w:val="uk-UA"/>
          <w14:ligatures w14:val="none"/>
        </w:rPr>
        <w:t xml:space="preserve"> здатність бачити зразок озброєння як цілісну функціональну систему.</w:t>
      </w:r>
    </w:p>
    <w:p w14:paraId="0FA4F312" w14:textId="77777777" w:rsidR="00B44B71" w:rsidRPr="00B44B71" w:rsidRDefault="00B44B71" w:rsidP="00023291">
      <w:pPr>
        <w:numPr>
          <w:ilvl w:val="0"/>
          <w:numId w:val="14"/>
        </w:numPr>
        <w:tabs>
          <w:tab w:val="left" w:pos="9638"/>
        </w:tabs>
        <w:spacing w:after="0" w:line="240" w:lineRule="auto"/>
        <w:contextualSpacing/>
        <w:jc w:val="both"/>
        <w:rPr>
          <w:rFonts w:ascii="Times New Roman" w:eastAsia="Calibri" w:hAnsi="Times New Roman" w:cs="Times New Roman"/>
          <w:color w:val="000000"/>
          <w:kern w:val="0"/>
          <w:sz w:val="28"/>
          <w:szCs w:val="28"/>
          <w:lang w:val="uk-UA"/>
          <w14:ligatures w14:val="none"/>
        </w:rPr>
      </w:pPr>
      <w:r w:rsidRPr="00B44B71">
        <w:rPr>
          <w:rFonts w:ascii="Times New Roman" w:eastAsia="Calibri" w:hAnsi="Times New Roman" w:cs="Times New Roman"/>
          <w:bCs/>
          <w:color w:val="000000"/>
          <w:kern w:val="0"/>
          <w:sz w:val="28"/>
          <w:szCs w:val="28"/>
          <w:lang w:val="uk-UA"/>
          <w14:ligatures w14:val="none"/>
        </w:rPr>
        <w:t>Діагностично-алгоритмічну компетентність</w:t>
      </w:r>
      <w:r w:rsidRPr="00B44B71">
        <w:rPr>
          <w:rFonts w:ascii="Times New Roman" w:eastAsia="Calibri" w:hAnsi="Times New Roman" w:cs="Times New Roman"/>
          <w:color w:val="000000"/>
          <w:kern w:val="0"/>
          <w:sz w:val="28"/>
          <w:szCs w:val="28"/>
          <w:lang w:val="uk-UA"/>
          <w14:ligatures w14:val="none"/>
        </w:rPr>
        <w:t xml:space="preserve"> </w:t>
      </w:r>
      <w:r w:rsidRPr="00B44B71">
        <w:rPr>
          <w:rFonts w:ascii="Times New Roman" w:eastAsia="Calibri" w:hAnsi="Times New Roman" w:cs="Times New Roman"/>
          <w:color w:val="000000"/>
          <w:kern w:val="0"/>
          <w:sz w:val="28"/>
          <w:szCs w:val="28"/>
          <w:lang w:val="ru-RU"/>
          <w14:ligatures w14:val="none"/>
        </w:rPr>
        <w:t>‒</w:t>
      </w:r>
      <w:r w:rsidRPr="00B44B71">
        <w:rPr>
          <w:rFonts w:ascii="Times New Roman" w:eastAsia="Calibri" w:hAnsi="Times New Roman" w:cs="Times New Roman"/>
          <w:color w:val="000000"/>
          <w:kern w:val="0"/>
          <w:sz w:val="28"/>
          <w:szCs w:val="28"/>
          <w:lang w:val="uk-UA"/>
          <w14:ligatures w14:val="none"/>
        </w:rPr>
        <w:t xml:space="preserve"> здатність визначати джерело несправності, будувати послідовність перевірки та перевіряти технічні гіпотези.</w:t>
      </w:r>
    </w:p>
    <w:p w14:paraId="460DC225" w14:textId="77777777" w:rsidR="00B44B71" w:rsidRPr="00B44B71" w:rsidRDefault="00B44B71" w:rsidP="00023291">
      <w:pPr>
        <w:numPr>
          <w:ilvl w:val="0"/>
          <w:numId w:val="14"/>
        </w:numPr>
        <w:tabs>
          <w:tab w:val="left" w:pos="9638"/>
        </w:tabs>
        <w:spacing w:after="0" w:line="240" w:lineRule="auto"/>
        <w:contextualSpacing/>
        <w:jc w:val="both"/>
        <w:rPr>
          <w:rFonts w:ascii="Times New Roman" w:eastAsia="Calibri" w:hAnsi="Times New Roman" w:cs="Times New Roman"/>
          <w:color w:val="000000"/>
          <w:kern w:val="0"/>
          <w:sz w:val="28"/>
          <w:szCs w:val="28"/>
          <w:lang w:val="uk-UA"/>
          <w14:ligatures w14:val="none"/>
        </w:rPr>
      </w:pPr>
      <w:r w:rsidRPr="00B44B71">
        <w:rPr>
          <w:rFonts w:ascii="Times New Roman" w:eastAsia="Calibri" w:hAnsi="Times New Roman" w:cs="Times New Roman"/>
          <w:bCs/>
          <w:color w:val="000000"/>
          <w:kern w:val="0"/>
          <w:sz w:val="28"/>
          <w:szCs w:val="28"/>
          <w:lang w:val="uk-UA"/>
          <w14:ligatures w14:val="none"/>
        </w:rPr>
        <w:t>Просторово-конструктивну компетентність</w:t>
      </w:r>
      <w:r w:rsidRPr="00B44B71">
        <w:rPr>
          <w:rFonts w:ascii="Times New Roman" w:eastAsia="Calibri" w:hAnsi="Times New Roman" w:cs="Times New Roman"/>
          <w:color w:val="000000"/>
          <w:kern w:val="0"/>
          <w:sz w:val="28"/>
          <w:szCs w:val="28"/>
          <w:lang w:val="uk-UA"/>
          <w14:ligatures w14:val="none"/>
        </w:rPr>
        <w:t xml:space="preserve"> </w:t>
      </w:r>
      <w:r w:rsidRPr="00B44B71">
        <w:rPr>
          <w:rFonts w:ascii="Times New Roman" w:eastAsia="Calibri" w:hAnsi="Times New Roman" w:cs="Times New Roman"/>
          <w:color w:val="000000"/>
          <w:kern w:val="0"/>
          <w:sz w:val="28"/>
          <w:szCs w:val="28"/>
          <w:lang w:val="ru-RU"/>
          <w14:ligatures w14:val="none"/>
        </w:rPr>
        <w:t>‒</w:t>
      </w:r>
      <w:r w:rsidRPr="00B44B71">
        <w:rPr>
          <w:rFonts w:ascii="Times New Roman" w:eastAsia="Calibri" w:hAnsi="Times New Roman" w:cs="Times New Roman"/>
          <w:color w:val="000000"/>
          <w:kern w:val="0"/>
          <w:sz w:val="28"/>
          <w:szCs w:val="28"/>
          <w:lang w:val="uk-UA"/>
          <w14:ligatures w14:val="none"/>
        </w:rPr>
        <w:t xml:space="preserve"> здатність оперувати просторовими уявленнями під час розбирання, збирання, регулювання і калібрування.</w:t>
      </w:r>
    </w:p>
    <w:p w14:paraId="18DDDFA8" w14:textId="77777777" w:rsidR="00B44B71" w:rsidRPr="00B44B71" w:rsidRDefault="00B44B71" w:rsidP="00023291">
      <w:pPr>
        <w:numPr>
          <w:ilvl w:val="0"/>
          <w:numId w:val="14"/>
        </w:numPr>
        <w:tabs>
          <w:tab w:val="left" w:pos="9638"/>
        </w:tabs>
        <w:spacing w:after="0" w:line="240" w:lineRule="auto"/>
        <w:contextualSpacing/>
        <w:jc w:val="both"/>
        <w:rPr>
          <w:rFonts w:ascii="Times New Roman" w:eastAsia="Calibri" w:hAnsi="Times New Roman" w:cs="Times New Roman"/>
          <w:color w:val="000000"/>
          <w:kern w:val="0"/>
          <w:sz w:val="28"/>
          <w:szCs w:val="28"/>
          <w:lang w:val="uk-UA"/>
          <w14:ligatures w14:val="none"/>
        </w:rPr>
      </w:pPr>
      <w:r w:rsidRPr="00B44B71">
        <w:rPr>
          <w:rFonts w:ascii="Times New Roman" w:eastAsia="Calibri" w:hAnsi="Times New Roman" w:cs="Times New Roman"/>
          <w:bCs/>
          <w:color w:val="000000"/>
          <w:kern w:val="0"/>
          <w:sz w:val="28"/>
          <w:szCs w:val="28"/>
          <w:lang w:val="uk-UA"/>
          <w14:ligatures w14:val="none"/>
        </w:rPr>
        <w:t>Техніко-документаційну компетентність</w:t>
      </w:r>
      <w:r w:rsidRPr="00B44B71">
        <w:rPr>
          <w:rFonts w:ascii="Times New Roman" w:eastAsia="Calibri" w:hAnsi="Times New Roman" w:cs="Times New Roman"/>
          <w:color w:val="000000"/>
          <w:kern w:val="0"/>
          <w:sz w:val="28"/>
          <w:szCs w:val="28"/>
          <w:lang w:val="uk-UA"/>
          <w14:ligatures w14:val="none"/>
        </w:rPr>
        <w:t xml:space="preserve"> </w:t>
      </w:r>
      <w:r w:rsidRPr="00B44B71">
        <w:rPr>
          <w:rFonts w:ascii="Times New Roman" w:eastAsia="Calibri" w:hAnsi="Times New Roman" w:cs="Times New Roman"/>
          <w:color w:val="000000"/>
          <w:kern w:val="0"/>
          <w:sz w:val="28"/>
          <w:szCs w:val="28"/>
          <w:lang w:val="ru-RU"/>
          <w14:ligatures w14:val="none"/>
        </w:rPr>
        <w:t>‒</w:t>
      </w:r>
      <w:r w:rsidRPr="00B44B71">
        <w:rPr>
          <w:rFonts w:ascii="Times New Roman" w:eastAsia="Calibri" w:hAnsi="Times New Roman" w:cs="Times New Roman"/>
          <w:color w:val="000000"/>
          <w:kern w:val="0"/>
          <w:sz w:val="28"/>
          <w:szCs w:val="28"/>
          <w:lang w:val="uk-UA"/>
          <w14:ligatures w14:val="none"/>
        </w:rPr>
        <w:t xml:space="preserve"> здатність працювати з технічною документацією, журналами, актами, цифровими джерелами та результатами вимірювань.</w:t>
      </w:r>
    </w:p>
    <w:p w14:paraId="12D9FE2F" w14:textId="77777777" w:rsidR="00B44B71" w:rsidRPr="00B44B71" w:rsidRDefault="00B44B71" w:rsidP="00023291">
      <w:pPr>
        <w:numPr>
          <w:ilvl w:val="0"/>
          <w:numId w:val="14"/>
        </w:numPr>
        <w:tabs>
          <w:tab w:val="left" w:pos="9638"/>
        </w:tabs>
        <w:spacing w:after="0" w:line="240" w:lineRule="auto"/>
        <w:contextualSpacing/>
        <w:jc w:val="both"/>
        <w:rPr>
          <w:rFonts w:ascii="Times New Roman" w:eastAsia="Calibri" w:hAnsi="Times New Roman" w:cs="Times New Roman"/>
          <w:color w:val="000000"/>
          <w:kern w:val="0"/>
          <w:sz w:val="28"/>
          <w:szCs w:val="28"/>
          <w:lang w:val="uk-UA"/>
          <w14:ligatures w14:val="none"/>
        </w:rPr>
      </w:pPr>
      <w:r w:rsidRPr="00B44B71">
        <w:rPr>
          <w:rFonts w:ascii="Times New Roman" w:eastAsia="Calibri" w:hAnsi="Times New Roman" w:cs="Times New Roman"/>
          <w:bCs/>
          <w:color w:val="000000"/>
          <w:kern w:val="0"/>
          <w:sz w:val="28"/>
          <w:szCs w:val="28"/>
          <w:lang w:val="uk-UA"/>
          <w14:ligatures w14:val="none"/>
        </w:rPr>
        <w:t>Рефлексивно-коригувальну компетентність</w:t>
      </w:r>
      <w:r w:rsidRPr="00B44B71">
        <w:rPr>
          <w:rFonts w:ascii="Times New Roman" w:eastAsia="Calibri" w:hAnsi="Times New Roman" w:cs="Times New Roman"/>
          <w:color w:val="000000"/>
          <w:kern w:val="0"/>
          <w:sz w:val="28"/>
          <w:szCs w:val="28"/>
          <w:lang w:val="uk-UA"/>
          <w14:ligatures w14:val="none"/>
        </w:rPr>
        <w:t xml:space="preserve"> </w:t>
      </w:r>
      <w:r w:rsidRPr="00B44B71">
        <w:rPr>
          <w:rFonts w:ascii="Times New Roman" w:eastAsia="Calibri" w:hAnsi="Times New Roman" w:cs="Times New Roman"/>
          <w:color w:val="000000"/>
          <w:kern w:val="0"/>
          <w:sz w:val="28"/>
          <w:szCs w:val="28"/>
          <w:lang w:val="ru-RU"/>
          <w14:ligatures w14:val="none"/>
        </w:rPr>
        <w:t>‒</w:t>
      </w:r>
      <w:r w:rsidRPr="00B44B71">
        <w:rPr>
          <w:rFonts w:ascii="Times New Roman" w:eastAsia="Calibri" w:hAnsi="Times New Roman" w:cs="Times New Roman"/>
          <w:color w:val="000000"/>
          <w:kern w:val="0"/>
          <w:sz w:val="28"/>
          <w:szCs w:val="28"/>
          <w:lang w:val="uk-UA"/>
          <w14:ligatures w14:val="none"/>
        </w:rPr>
        <w:t xml:space="preserve"> здатність аналізувати власні технічні рішення, виявляти помилки і коригувати дії.</w:t>
      </w:r>
    </w:p>
    <w:p w14:paraId="4FF915DC" w14:textId="77777777" w:rsidR="00B44B71" w:rsidRPr="00B44B71" w:rsidRDefault="00B44B71" w:rsidP="00023291">
      <w:pPr>
        <w:numPr>
          <w:ilvl w:val="0"/>
          <w:numId w:val="14"/>
        </w:numPr>
        <w:tabs>
          <w:tab w:val="left" w:pos="9638"/>
        </w:tabs>
        <w:spacing w:after="0" w:line="240" w:lineRule="auto"/>
        <w:contextualSpacing/>
        <w:jc w:val="both"/>
        <w:rPr>
          <w:rFonts w:ascii="Times New Roman" w:eastAsia="Calibri" w:hAnsi="Times New Roman" w:cs="Times New Roman"/>
          <w:color w:val="000000"/>
          <w:kern w:val="0"/>
          <w:sz w:val="28"/>
          <w:szCs w:val="28"/>
          <w:lang w:val="uk-UA"/>
          <w14:ligatures w14:val="none"/>
        </w:rPr>
      </w:pPr>
      <w:r w:rsidRPr="00B44B71">
        <w:rPr>
          <w:rFonts w:ascii="Times New Roman" w:eastAsia="Calibri" w:hAnsi="Times New Roman" w:cs="Times New Roman"/>
          <w:bCs/>
          <w:color w:val="000000"/>
          <w:kern w:val="0"/>
          <w:sz w:val="28"/>
          <w:szCs w:val="28"/>
          <w:lang w:val="uk-UA"/>
          <w14:ligatures w14:val="none"/>
        </w:rPr>
        <w:t>Компетентність прийняття технічних рішень</w:t>
      </w:r>
      <w:r w:rsidRPr="00B44B71">
        <w:rPr>
          <w:rFonts w:ascii="Times New Roman" w:eastAsia="Calibri" w:hAnsi="Times New Roman" w:cs="Times New Roman"/>
          <w:color w:val="000000"/>
          <w:kern w:val="0"/>
          <w:sz w:val="28"/>
          <w:szCs w:val="28"/>
          <w:lang w:val="uk-UA"/>
          <w14:ligatures w14:val="none"/>
        </w:rPr>
        <w:t xml:space="preserve"> ‒ здатність визначати не лише можливість, а й доцільність ремонту з урахуванням часу, ресурсу, надійності та подальшої експлуатації. </w:t>
      </w:r>
    </w:p>
    <w:p w14:paraId="21C86906"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Проаналізувавши наукові роботи, джерела, що містять інформацію про компетентності, які повинен надати ВВНЗ майбутнім офіцерам за спеціальностями технічного призначення та бойовий досвід, дійшли висновку, що рівень сформованості компетентностей, передбачених освітньо-професійною програмою (ОПП) спеціальності «G3 Електрична інженерія», спеціалізації «Експлуатація та ремонт ракетно-артилерійського озброєння» можна суттєво підвищити, якщо спрямувати здобувачів вищої освіти на формування технічного мислення, як підґрунтя формування зазначених компетентностей.  </w:t>
      </w:r>
    </w:p>
    <w:p w14:paraId="2071C554"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B44B71">
        <w:rPr>
          <w:rFonts w:ascii="Times New Roman" w:eastAsia="Calibri" w:hAnsi="Times New Roman" w:cs="Times New Roman"/>
          <w:kern w:val="0"/>
          <w:sz w:val="28"/>
          <w:szCs w:val="28"/>
          <w:lang w:val="uk-UA"/>
          <w14:ligatures w14:val="none"/>
        </w:rPr>
        <w:t xml:space="preserve">Далі нами узагальнено складові підготовки майбутніх офіцерів технічних спеціальностей у ВВНЗ у поєднанні з програмними вимогами до здобувачів </w:t>
      </w:r>
      <w:r w:rsidRPr="00B44B71">
        <w:rPr>
          <w:rFonts w:ascii="Times New Roman" w:eastAsia="Calibri" w:hAnsi="Times New Roman" w:cs="Times New Roman"/>
          <w:kern w:val="0"/>
          <w:sz w:val="28"/>
          <w:szCs w:val="28"/>
          <w:lang w:val="uk-UA"/>
          <w14:ligatures w14:val="none"/>
        </w:rPr>
        <w:lastRenderedPageBreak/>
        <w:t>освіти та окреслено конкретні напрями покращення кожної складової. Результат демонструє таблиця 2.</w:t>
      </w:r>
    </w:p>
    <w:p w14:paraId="47ABD931" w14:textId="77777777" w:rsidR="00B44B71" w:rsidRPr="00B44B71" w:rsidRDefault="00B44B71" w:rsidP="00023291">
      <w:pPr>
        <w:tabs>
          <w:tab w:val="left" w:pos="9638"/>
        </w:tabs>
        <w:spacing w:after="0" w:line="240" w:lineRule="auto"/>
        <w:jc w:val="right"/>
        <w:rPr>
          <w:rFonts w:ascii="Times New Roman" w:eastAsia="Calibri" w:hAnsi="Times New Roman" w:cs="Times New Roman"/>
          <w:iCs/>
          <w:kern w:val="0"/>
          <w:sz w:val="28"/>
          <w:szCs w:val="28"/>
          <w:lang w:val="uk-UA"/>
          <w14:ligatures w14:val="none"/>
        </w:rPr>
      </w:pPr>
      <w:r w:rsidRPr="00B44B71">
        <w:rPr>
          <w:rFonts w:ascii="Times New Roman" w:eastAsia="Calibri" w:hAnsi="Times New Roman" w:cs="Times New Roman"/>
          <w:iCs/>
          <w:kern w:val="0"/>
          <w:sz w:val="28"/>
          <w:szCs w:val="28"/>
          <w:lang w:val="uk-UA"/>
          <w14:ligatures w14:val="none"/>
        </w:rPr>
        <w:t>Таблиця 2</w:t>
      </w:r>
    </w:p>
    <w:p w14:paraId="26B8170D" w14:textId="77777777" w:rsidR="00B44B71" w:rsidRPr="00B44B71" w:rsidRDefault="00B44B71" w:rsidP="00023291">
      <w:pPr>
        <w:tabs>
          <w:tab w:val="left" w:pos="9638"/>
        </w:tabs>
        <w:spacing w:after="0" w:line="240" w:lineRule="auto"/>
        <w:jc w:val="center"/>
        <w:rPr>
          <w:rFonts w:ascii="Times New Roman" w:eastAsia="Calibri" w:hAnsi="Times New Roman" w:cs="Times New Roman"/>
          <w:b/>
          <w:bCs/>
          <w:kern w:val="0"/>
          <w:sz w:val="28"/>
          <w:szCs w:val="28"/>
          <w:lang w:val="uk-UA"/>
          <w14:ligatures w14:val="none"/>
        </w:rPr>
      </w:pPr>
      <w:r w:rsidRPr="00B44B71">
        <w:rPr>
          <w:rFonts w:ascii="Times New Roman" w:eastAsia="Calibri" w:hAnsi="Times New Roman" w:cs="Times New Roman"/>
          <w:b/>
          <w:bCs/>
          <w:kern w:val="0"/>
          <w:sz w:val="28"/>
          <w:szCs w:val="28"/>
          <w:lang w:val="uk-UA"/>
          <w14:ligatures w14:val="none"/>
        </w:rPr>
        <w:t>Зв’язок складових підготовки з програмними вимогами до майбутніх офіцерів технічних спеціальностей</w:t>
      </w:r>
    </w:p>
    <w:tbl>
      <w:tblPr>
        <w:tblStyle w:val="90"/>
        <w:tblW w:w="0" w:type="auto"/>
        <w:jc w:val="center"/>
        <w:tblLook w:val="04A0" w:firstRow="1" w:lastRow="0" w:firstColumn="1" w:lastColumn="0" w:noHBand="0" w:noVBand="1"/>
      </w:tblPr>
      <w:tblGrid>
        <w:gridCol w:w="2622"/>
        <w:gridCol w:w="4211"/>
        <w:gridCol w:w="2945"/>
      </w:tblGrid>
      <w:tr w:rsidR="00B44B71" w:rsidRPr="006D5E8E" w14:paraId="718DC757" w14:textId="77777777" w:rsidTr="00F918EC">
        <w:trPr>
          <w:jc w:val="center"/>
        </w:trPr>
        <w:tc>
          <w:tcPr>
            <w:tcW w:w="2622" w:type="dxa"/>
            <w:vAlign w:val="center"/>
          </w:tcPr>
          <w:p w14:paraId="7F5916ED" w14:textId="77777777" w:rsidR="00B44B71" w:rsidRPr="006D5E8E" w:rsidRDefault="00B44B71" w:rsidP="00023291">
            <w:pPr>
              <w:tabs>
                <w:tab w:val="left" w:pos="9638"/>
              </w:tabs>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Складові підготовки ВВНЗ</w:t>
            </w:r>
          </w:p>
        </w:tc>
        <w:tc>
          <w:tcPr>
            <w:tcW w:w="4211" w:type="dxa"/>
            <w:vAlign w:val="center"/>
          </w:tcPr>
          <w:p w14:paraId="17D16DB3" w14:textId="77777777" w:rsidR="00B44B71" w:rsidRPr="006D5E8E" w:rsidRDefault="00B44B71" w:rsidP="00023291">
            <w:pPr>
              <w:tabs>
                <w:tab w:val="left" w:pos="9638"/>
              </w:tabs>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 xml:space="preserve">Компетентності </w:t>
            </w:r>
          </w:p>
          <w:p w14:paraId="586A1935" w14:textId="77777777" w:rsidR="00B44B71" w:rsidRPr="006D5E8E" w:rsidRDefault="00B44B71" w:rsidP="00023291">
            <w:pPr>
              <w:tabs>
                <w:tab w:val="left" w:pos="9638"/>
              </w:tabs>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(програмні вимоги)</w:t>
            </w:r>
          </w:p>
        </w:tc>
        <w:tc>
          <w:tcPr>
            <w:tcW w:w="2945" w:type="dxa"/>
            <w:vAlign w:val="center"/>
          </w:tcPr>
          <w:p w14:paraId="7955F465" w14:textId="77777777" w:rsidR="00B44B71" w:rsidRPr="006D5E8E" w:rsidRDefault="00B44B71" w:rsidP="00023291">
            <w:pPr>
              <w:tabs>
                <w:tab w:val="left" w:pos="9638"/>
              </w:tabs>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Шляхи покращення</w:t>
            </w:r>
          </w:p>
        </w:tc>
      </w:tr>
      <w:tr w:rsidR="00B44B71" w:rsidRPr="006D5E8E" w14:paraId="409198F6" w14:textId="77777777" w:rsidTr="00F918EC">
        <w:trPr>
          <w:jc w:val="center"/>
        </w:trPr>
        <w:tc>
          <w:tcPr>
            <w:tcW w:w="2622" w:type="dxa"/>
            <w:vAlign w:val="center"/>
          </w:tcPr>
          <w:p w14:paraId="67255029" w14:textId="77777777" w:rsidR="00B44B71" w:rsidRPr="006D5E8E" w:rsidRDefault="00B44B71" w:rsidP="00023291">
            <w:pPr>
              <w:tabs>
                <w:tab w:val="left" w:pos="9638"/>
              </w:tabs>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1</w:t>
            </w:r>
          </w:p>
        </w:tc>
        <w:tc>
          <w:tcPr>
            <w:tcW w:w="4211" w:type="dxa"/>
            <w:vAlign w:val="center"/>
          </w:tcPr>
          <w:p w14:paraId="1D8122F7" w14:textId="77777777" w:rsidR="00B44B71" w:rsidRPr="006D5E8E" w:rsidRDefault="00B44B71" w:rsidP="00023291">
            <w:pPr>
              <w:tabs>
                <w:tab w:val="left" w:pos="9638"/>
              </w:tabs>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2</w:t>
            </w:r>
          </w:p>
        </w:tc>
        <w:tc>
          <w:tcPr>
            <w:tcW w:w="2945" w:type="dxa"/>
            <w:vAlign w:val="center"/>
          </w:tcPr>
          <w:p w14:paraId="7E27310C" w14:textId="77777777" w:rsidR="00B44B71" w:rsidRPr="006D5E8E" w:rsidRDefault="00B44B71" w:rsidP="00023291">
            <w:pPr>
              <w:tabs>
                <w:tab w:val="left" w:pos="9638"/>
              </w:tabs>
              <w:jc w:val="center"/>
              <w:rPr>
                <w:rFonts w:ascii="Times New Roman" w:eastAsia="Calibri" w:hAnsi="Times New Roman" w:cs="Times New Roman"/>
                <w:b/>
                <w:sz w:val="24"/>
                <w:szCs w:val="24"/>
              </w:rPr>
            </w:pPr>
            <w:r w:rsidRPr="006D5E8E">
              <w:rPr>
                <w:rFonts w:ascii="Times New Roman" w:eastAsia="Calibri" w:hAnsi="Times New Roman" w:cs="Times New Roman"/>
                <w:b/>
                <w:sz w:val="24"/>
                <w:szCs w:val="24"/>
              </w:rPr>
              <w:t>3</w:t>
            </w:r>
          </w:p>
        </w:tc>
      </w:tr>
      <w:tr w:rsidR="00B44B71" w:rsidRPr="006D5E8E" w14:paraId="34413296" w14:textId="77777777" w:rsidTr="00F918EC">
        <w:trPr>
          <w:jc w:val="center"/>
        </w:trPr>
        <w:tc>
          <w:tcPr>
            <w:tcW w:w="2622" w:type="dxa"/>
          </w:tcPr>
          <w:p w14:paraId="2CA5FC18" w14:textId="77777777" w:rsidR="00B44B71" w:rsidRPr="006D5E8E" w:rsidRDefault="00B44B71" w:rsidP="00023291">
            <w:pPr>
              <w:tabs>
                <w:tab w:val="left" w:pos="9638"/>
              </w:tabs>
              <w:jc w:val="center"/>
              <w:rPr>
                <w:rFonts w:ascii="Times New Roman" w:eastAsia="Calibri" w:hAnsi="Times New Roman" w:cs="Times New Roman"/>
                <w:sz w:val="24"/>
                <w:szCs w:val="24"/>
              </w:rPr>
            </w:pPr>
            <w:r w:rsidRPr="006D5E8E">
              <w:rPr>
                <w:rFonts w:ascii="Times New Roman" w:eastAsia="Times New Roman" w:hAnsi="Times New Roman" w:cs="Times New Roman"/>
                <w:sz w:val="24"/>
                <w:szCs w:val="24"/>
              </w:rPr>
              <w:t>Когнітивна підготовка: засвоєння технічних знань, понять, принципів функціонування систем</w:t>
            </w:r>
          </w:p>
        </w:tc>
        <w:tc>
          <w:tcPr>
            <w:tcW w:w="4211" w:type="dxa"/>
            <w:vAlign w:val="center"/>
          </w:tcPr>
          <w:p w14:paraId="76C4FFAE"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Times New Roman" w:hAnsi="Times New Roman" w:cs="Times New Roman"/>
                <w:sz w:val="24"/>
                <w:szCs w:val="24"/>
              </w:rPr>
              <w:t>Техніко-системна компетентність: бачення зразка як цілісної системи, встановлення зв’язків між вузлами, режимами роботи та відмовами</w:t>
            </w:r>
          </w:p>
        </w:tc>
        <w:tc>
          <w:tcPr>
            <w:tcW w:w="2945" w:type="dxa"/>
          </w:tcPr>
          <w:p w14:paraId="7E91A3AD" w14:textId="77777777" w:rsidR="00B44B71" w:rsidRPr="006D5E8E" w:rsidRDefault="00B44B71" w:rsidP="00023291">
            <w:pPr>
              <w:tabs>
                <w:tab w:val="left" w:pos="9638"/>
              </w:tabs>
              <w:ind w:right="-75"/>
              <w:jc w:val="both"/>
              <w:rPr>
                <w:rFonts w:ascii="Times New Roman" w:eastAsia="Calibri" w:hAnsi="Times New Roman" w:cs="Times New Roman"/>
                <w:sz w:val="24"/>
                <w:szCs w:val="24"/>
              </w:rPr>
            </w:pPr>
            <w:r w:rsidRPr="006D5E8E">
              <w:rPr>
                <w:rFonts w:ascii="Times New Roman" w:eastAsia="Times New Roman" w:hAnsi="Times New Roman" w:cs="Times New Roman"/>
                <w:sz w:val="24"/>
                <w:szCs w:val="24"/>
              </w:rPr>
              <w:t>Посилити міждисциплінарний аналіз технічних систем і причинно-наслідкові задачі</w:t>
            </w:r>
          </w:p>
        </w:tc>
      </w:tr>
      <w:tr w:rsidR="00B44B71" w:rsidRPr="006D5E8E" w14:paraId="48537E19" w14:textId="77777777" w:rsidTr="00F918EC">
        <w:trPr>
          <w:jc w:val="center"/>
        </w:trPr>
        <w:tc>
          <w:tcPr>
            <w:tcW w:w="2622" w:type="dxa"/>
            <w:vAlign w:val="center"/>
          </w:tcPr>
          <w:p w14:paraId="443E7F61" w14:textId="77777777" w:rsidR="00B44B71" w:rsidRPr="006D5E8E" w:rsidRDefault="00B44B71" w:rsidP="00023291">
            <w:pPr>
              <w:tabs>
                <w:tab w:val="left" w:pos="9638"/>
              </w:tabs>
              <w:jc w:val="center"/>
              <w:rPr>
                <w:rFonts w:ascii="Times New Roman" w:eastAsia="Calibri" w:hAnsi="Times New Roman" w:cs="Times New Roman"/>
                <w:sz w:val="24"/>
                <w:szCs w:val="24"/>
              </w:rPr>
            </w:pPr>
            <w:r w:rsidRPr="006D5E8E">
              <w:rPr>
                <w:rFonts w:ascii="Times New Roman" w:eastAsia="Times New Roman" w:hAnsi="Times New Roman" w:cs="Times New Roman"/>
                <w:sz w:val="24"/>
                <w:szCs w:val="24"/>
              </w:rPr>
              <w:t>Практично-операційна підготовка: виконання типових професійних дій та вправ</w:t>
            </w:r>
          </w:p>
        </w:tc>
        <w:tc>
          <w:tcPr>
            <w:tcW w:w="4211" w:type="dxa"/>
          </w:tcPr>
          <w:p w14:paraId="2CA992BE"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Times New Roman" w:hAnsi="Times New Roman" w:cs="Times New Roman"/>
                <w:sz w:val="24"/>
                <w:szCs w:val="24"/>
              </w:rPr>
              <w:t>Діагностично-алгоритмічна компетентність: побудова логіки пошуку несправності, перевірка гіпотез, вибір раціонального способу ремонту</w:t>
            </w:r>
          </w:p>
        </w:tc>
        <w:tc>
          <w:tcPr>
            <w:tcW w:w="2945" w:type="dxa"/>
          </w:tcPr>
          <w:p w14:paraId="006F4916"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Times New Roman" w:hAnsi="Times New Roman" w:cs="Times New Roman"/>
                <w:sz w:val="24"/>
                <w:szCs w:val="24"/>
              </w:rPr>
              <w:t>Збільшити частку кейсів із прихованими дефектами та альтернативними алгоритмами діагностики</w:t>
            </w:r>
          </w:p>
        </w:tc>
      </w:tr>
      <w:tr w:rsidR="00B44B71" w:rsidRPr="006D5E8E" w14:paraId="067D8394" w14:textId="77777777" w:rsidTr="00F918EC">
        <w:trPr>
          <w:jc w:val="center"/>
        </w:trPr>
        <w:tc>
          <w:tcPr>
            <w:tcW w:w="2622" w:type="dxa"/>
            <w:vAlign w:val="center"/>
          </w:tcPr>
          <w:p w14:paraId="46196C42" w14:textId="77777777" w:rsidR="00B44B71" w:rsidRPr="006D5E8E" w:rsidRDefault="00B44B71" w:rsidP="00023291">
            <w:pPr>
              <w:tabs>
                <w:tab w:val="left" w:pos="9638"/>
              </w:tabs>
              <w:jc w:val="center"/>
              <w:rPr>
                <w:rFonts w:ascii="Times New Roman" w:eastAsia="Calibri" w:hAnsi="Times New Roman" w:cs="Times New Roman"/>
                <w:sz w:val="24"/>
                <w:szCs w:val="24"/>
              </w:rPr>
            </w:pPr>
            <w:r w:rsidRPr="006D5E8E">
              <w:rPr>
                <w:rFonts w:ascii="Times New Roman" w:eastAsia="Times New Roman" w:hAnsi="Times New Roman" w:cs="Times New Roman"/>
                <w:sz w:val="24"/>
                <w:szCs w:val="24"/>
              </w:rPr>
              <w:t>Інформаційно-комунікаційна підготовка</w:t>
            </w:r>
          </w:p>
        </w:tc>
        <w:tc>
          <w:tcPr>
            <w:tcW w:w="4211" w:type="dxa"/>
          </w:tcPr>
          <w:p w14:paraId="585B09D9"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Times New Roman" w:hAnsi="Times New Roman" w:cs="Times New Roman"/>
                <w:sz w:val="24"/>
                <w:szCs w:val="24"/>
              </w:rPr>
              <w:t>Техніко-документаційна компетентність: робота з технічними описами, журналами ремонту, актами, цифровими джерелами й результатами вимірювань</w:t>
            </w:r>
          </w:p>
        </w:tc>
        <w:tc>
          <w:tcPr>
            <w:tcW w:w="2945" w:type="dxa"/>
          </w:tcPr>
          <w:p w14:paraId="3795BCEC"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Times New Roman" w:hAnsi="Times New Roman" w:cs="Times New Roman"/>
                <w:sz w:val="24"/>
                <w:szCs w:val="24"/>
              </w:rPr>
              <w:t>Конкретизувати ІК-компетентність саме під ремонтну діяльність</w:t>
            </w:r>
          </w:p>
        </w:tc>
      </w:tr>
      <w:tr w:rsidR="00B44B71" w:rsidRPr="006D5E8E" w14:paraId="709CDEB5" w14:textId="77777777" w:rsidTr="00F918EC">
        <w:trPr>
          <w:jc w:val="center"/>
        </w:trPr>
        <w:tc>
          <w:tcPr>
            <w:tcW w:w="2622" w:type="dxa"/>
            <w:vAlign w:val="center"/>
          </w:tcPr>
          <w:p w14:paraId="182D7014" w14:textId="77777777" w:rsidR="00B44B71" w:rsidRPr="006D5E8E" w:rsidRDefault="00B44B71" w:rsidP="00023291">
            <w:pPr>
              <w:tabs>
                <w:tab w:val="left" w:pos="9638"/>
              </w:tabs>
              <w:jc w:val="center"/>
              <w:rPr>
                <w:rFonts w:ascii="Times New Roman" w:eastAsia="Calibri" w:hAnsi="Times New Roman" w:cs="Times New Roman"/>
                <w:sz w:val="24"/>
                <w:szCs w:val="24"/>
              </w:rPr>
            </w:pPr>
            <w:r w:rsidRPr="006D5E8E">
              <w:rPr>
                <w:rFonts w:ascii="Times New Roman" w:eastAsia="Times New Roman" w:hAnsi="Times New Roman" w:cs="Times New Roman"/>
                <w:sz w:val="24"/>
                <w:szCs w:val="24"/>
              </w:rPr>
              <w:t>Загальна професійна комунікація</w:t>
            </w:r>
          </w:p>
        </w:tc>
        <w:tc>
          <w:tcPr>
            <w:tcW w:w="4211" w:type="dxa"/>
          </w:tcPr>
          <w:p w14:paraId="2231624B"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Times New Roman" w:hAnsi="Times New Roman" w:cs="Times New Roman"/>
                <w:sz w:val="24"/>
                <w:szCs w:val="24"/>
              </w:rPr>
              <w:t>Техніко-комунікативна компетентність: пояснення результатів ремонту, передача виробу в підрозділ, попередження повторних відмов</w:t>
            </w:r>
          </w:p>
        </w:tc>
        <w:tc>
          <w:tcPr>
            <w:tcW w:w="2945" w:type="dxa"/>
          </w:tcPr>
          <w:p w14:paraId="5B94A578"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Times New Roman" w:hAnsi="Times New Roman" w:cs="Times New Roman"/>
                <w:sz w:val="24"/>
                <w:szCs w:val="24"/>
              </w:rPr>
              <w:t>Відпрацьовувати оформлення та пояснення післяремонтних рішень</w:t>
            </w:r>
          </w:p>
        </w:tc>
      </w:tr>
      <w:tr w:rsidR="00B44B71" w:rsidRPr="006D5E8E" w14:paraId="51A65FA7" w14:textId="77777777" w:rsidTr="00F918EC">
        <w:trPr>
          <w:jc w:val="center"/>
        </w:trPr>
        <w:tc>
          <w:tcPr>
            <w:tcW w:w="2622" w:type="dxa"/>
          </w:tcPr>
          <w:p w14:paraId="4D18B818" w14:textId="77777777" w:rsidR="00B44B71" w:rsidRPr="006D5E8E" w:rsidRDefault="00B44B71" w:rsidP="00023291">
            <w:pPr>
              <w:tabs>
                <w:tab w:val="left" w:pos="9638"/>
              </w:tabs>
              <w:jc w:val="center"/>
              <w:rPr>
                <w:rFonts w:ascii="Times New Roman" w:eastAsia="Calibri" w:hAnsi="Times New Roman" w:cs="Times New Roman"/>
                <w:sz w:val="24"/>
                <w:szCs w:val="24"/>
              </w:rPr>
            </w:pPr>
            <w:r w:rsidRPr="006D5E8E">
              <w:rPr>
                <w:rFonts w:ascii="Times New Roman" w:eastAsia="Times New Roman" w:hAnsi="Times New Roman" w:cs="Times New Roman"/>
                <w:sz w:val="24"/>
                <w:szCs w:val="24"/>
              </w:rPr>
              <w:t>Рефлексивна та розвивальна підготовка</w:t>
            </w:r>
          </w:p>
        </w:tc>
        <w:tc>
          <w:tcPr>
            <w:tcW w:w="4211" w:type="dxa"/>
          </w:tcPr>
          <w:p w14:paraId="485B51C0"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Times New Roman" w:hAnsi="Times New Roman" w:cs="Times New Roman"/>
                <w:sz w:val="24"/>
                <w:szCs w:val="24"/>
              </w:rPr>
              <w:t>Рефлексивно-коригувальна компетентність: аналіз правильності власних технічних рішень, самооцінка ремонту</w:t>
            </w:r>
          </w:p>
        </w:tc>
        <w:tc>
          <w:tcPr>
            <w:tcW w:w="2945" w:type="dxa"/>
          </w:tcPr>
          <w:p w14:paraId="725C1534"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Times New Roman" w:hAnsi="Times New Roman" w:cs="Times New Roman"/>
                <w:sz w:val="24"/>
                <w:szCs w:val="24"/>
              </w:rPr>
              <w:t>Впровадити технічний after-action review (АПД) після практичних занять</w:t>
            </w:r>
          </w:p>
        </w:tc>
      </w:tr>
      <w:tr w:rsidR="00B44B71" w:rsidRPr="006D5E8E" w14:paraId="5073FC11" w14:textId="77777777" w:rsidTr="00F918EC">
        <w:trPr>
          <w:jc w:val="center"/>
        </w:trPr>
        <w:tc>
          <w:tcPr>
            <w:tcW w:w="2622" w:type="dxa"/>
          </w:tcPr>
          <w:p w14:paraId="76B07BEE" w14:textId="77777777" w:rsidR="00B44B71" w:rsidRPr="006D5E8E" w:rsidRDefault="00B44B71" w:rsidP="00023291">
            <w:pPr>
              <w:tabs>
                <w:tab w:val="left" w:pos="9638"/>
              </w:tabs>
              <w:jc w:val="center"/>
              <w:rPr>
                <w:rFonts w:ascii="Times New Roman" w:eastAsia="Calibri" w:hAnsi="Times New Roman" w:cs="Times New Roman"/>
                <w:sz w:val="24"/>
                <w:szCs w:val="24"/>
              </w:rPr>
            </w:pPr>
            <w:r w:rsidRPr="006D5E8E">
              <w:rPr>
                <w:rFonts w:ascii="Times New Roman" w:eastAsia="Times New Roman" w:hAnsi="Times New Roman" w:cs="Times New Roman"/>
                <w:sz w:val="24"/>
                <w:szCs w:val="24"/>
              </w:rPr>
              <w:t>Фахова технічна підготовка</w:t>
            </w:r>
          </w:p>
        </w:tc>
        <w:tc>
          <w:tcPr>
            <w:tcW w:w="4211" w:type="dxa"/>
          </w:tcPr>
          <w:p w14:paraId="6B8F59BC" w14:textId="77777777" w:rsidR="00B44B71" w:rsidRPr="006D5E8E" w:rsidRDefault="00B44B71" w:rsidP="00023291">
            <w:pPr>
              <w:tabs>
                <w:tab w:val="left" w:pos="9638"/>
              </w:tabs>
              <w:jc w:val="both"/>
              <w:rPr>
                <w:rFonts w:ascii="Times New Roman" w:eastAsia="Times New Roman" w:hAnsi="Times New Roman" w:cs="Times New Roman"/>
                <w:sz w:val="24"/>
                <w:szCs w:val="24"/>
              </w:rPr>
            </w:pPr>
            <w:r w:rsidRPr="006D5E8E">
              <w:rPr>
                <w:rFonts w:ascii="Times New Roman" w:eastAsia="Times New Roman" w:hAnsi="Times New Roman" w:cs="Times New Roman"/>
                <w:sz w:val="24"/>
                <w:szCs w:val="24"/>
              </w:rPr>
              <w:t>Просторово-конструктивна компетентність:  точність</w:t>
            </w:r>
          </w:p>
          <w:p w14:paraId="7572804C"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Times New Roman" w:hAnsi="Times New Roman" w:cs="Times New Roman"/>
                <w:sz w:val="24"/>
                <w:szCs w:val="24"/>
              </w:rPr>
              <w:t>монтажу, збирання, регулювання, калібрування</w:t>
            </w:r>
          </w:p>
        </w:tc>
        <w:tc>
          <w:tcPr>
            <w:tcW w:w="2945" w:type="dxa"/>
          </w:tcPr>
          <w:p w14:paraId="44B0DF51" w14:textId="77777777" w:rsidR="00B44B71" w:rsidRPr="006D5E8E" w:rsidRDefault="00B44B71" w:rsidP="00023291">
            <w:pPr>
              <w:tabs>
                <w:tab w:val="left" w:pos="9638"/>
              </w:tabs>
              <w:jc w:val="both"/>
              <w:rPr>
                <w:rFonts w:ascii="Times New Roman" w:eastAsia="Calibri" w:hAnsi="Times New Roman" w:cs="Times New Roman"/>
                <w:sz w:val="24"/>
                <w:szCs w:val="24"/>
              </w:rPr>
            </w:pPr>
            <w:r w:rsidRPr="006D5E8E">
              <w:rPr>
                <w:rFonts w:ascii="Times New Roman" w:eastAsia="Times New Roman" w:hAnsi="Times New Roman" w:cs="Times New Roman"/>
                <w:sz w:val="24"/>
                <w:szCs w:val="24"/>
              </w:rPr>
              <w:t>Ввести більше вправ на 3D-моделювання, макетування, віртуальні тренажери</w:t>
            </w:r>
          </w:p>
        </w:tc>
      </w:tr>
      <w:tr w:rsidR="00B44B71" w:rsidRPr="006D5E8E" w14:paraId="1274C58E" w14:textId="77777777" w:rsidTr="00F918EC">
        <w:trPr>
          <w:jc w:val="center"/>
        </w:trPr>
        <w:tc>
          <w:tcPr>
            <w:tcW w:w="2622" w:type="dxa"/>
          </w:tcPr>
          <w:p w14:paraId="0C9A099F" w14:textId="77777777" w:rsidR="00B44B71" w:rsidRPr="006D5E8E" w:rsidRDefault="00B44B71" w:rsidP="00023291">
            <w:pPr>
              <w:tabs>
                <w:tab w:val="left" w:pos="9638"/>
              </w:tabs>
              <w:jc w:val="center"/>
              <w:rPr>
                <w:rFonts w:ascii="Times New Roman" w:eastAsia="Times New Roman" w:hAnsi="Times New Roman" w:cs="Times New Roman"/>
                <w:sz w:val="24"/>
                <w:szCs w:val="24"/>
              </w:rPr>
            </w:pPr>
            <w:r w:rsidRPr="006D5E8E">
              <w:rPr>
                <w:rFonts w:ascii="Times New Roman" w:eastAsia="Times New Roman" w:hAnsi="Times New Roman" w:cs="Times New Roman"/>
                <w:sz w:val="24"/>
                <w:szCs w:val="24"/>
              </w:rPr>
              <w:t>Загальне професійне рішення</w:t>
            </w:r>
          </w:p>
        </w:tc>
        <w:tc>
          <w:tcPr>
            <w:tcW w:w="4211" w:type="dxa"/>
          </w:tcPr>
          <w:p w14:paraId="0C6FCC64" w14:textId="77777777" w:rsidR="00B44B71" w:rsidRPr="006D5E8E" w:rsidRDefault="00B44B71" w:rsidP="00023291">
            <w:pPr>
              <w:tabs>
                <w:tab w:val="left" w:pos="9638"/>
              </w:tabs>
              <w:jc w:val="both"/>
              <w:rPr>
                <w:rFonts w:ascii="Times New Roman" w:eastAsia="Times New Roman" w:hAnsi="Times New Roman" w:cs="Times New Roman"/>
                <w:sz w:val="24"/>
                <w:szCs w:val="24"/>
              </w:rPr>
            </w:pPr>
            <w:r w:rsidRPr="006D5E8E">
              <w:rPr>
                <w:rFonts w:ascii="Times New Roman" w:eastAsia="Times New Roman" w:hAnsi="Times New Roman" w:cs="Times New Roman"/>
                <w:sz w:val="24"/>
                <w:szCs w:val="24"/>
              </w:rPr>
              <w:t>Компетентність визначення доцільності ремонту: економія часу, ресурсу, забезпечення</w:t>
            </w:r>
          </w:p>
        </w:tc>
        <w:tc>
          <w:tcPr>
            <w:tcW w:w="2945" w:type="dxa"/>
          </w:tcPr>
          <w:p w14:paraId="3800D193" w14:textId="77777777" w:rsidR="00B44B71" w:rsidRPr="006D5E8E" w:rsidRDefault="00B44B71" w:rsidP="00023291">
            <w:pPr>
              <w:tabs>
                <w:tab w:val="left" w:pos="9638"/>
              </w:tabs>
              <w:jc w:val="both"/>
              <w:rPr>
                <w:rFonts w:ascii="Times New Roman" w:eastAsia="Times New Roman" w:hAnsi="Times New Roman" w:cs="Times New Roman"/>
                <w:sz w:val="24"/>
                <w:szCs w:val="24"/>
              </w:rPr>
            </w:pPr>
            <w:r w:rsidRPr="006D5E8E">
              <w:rPr>
                <w:rFonts w:ascii="Times New Roman" w:eastAsia="Times New Roman" w:hAnsi="Times New Roman" w:cs="Times New Roman"/>
                <w:sz w:val="24"/>
                <w:szCs w:val="24"/>
              </w:rPr>
              <w:t>Формувати рішення не лише «як відремонтувати», а й «чи доцільно ремонтувати»</w:t>
            </w:r>
          </w:p>
        </w:tc>
      </w:tr>
      <w:bookmarkEnd w:id="11"/>
    </w:tbl>
    <w:p w14:paraId="24CB8133"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kern w:val="0"/>
          <w:sz w:val="28"/>
          <w:szCs w:val="28"/>
          <w:lang w:val="uk-UA"/>
          <w14:ligatures w14:val="none"/>
        </w:rPr>
      </w:pPr>
    </w:p>
    <w:p w14:paraId="2E28463D"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 xml:space="preserve">Таблиця демонструє, що наявна система підготовки майбутніх офіцерів технічних спеціальностей у ВВНЗ не враховує внутрішній потенціал здобувачів, через що утворюється критичний розрив між компетентностями та конкретними технічними рішеннями у межах ремонтного циклу. Наприклад, знання будови зразка ще не гарантує вміння встановити джерело прихованої відмови; загальна </w:t>
      </w:r>
      <w:r w:rsidRPr="00B44B71">
        <w:rPr>
          <w:rFonts w:ascii="Times New Roman" w:eastAsia="Times New Roman" w:hAnsi="Times New Roman" w:cs="Times New Roman"/>
          <w:kern w:val="0"/>
          <w:sz w:val="28"/>
          <w:szCs w:val="28"/>
          <w:lang w:val="uk-UA"/>
          <w14:ligatures w14:val="none"/>
        </w:rPr>
        <w:lastRenderedPageBreak/>
        <w:t xml:space="preserve">інформаційно-комунікаційна компетентність не тотожна здатності працювати з технічною документацією ремонту; а практична вправність сама по собі не означає сформованої компетентності оцінки доцільності ремонту. Бойова інтенсивність застосування артилерії в сучасній війні вимагає від ремонтників високого рівня професіоналізму. Зокрема, за даними офіційних звітів, вже відремонтовано сотні одиниць пошкодженої техніки з початку широкомасштабного вторгнення, і це стало можливим завдяки глибоким технічним знанням бійців. На нашу думку, саме сформованість технічного мислення в майбутніх офіцерів з ремонту артилерійського озброєння може усунути цей розрив.  </w:t>
      </w:r>
    </w:p>
    <w:p w14:paraId="5A1B5B4A"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color w:val="000000"/>
          <w:kern w:val="0"/>
          <w:sz w:val="28"/>
          <w:szCs w:val="28"/>
          <w:lang w:val="uk-UA"/>
          <w14:ligatures w14:val="none"/>
        </w:rPr>
        <w:t>Також можна стверджувати, що у ВВНЗ формуються досить широкі групи складових підготовки, що забезпечують відповідними компетентностями майбутнього офіцера з ремонту ракетно-артилерійського озброєння, які наведені в таблиці 2. Проте для розвитку саме технічного мислення цього набору недостатньо без його спеціальної деталізації стосовно ремонтної діяльності.</w:t>
      </w:r>
    </w:p>
    <w:p w14:paraId="668A0A82"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 xml:space="preserve">З огляду на це доцільно запропонувати кілька напрямів вдосконалення підготовки майбутніх офіцерів з ремонту ракетно-артилерійського озброєння у ВВНЗ. По-перше, слід </w:t>
      </w:r>
      <w:r w:rsidRPr="00B44B71">
        <w:rPr>
          <w:rFonts w:ascii="Times New Roman" w:eastAsia="Times New Roman" w:hAnsi="Times New Roman" w:cs="Times New Roman"/>
          <w:bCs/>
          <w:kern w:val="0"/>
          <w:sz w:val="28"/>
          <w:szCs w:val="28"/>
          <w:lang w:val="uk-UA"/>
          <w14:ligatures w14:val="none"/>
        </w:rPr>
        <w:t>уточнити фахові</w:t>
      </w:r>
      <w:r w:rsidRPr="00B44B71">
        <w:rPr>
          <w:rFonts w:ascii="Times New Roman" w:eastAsia="Times New Roman" w:hAnsi="Times New Roman" w:cs="Times New Roman"/>
          <w:b/>
          <w:bCs/>
          <w:kern w:val="0"/>
          <w:sz w:val="28"/>
          <w:szCs w:val="28"/>
          <w:lang w:val="uk-UA"/>
          <w14:ligatures w14:val="none"/>
        </w:rPr>
        <w:t xml:space="preserve"> </w:t>
      </w:r>
      <w:r w:rsidRPr="00B44B71">
        <w:rPr>
          <w:rFonts w:ascii="Times New Roman" w:eastAsia="Times New Roman" w:hAnsi="Times New Roman" w:cs="Times New Roman"/>
          <w:bCs/>
          <w:kern w:val="0"/>
          <w:sz w:val="28"/>
          <w:szCs w:val="28"/>
          <w:lang w:val="uk-UA"/>
          <w14:ligatures w14:val="none"/>
        </w:rPr>
        <w:t>компетентності освітніх програм</w:t>
      </w:r>
      <w:r w:rsidRPr="00B44B71">
        <w:rPr>
          <w:rFonts w:ascii="Times New Roman" w:eastAsia="Times New Roman" w:hAnsi="Times New Roman" w:cs="Times New Roman"/>
          <w:kern w:val="0"/>
          <w:sz w:val="28"/>
          <w:szCs w:val="28"/>
          <w:lang w:val="uk-UA"/>
          <w14:ligatures w14:val="none"/>
        </w:rPr>
        <w:t xml:space="preserve"> шляхом явного виокремлення наступних компетентностей: техніко-системної, діагностично-алгоритмічної, просторово-конструктивної та техніко-документаційної. По-друге, потрібно </w:t>
      </w:r>
      <w:r w:rsidRPr="00B44B71">
        <w:rPr>
          <w:rFonts w:ascii="Times New Roman" w:eastAsia="Times New Roman" w:hAnsi="Times New Roman" w:cs="Times New Roman"/>
          <w:bCs/>
          <w:kern w:val="0"/>
          <w:sz w:val="28"/>
          <w:szCs w:val="28"/>
          <w:lang w:val="uk-UA"/>
          <w14:ligatures w14:val="none"/>
        </w:rPr>
        <w:t>підсилити кейсове, проблемне і симуляційне навчання</w:t>
      </w:r>
      <w:r w:rsidRPr="00B44B71">
        <w:rPr>
          <w:rFonts w:ascii="Times New Roman" w:eastAsia="Times New Roman" w:hAnsi="Times New Roman" w:cs="Times New Roman"/>
          <w:kern w:val="0"/>
          <w:sz w:val="28"/>
          <w:szCs w:val="28"/>
          <w:lang w:val="uk-UA"/>
          <w14:ligatures w14:val="none"/>
        </w:rPr>
        <w:t xml:space="preserve">, щоб курсант працював не лише з нормативно правильним алгоритмом, а й з невизначеністю, браком часу, складним вибором між ремонтом та заміною вузла тощо. По-третє, варто </w:t>
      </w:r>
      <w:r w:rsidRPr="00B44B71">
        <w:rPr>
          <w:rFonts w:ascii="Times New Roman" w:eastAsia="Times New Roman" w:hAnsi="Times New Roman" w:cs="Times New Roman"/>
          <w:bCs/>
          <w:kern w:val="0"/>
          <w:sz w:val="28"/>
          <w:szCs w:val="28"/>
          <w:lang w:val="uk-UA"/>
          <w14:ligatures w14:val="none"/>
        </w:rPr>
        <w:t>розширити використання віртуальних тренажерів, мультимедійних комплексів і моделювання</w:t>
      </w:r>
      <w:r w:rsidRPr="00B44B71">
        <w:rPr>
          <w:rFonts w:ascii="Times New Roman" w:eastAsia="Times New Roman" w:hAnsi="Times New Roman" w:cs="Times New Roman"/>
          <w:kern w:val="0"/>
          <w:sz w:val="28"/>
          <w:szCs w:val="28"/>
          <w:lang w:val="uk-UA"/>
          <w14:ligatures w14:val="none"/>
        </w:rPr>
        <w:t xml:space="preserve">, що особливо актуально для військово-технічних дисциплін у підготовці фахівців ракетно-артилерійського озброєння. По-четверте, слід </w:t>
      </w:r>
      <w:r w:rsidRPr="00B44B71">
        <w:rPr>
          <w:rFonts w:ascii="Times New Roman" w:eastAsia="Times New Roman" w:hAnsi="Times New Roman" w:cs="Times New Roman"/>
          <w:bCs/>
          <w:kern w:val="0"/>
          <w:sz w:val="28"/>
          <w:szCs w:val="28"/>
          <w:lang w:val="uk-UA"/>
          <w14:ligatures w14:val="none"/>
        </w:rPr>
        <w:t>запровадити технічну рефлексію</w:t>
      </w:r>
      <w:r w:rsidRPr="00B44B71">
        <w:rPr>
          <w:rFonts w:ascii="Times New Roman" w:eastAsia="Times New Roman" w:hAnsi="Times New Roman" w:cs="Times New Roman"/>
          <w:kern w:val="0"/>
          <w:sz w:val="28"/>
          <w:szCs w:val="28"/>
          <w:lang w:val="uk-UA"/>
          <w14:ligatures w14:val="none"/>
        </w:rPr>
        <w:t xml:space="preserve">, як обов’язковий елемент практичних занять оскільки курсант повинен аналізувати, чому обрав саме таке технічне рішення, яких помилок припустився, які альтернативи були можливі і як це вплине на подальшу надійність техніки. </w:t>
      </w:r>
    </w:p>
    <w:p w14:paraId="58C21B41"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 xml:space="preserve">Крім того, важливо посилити </w:t>
      </w:r>
      <w:r w:rsidRPr="00B44B71">
        <w:rPr>
          <w:rFonts w:ascii="Times New Roman" w:eastAsia="Times New Roman" w:hAnsi="Times New Roman" w:cs="Times New Roman"/>
          <w:bCs/>
          <w:kern w:val="0"/>
          <w:sz w:val="28"/>
          <w:szCs w:val="28"/>
          <w:lang w:val="uk-UA"/>
          <w14:ligatures w14:val="none"/>
        </w:rPr>
        <w:t>роботу з технічною документацією та післяремонтною комунікацією</w:t>
      </w:r>
      <w:r w:rsidRPr="00B44B71">
        <w:rPr>
          <w:rFonts w:ascii="Times New Roman" w:eastAsia="Times New Roman" w:hAnsi="Times New Roman" w:cs="Times New Roman"/>
          <w:kern w:val="0"/>
          <w:sz w:val="28"/>
          <w:szCs w:val="28"/>
          <w:lang w:val="uk-UA"/>
          <w14:ligatures w14:val="none"/>
        </w:rPr>
        <w:t xml:space="preserve">, оскільки завершальний етап ремонту включає оформлення результатів, взаємодію з підрозділами, які експлуатують техніку та пояснення умов подальшого використання для запобігання повторним відмовам. Це означає, що технічне мислення ремонтника завершується не відновленням працездатності виробу, а доведенням технічного рішення до безпечної та обґрунтованої експлуатації. З цього можна зробити висновок, що техніко-документаційна й техніко-комунікативна компетентності повинні формуватися так само цілеспрямовано, як і діагностичні вміння. </w:t>
      </w:r>
    </w:p>
    <w:p w14:paraId="299C7A63"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 xml:space="preserve">Отже, розвиток технічного мислення майбутніх офіцерів з ремонту ракетно-артилерійського озброєння доцільно розглядати як спеціально організований процес здобування знань, умінь, навичок, досвіду діяльності та професійно </w:t>
      </w:r>
      <w:r w:rsidRPr="00B44B71">
        <w:rPr>
          <w:rFonts w:ascii="Times New Roman" w:eastAsia="Times New Roman" w:hAnsi="Times New Roman" w:cs="Times New Roman"/>
          <w:kern w:val="0"/>
          <w:sz w:val="28"/>
          <w:szCs w:val="28"/>
          <w:lang w:val="uk-UA"/>
          <w14:ligatures w14:val="none"/>
        </w:rPr>
        <w:lastRenderedPageBreak/>
        <w:t>значущих якостей у систему компетентностей, безпосередньо прив’язаних до реальної логіки ремонтного циклу. Саме така інтеграція дозволяє перейти від загальної технічної підготовки до готовності приймати обґрунтовані технічні рішення у складних умовах професійної діяльності.</w:t>
      </w:r>
    </w:p>
    <w:p w14:paraId="42FAA8DE" w14:textId="20EEBF76" w:rsidR="00B44B71" w:rsidRPr="006D5E8E" w:rsidRDefault="00B44B71" w:rsidP="006D5E8E">
      <w:pPr>
        <w:tabs>
          <w:tab w:val="left" w:pos="9638"/>
        </w:tabs>
        <w:spacing w:after="0" w:line="240" w:lineRule="auto"/>
        <w:ind w:firstLine="567"/>
        <w:jc w:val="both"/>
        <w:rPr>
          <w:rFonts w:ascii="Times New Roman" w:eastAsia="Times New Roman" w:hAnsi="Times New Roman" w:cs="Times New Roman"/>
          <w:kern w:val="0"/>
          <w:sz w:val="28"/>
          <w:szCs w:val="28"/>
          <w:lang w:val="uk-UA"/>
          <w14:ligatures w14:val="none"/>
        </w:rPr>
      </w:pPr>
      <w:r w:rsidRPr="00B44B71">
        <w:rPr>
          <w:rFonts w:ascii="Times New Roman" w:eastAsia="Calibri" w:hAnsi="Times New Roman" w:cs="Times New Roman"/>
          <w:b/>
          <w:kern w:val="0"/>
          <w:sz w:val="28"/>
          <w:szCs w:val="28"/>
          <w:lang w:val="uk-UA"/>
          <w14:ligatures w14:val="none"/>
        </w:rPr>
        <w:t xml:space="preserve">Висновки і перспективи подальших досліджень. </w:t>
      </w:r>
      <w:r w:rsidRPr="00B44B71">
        <w:rPr>
          <w:rFonts w:ascii="Times New Roman" w:eastAsia="Calibri" w:hAnsi="Times New Roman" w:cs="Times New Roman"/>
          <w:kern w:val="0"/>
          <w:sz w:val="28"/>
          <w:szCs w:val="28"/>
          <w:lang w:val="uk-UA"/>
          <w14:ligatures w14:val="none"/>
        </w:rPr>
        <w:t>У результаті проведеного дослідження теоретично проаналізовано компетентності і етапи, виділені знання, вміння, навички і виказали припущення, що формування технічного мислення сприятиме формуванню програмних компетентностей та досягненню програмних результатів, а також дозволить інтегрувати досвід війни з рф для майбутнього офіцера з ремонту ракетно-артилерійського озброєння. Встановлено, що розвиток технічного мислення доцільно розглядати не ізольовано, а у безпосередньому зв’язку з логікою професійної діяльності офіцера-ремонтника, де кожному етапу ремонту відповідає специфічна сукупність знань, умінь, навичок, досвіду діяльності та особистісних якостей. Визначено перелік ключових компетентностей (техніко-системна, діагностично-алгоритмічна, просторово-конструктивна, техніко-документаційна, рефлексивно-коригувальна та компетентність прийняття технічних рішень), які безпосередньо забезпечують розвиток технічного мислення та ефективність ремонтної діяльності. Доведено, що існуюча система підготовки у ВВНЗ, хоча і формує базові компетентності, не повною мірою забезпечує їх спрямованість на вирішення реальних технічних задач у межах ремонтного циклу, що зумовлює необхідність її цілеспрямованого вдосконалення. Обґрунтовано, що врахування досвіду відбиття збройної агресії рф суттєво змінює вимоги до підготовки майбутніх офіцерів, зокрема актуалізує необхідність розвитку здатності діяти в умовах невизначеності, обмеженого часу та ресурсів, що безпосередньо підсилює значущість сформованого технічного мислення. Запропоновано напрями вдосконалення професійної підготовки, які полягають у: конкретизації фахових компетентностей освітніх програм; розширенні кейсового та симуляційного навчання; інтеграції цифрових і тренажерних засобів; врахування бойового досвіду війни з рф; посиленні роботи з технічною документацією; впровадженні системної технічної рефлексії. Перспективи подальших досліджень полягають у розробленні сутності та структури поняття «технічне мислення майбутнього офіцера з ремонту ракетно-артилерійського озброєння», діагностичного інструментарію його сформованості та моделі формування технічного мислення майбутніх офіцерів з урахуванням бойового досвіду війни з рф.</w:t>
      </w:r>
      <w:r w:rsidRPr="00B44B71">
        <w:rPr>
          <w:rFonts w:ascii="Times New Roman" w:eastAsia="Times New Roman" w:hAnsi="Times New Roman" w:cs="Times New Roman"/>
          <w:kern w:val="0"/>
          <w:sz w:val="28"/>
          <w:szCs w:val="28"/>
          <w:lang w:val="uk-UA"/>
          <w14:ligatures w14:val="none"/>
        </w:rPr>
        <w:t xml:space="preserve"> </w:t>
      </w:r>
    </w:p>
    <w:p w14:paraId="252D31E1" w14:textId="77777777" w:rsidR="00B44B71" w:rsidRPr="00B6038D" w:rsidRDefault="00B44B71" w:rsidP="00023291">
      <w:pPr>
        <w:tabs>
          <w:tab w:val="left" w:pos="9638"/>
        </w:tabs>
        <w:spacing w:after="0" w:line="240" w:lineRule="auto"/>
        <w:ind w:firstLine="709"/>
        <w:jc w:val="center"/>
        <w:rPr>
          <w:rFonts w:ascii="Times New Roman" w:eastAsia="Times New Roman" w:hAnsi="Times New Roman" w:cs="Times New Roman"/>
          <w:kern w:val="0"/>
          <w:sz w:val="24"/>
          <w:szCs w:val="24"/>
          <w:lang w:val="uk-UA"/>
          <w14:ligatures w14:val="none"/>
        </w:rPr>
      </w:pPr>
      <w:r w:rsidRPr="00B6038D">
        <w:rPr>
          <w:rFonts w:ascii="Times New Roman" w:eastAsia="Times New Roman" w:hAnsi="Times New Roman" w:cs="Times New Roman"/>
          <w:b/>
          <w:bCs/>
          <w:kern w:val="0"/>
          <w:sz w:val="24"/>
          <w:szCs w:val="24"/>
          <w:lang w:val="uk-UA"/>
          <w14:ligatures w14:val="none"/>
        </w:rPr>
        <w:t>ЛІТЕРАТУРА</w:t>
      </w:r>
    </w:p>
    <w:p w14:paraId="51DF476C" w14:textId="77777777" w:rsidR="00B44B71" w:rsidRPr="00B44B71" w:rsidRDefault="00B44B71" w:rsidP="006D5E8E">
      <w:pPr>
        <w:numPr>
          <w:ilvl w:val="0"/>
          <w:numId w:val="15"/>
        </w:numPr>
        <w:tabs>
          <w:tab w:val="clear" w:pos="720"/>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Військова академія (м. Одеса). (2026). Освітньо-професійна (наукова) програма та рецензія «Експлуатація та ремонт ракетно-артилерійського озброєння». URL:</w:t>
      </w:r>
      <w:hyperlink r:id="rId219" w:tgtFrame="_new" w:history="1">
        <w:r w:rsidRPr="00B44B71">
          <w:rPr>
            <w:rFonts w:ascii="Times New Roman" w:eastAsia="Times New Roman" w:hAnsi="Times New Roman" w:cs="Times New Roman"/>
            <w:color w:val="0563C1"/>
            <w:kern w:val="0"/>
            <w:sz w:val="24"/>
            <w:szCs w:val="24"/>
            <w:u w:val="single"/>
            <w:lang w:val="uk-UA"/>
            <w14:ligatures w14:val="none"/>
          </w:rPr>
          <w:t>https://vaodesa.mil.gov.ua/osvitno-profesiyni-naukovi-prohramy-ta-retsenzii/</w:t>
        </w:r>
      </w:hyperlink>
    </w:p>
    <w:p w14:paraId="7DC3ED65" w14:textId="77777777" w:rsidR="00B44B71" w:rsidRPr="00B44B71" w:rsidRDefault="00B44B71" w:rsidP="006D5E8E">
      <w:pPr>
        <w:numPr>
          <w:ilvl w:val="0"/>
          <w:numId w:val="15"/>
        </w:numPr>
        <w:tabs>
          <w:tab w:val="clear" w:pos="720"/>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Військова академія (м. Одеса). (2026). Силабус освітнього компоненту «Управління експлуатацією засобів ураження». URL:</w:t>
      </w:r>
      <w:hyperlink r:id="rId220" w:tgtFrame="_new" w:history="1">
        <w:r w:rsidRPr="00B44B71">
          <w:rPr>
            <w:rFonts w:ascii="Times New Roman" w:eastAsia="Times New Roman" w:hAnsi="Times New Roman" w:cs="Times New Roman"/>
            <w:color w:val="0563C1"/>
            <w:kern w:val="0"/>
            <w:sz w:val="24"/>
            <w:szCs w:val="24"/>
            <w:u w:val="single"/>
            <w:lang w:val="uk-UA"/>
            <w14:ligatures w14:val="none"/>
          </w:rPr>
          <w:t>https://vaodesa.mil.gov.ua/sylabusy-osvitnikh-komponentiv/</w:t>
        </w:r>
      </w:hyperlink>
    </w:p>
    <w:p w14:paraId="607742DC" w14:textId="77777777" w:rsidR="00B44B71" w:rsidRPr="00B44B71" w:rsidRDefault="00B44B71" w:rsidP="006D5E8E">
      <w:pPr>
        <w:numPr>
          <w:ilvl w:val="0"/>
          <w:numId w:val="15"/>
        </w:numPr>
        <w:tabs>
          <w:tab w:val="clear" w:pos="720"/>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lastRenderedPageBreak/>
        <w:t xml:space="preserve">Дерев’янчук А. Й., Наливайко А. Д., Чопа Д. А. (2024). Напрями розвитку і впровадження новітніх технологій викладання військово-технічних дисциплін у підготовку фахівців ракетних військ та артилерії. </w:t>
      </w:r>
      <w:r w:rsidRPr="00B44B71">
        <w:rPr>
          <w:rFonts w:ascii="Times New Roman" w:eastAsia="Times New Roman" w:hAnsi="Times New Roman" w:cs="Times New Roman"/>
          <w:i/>
          <w:kern w:val="0"/>
          <w:sz w:val="24"/>
          <w:szCs w:val="24"/>
          <w:lang w:val="uk-UA"/>
          <w14:ligatures w14:val="none"/>
        </w:rPr>
        <w:t>Військова освіта</w:t>
      </w:r>
      <w:r w:rsidRPr="00B44B71">
        <w:rPr>
          <w:rFonts w:ascii="Times New Roman" w:eastAsia="Times New Roman" w:hAnsi="Times New Roman" w:cs="Times New Roman"/>
          <w:kern w:val="0"/>
          <w:sz w:val="24"/>
          <w:szCs w:val="24"/>
          <w:lang w:val="uk-UA"/>
          <w14:ligatures w14:val="none"/>
        </w:rPr>
        <w:t>. № 2(50). DOI: 10.33099/2617-1775/2024-02/48-67 URL:</w:t>
      </w:r>
      <w:hyperlink r:id="rId221" w:history="1">
        <w:r w:rsidRPr="00B44B71">
          <w:rPr>
            <w:rFonts w:ascii="Segoe UI" w:eastAsia="Times New Roman" w:hAnsi="Segoe UI" w:cs="Segoe UI"/>
            <w:color w:val="0563C1"/>
            <w:kern w:val="0"/>
            <w:sz w:val="21"/>
            <w:szCs w:val="21"/>
            <w:u w:val="single"/>
            <w:shd w:val="clear" w:color="auto" w:fill="FFFFFF"/>
            <w:lang w:val="uk-UA"/>
            <w14:ligatures w14:val="none"/>
          </w:rPr>
          <w:t>https://doi.org/10.33099/2617-1783/2024-50/48-67</w:t>
        </w:r>
      </w:hyperlink>
    </w:p>
    <w:p w14:paraId="5A4CE5D6" w14:textId="77777777" w:rsidR="00B44B71" w:rsidRPr="00B44B71" w:rsidRDefault="00B44B71" w:rsidP="006D5E8E">
      <w:pPr>
        <w:numPr>
          <w:ilvl w:val="0"/>
          <w:numId w:val="15"/>
        </w:numPr>
        <w:tabs>
          <w:tab w:val="clear" w:pos="720"/>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bookmarkStart w:id="13" w:name="_Hlk224838306"/>
      <w:r w:rsidRPr="00B44B71">
        <w:rPr>
          <w:rFonts w:ascii="Times New Roman" w:eastAsia="Times New Roman" w:hAnsi="Times New Roman" w:cs="Times New Roman"/>
          <w:kern w:val="0"/>
          <w:sz w:val="24"/>
          <w:szCs w:val="24"/>
          <w:lang w:val="uk-UA"/>
          <w14:ligatures w14:val="none"/>
        </w:rPr>
        <w:t>Зелений І.</w:t>
      </w:r>
      <w:bookmarkEnd w:id="13"/>
      <w:r w:rsidRPr="00B44B71">
        <w:rPr>
          <w:rFonts w:ascii="Times New Roman" w:eastAsia="Times New Roman" w:hAnsi="Times New Roman" w:cs="Times New Roman"/>
          <w:kern w:val="0"/>
          <w:sz w:val="24"/>
          <w:szCs w:val="24"/>
          <w:lang w:val="uk-UA"/>
          <w14:ligatures w14:val="none"/>
        </w:rPr>
        <w:t xml:space="preserve"> М. (2024). Визначення рівня готовності майбутніх офіцерів розвідувальної діяльності до неперервного професійного розвитку. </w:t>
      </w:r>
      <w:r w:rsidRPr="00B44B71">
        <w:rPr>
          <w:rFonts w:ascii="Times New Roman" w:eastAsia="Times New Roman" w:hAnsi="Times New Roman" w:cs="Times New Roman"/>
          <w:i/>
          <w:kern w:val="0"/>
          <w:sz w:val="24"/>
          <w:szCs w:val="24"/>
          <w:lang w:val="uk-UA"/>
          <w14:ligatures w14:val="none"/>
        </w:rPr>
        <w:t>Військова освіта</w:t>
      </w:r>
      <w:r w:rsidRPr="00B44B71">
        <w:rPr>
          <w:rFonts w:ascii="Times New Roman" w:eastAsia="Times New Roman" w:hAnsi="Times New Roman" w:cs="Times New Roman"/>
          <w:kern w:val="0"/>
          <w:sz w:val="24"/>
          <w:szCs w:val="24"/>
          <w:lang w:val="uk-UA"/>
          <w14:ligatures w14:val="none"/>
        </w:rPr>
        <w:t>. № 2(50). DOI: 10.33099/2617-1775/2024-02/68-82 URL:</w:t>
      </w:r>
      <w:hyperlink r:id="rId222" w:history="1">
        <w:r w:rsidRPr="00B44B71">
          <w:rPr>
            <w:rFonts w:ascii="Times New Roman" w:eastAsia="Times New Roman" w:hAnsi="Times New Roman" w:cs="Times New Roman"/>
            <w:color w:val="0563C1"/>
            <w:kern w:val="0"/>
            <w:sz w:val="24"/>
            <w:szCs w:val="24"/>
            <w:u w:val="single"/>
            <w:lang w:val="uk-UA"/>
            <w14:ligatures w14:val="none"/>
          </w:rPr>
          <w:t>https://znp-vo.nuou.org.ua/article/view/320540</w:t>
        </w:r>
      </w:hyperlink>
    </w:p>
    <w:p w14:paraId="531A1C81" w14:textId="77777777" w:rsidR="00B44B71" w:rsidRPr="00B44B71" w:rsidRDefault="00B44B71" w:rsidP="006D5E8E">
      <w:pPr>
        <w:numPr>
          <w:ilvl w:val="0"/>
          <w:numId w:val="15"/>
        </w:numPr>
        <w:tabs>
          <w:tab w:val="clear" w:pos="720"/>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Касянова Г. (2023). Формування технічного мислення засобами STEM-освіти майбутнього вчителя фізики. Збірник наукових праць Кам’янець-подільського національного університету ім. Івана Огієнка, 2023. № 29. Дидактичні передумови становлення майбутнього вчителя в умовах інновацій природничо-наукової освіти.</w:t>
      </w:r>
      <w:r w:rsidRPr="00B44B71">
        <w:rPr>
          <w:rFonts w:ascii="Times New Roman" w:eastAsia="Times New Roman" w:hAnsi="Times New Roman" w:cs="Times New Roman"/>
          <w:kern w:val="0"/>
          <w:sz w:val="25"/>
          <w:szCs w:val="25"/>
          <w:shd w:val="clear" w:color="auto" w:fill="FFFFFF"/>
          <w:lang w:val="uk-UA"/>
          <w14:ligatures w14:val="none"/>
        </w:rPr>
        <w:t xml:space="preserve"> DOI:10.32626/2307-4507.2023-29.64-67</w:t>
      </w:r>
      <w:r w:rsidRPr="00B44B71">
        <w:rPr>
          <w:rFonts w:ascii="Times New Roman" w:eastAsia="Times New Roman" w:hAnsi="Times New Roman" w:cs="Times New Roman"/>
          <w:kern w:val="0"/>
          <w:sz w:val="24"/>
          <w:szCs w:val="24"/>
          <w:lang w:val="uk-UA"/>
          <w14:ligatures w14:val="none"/>
        </w:rPr>
        <w:t xml:space="preserve"> URL:</w:t>
      </w:r>
      <w:hyperlink r:id="rId223" w:history="1">
        <w:r w:rsidRPr="00B44B71">
          <w:rPr>
            <w:rFonts w:ascii="Times New Roman" w:eastAsia="Times New Roman" w:hAnsi="Times New Roman" w:cs="Times New Roman"/>
            <w:color w:val="0563C1"/>
            <w:kern w:val="0"/>
            <w:sz w:val="24"/>
            <w:szCs w:val="24"/>
            <w:u w:val="single"/>
            <w:lang w:val="uk-UA"/>
            <w14:ligatures w14:val="none"/>
          </w:rPr>
          <w:t>http://ped-series.kpnu.edu.ua/article/view/296544</w:t>
        </w:r>
      </w:hyperlink>
    </w:p>
    <w:p w14:paraId="2BC471EE" w14:textId="77777777" w:rsidR="00B44B71" w:rsidRPr="00B44B71" w:rsidRDefault="00B44B71" w:rsidP="006D5E8E">
      <w:pPr>
        <w:numPr>
          <w:ilvl w:val="0"/>
          <w:numId w:val="15"/>
        </w:numPr>
        <w:tabs>
          <w:tab w:val="clear" w:pos="720"/>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 xml:space="preserve">Мірненко В. І., Вітер Д. М., Оліферук В. М. (2023). Трансформація системи військової освіти: основні тенденції та перспективи. </w:t>
      </w:r>
      <w:r w:rsidRPr="00B44B71">
        <w:rPr>
          <w:rFonts w:ascii="Times New Roman" w:eastAsia="Times New Roman" w:hAnsi="Times New Roman" w:cs="Times New Roman"/>
          <w:i/>
          <w:kern w:val="0"/>
          <w:sz w:val="24"/>
          <w:szCs w:val="24"/>
          <w:lang w:val="uk-UA"/>
          <w14:ligatures w14:val="none"/>
        </w:rPr>
        <w:t>Військова освіта</w:t>
      </w:r>
      <w:r w:rsidRPr="00B44B71">
        <w:rPr>
          <w:rFonts w:ascii="Times New Roman" w:eastAsia="Times New Roman" w:hAnsi="Times New Roman" w:cs="Times New Roman"/>
          <w:kern w:val="0"/>
          <w:sz w:val="24"/>
          <w:szCs w:val="24"/>
          <w:lang w:val="uk-UA"/>
          <w14:ligatures w14:val="none"/>
        </w:rPr>
        <w:t>. № 2(48). DOI: 10.33099/2617-1775/2023-02/9-17 URL:</w:t>
      </w:r>
      <w:hyperlink r:id="rId224" w:tgtFrame="_new" w:history="1">
        <w:r w:rsidRPr="00B44B71">
          <w:rPr>
            <w:rFonts w:ascii="Times New Roman" w:eastAsia="Times New Roman" w:hAnsi="Times New Roman" w:cs="Times New Roman"/>
            <w:color w:val="0563C1"/>
            <w:kern w:val="0"/>
            <w:sz w:val="24"/>
            <w:szCs w:val="24"/>
            <w:u w:val="single"/>
            <w:lang w:val="uk-UA"/>
            <w14:ligatures w14:val="none"/>
          </w:rPr>
          <w:t>https://znp-vo.nuou.org.ua/article/view/293485</w:t>
        </w:r>
      </w:hyperlink>
    </w:p>
    <w:p w14:paraId="2A5394F9" w14:textId="77777777" w:rsidR="00B44B71" w:rsidRPr="00B44B71" w:rsidRDefault="00B44B71" w:rsidP="006D5E8E">
      <w:pPr>
        <w:numPr>
          <w:ilvl w:val="0"/>
          <w:numId w:val="15"/>
        </w:numPr>
        <w:tabs>
          <w:tab w:val="clear" w:pos="720"/>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bookmarkStart w:id="14" w:name="_Hlk224838317"/>
      <w:r w:rsidRPr="00B44B71">
        <w:rPr>
          <w:rFonts w:ascii="Times New Roman" w:eastAsia="Times New Roman" w:hAnsi="Times New Roman" w:cs="Times New Roman"/>
          <w:kern w:val="0"/>
          <w:sz w:val="24"/>
          <w:szCs w:val="24"/>
          <w:lang w:val="uk-UA"/>
          <w14:ligatures w14:val="none"/>
        </w:rPr>
        <w:t>Рахманов В.</w:t>
      </w:r>
      <w:bookmarkEnd w:id="14"/>
      <w:r w:rsidRPr="00B44B71">
        <w:rPr>
          <w:rFonts w:ascii="Times New Roman" w:eastAsia="Times New Roman" w:hAnsi="Times New Roman" w:cs="Times New Roman"/>
          <w:kern w:val="0"/>
          <w:sz w:val="24"/>
          <w:szCs w:val="24"/>
          <w:lang w:val="uk-UA"/>
          <w14:ligatures w14:val="none"/>
        </w:rPr>
        <w:t xml:space="preserve"> О. (2022). Основні етапи системного підходу до навчання у вищому військовому навчальному закладі. </w:t>
      </w:r>
      <w:r w:rsidRPr="00B44B71">
        <w:rPr>
          <w:rFonts w:ascii="Times New Roman" w:eastAsia="Times New Roman" w:hAnsi="Times New Roman" w:cs="Times New Roman"/>
          <w:i/>
          <w:kern w:val="0"/>
          <w:sz w:val="24"/>
          <w:szCs w:val="24"/>
          <w:lang w:val="uk-UA"/>
          <w14:ligatures w14:val="none"/>
        </w:rPr>
        <w:t>Військова освіта</w:t>
      </w:r>
      <w:r w:rsidRPr="00B44B71">
        <w:rPr>
          <w:rFonts w:ascii="Times New Roman" w:eastAsia="Times New Roman" w:hAnsi="Times New Roman" w:cs="Times New Roman"/>
          <w:kern w:val="0"/>
          <w:sz w:val="24"/>
          <w:szCs w:val="24"/>
          <w:lang w:val="uk-UA"/>
          <w14:ligatures w14:val="none"/>
        </w:rPr>
        <w:t>. № 1(45). DOI: 10.33099/2617-1775/2022-01/207-218 URL:</w:t>
      </w:r>
      <w:hyperlink r:id="rId225" w:tgtFrame="_new" w:history="1">
        <w:r w:rsidRPr="00B44B71">
          <w:rPr>
            <w:rFonts w:ascii="Times New Roman" w:eastAsia="Times New Roman" w:hAnsi="Times New Roman" w:cs="Times New Roman"/>
            <w:color w:val="0563C1"/>
            <w:kern w:val="0"/>
            <w:sz w:val="24"/>
            <w:szCs w:val="24"/>
            <w:u w:val="single"/>
            <w:lang w:val="uk-UA"/>
            <w14:ligatures w14:val="none"/>
          </w:rPr>
          <w:t>https://znp-vo.nuou.org.ua/article/view/259471</w:t>
        </w:r>
      </w:hyperlink>
    </w:p>
    <w:p w14:paraId="6386E24E" w14:textId="77777777" w:rsidR="00B44B71" w:rsidRPr="00B44B71" w:rsidRDefault="00B44B71" w:rsidP="006D5E8E">
      <w:pPr>
        <w:numPr>
          <w:ilvl w:val="0"/>
          <w:numId w:val="15"/>
        </w:numPr>
        <w:tabs>
          <w:tab w:val="clear" w:pos="720"/>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bookmarkStart w:id="15" w:name="_Hlk224838343"/>
      <w:r w:rsidRPr="00B44B71">
        <w:rPr>
          <w:rFonts w:ascii="Times New Roman" w:eastAsia="Times New Roman" w:hAnsi="Times New Roman" w:cs="Times New Roman"/>
          <w:kern w:val="0"/>
          <w:sz w:val="24"/>
          <w:szCs w:val="24"/>
          <w:lang w:val="uk-UA"/>
          <w14:ligatures w14:val="none"/>
        </w:rPr>
        <w:t>Ролін І. Ф., Серпухов О. В., Чернявський О. С., Вавілова Н.</w:t>
      </w:r>
      <w:bookmarkEnd w:id="15"/>
      <w:r w:rsidRPr="00B44B71">
        <w:rPr>
          <w:rFonts w:ascii="Times New Roman" w:eastAsia="Times New Roman" w:hAnsi="Times New Roman" w:cs="Times New Roman"/>
          <w:kern w:val="0"/>
          <w:sz w:val="24"/>
          <w:szCs w:val="24"/>
          <w:lang w:val="uk-UA"/>
          <w14:ligatures w14:val="none"/>
        </w:rPr>
        <w:t xml:space="preserve"> І. (2024). Використання таксономії Блума як інструменту активізації навчання військових лідерів, підрозділів та органів управління. </w:t>
      </w:r>
      <w:r w:rsidRPr="00B44B71">
        <w:rPr>
          <w:rFonts w:ascii="Times New Roman" w:eastAsia="Times New Roman" w:hAnsi="Times New Roman" w:cs="Times New Roman"/>
          <w:i/>
          <w:kern w:val="0"/>
          <w:sz w:val="24"/>
          <w:szCs w:val="24"/>
          <w:lang w:val="uk-UA"/>
          <w14:ligatures w14:val="none"/>
        </w:rPr>
        <w:t>Військова освіта</w:t>
      </w:r>
      <w:r w:rsidRPr="00B44B71">
        <w:rPr>
          <w:rFonts w:ascii="Times New Roman" w:eastAsia="Times New Roman" w:hAnsi="Times New Roman" w:cs="Times New Roman"/>
          <w:kern w:val="0"/>
          <w:sz w:val="24"/>
          <w:szCs w:val="24"/>
          <w:lang w:val="uk-UA"/>
          <w14:ligatures w14:val="none"/>
        </w:rPr>
        <w:t>. № 1(49). DOI: 10.33099/2617-1775/2024-01/219-232 URL:</w:t>
      </w:r>
      <w:hyperlink r:id="rId226" w:tgtFrame="_new" w:history="1">
        <w:r w:rsidRPr="00B44B71">
          <w:rPr>
            <w:rFonts w:ascii="Times New Roman" w:eastAsia="Times New Roman" w:hAnsi="Times New Roman" w:cs="Times New Roman"/>
            <w:color w:val="0563C1"/>
            <w:kern w:val="0"/>
            <w:sz w:val="24"/>
            <w:szCs w:val="24"/>
            <w:u w:val="single"/>
            <w:lang w:val="uk-UA"/>
            <w14:ligatures w14:val="none"/>
          </w:rPr>
          <w:t>https://znp-vo.nuou.org.ua/article/view/308660</w:t>
        </w:r>
      </w:hyperlink>
    </w:p>
    <w:p w14:paraId="48A4BFF9" w14:textId="77777777" w:rsidR="00B44B71" w:rsidRPr="00B44B71" w:rsidRDefault="00B44B71" w:rsidP="006D5E8E">
      <w:pPr>
        <w:numPr>
          <w:ilvl w:val="0"/>
          <w:numId w:val="15"/>
        </w:numPr>
        <w:tabs>
          <w:tab w:val="clear" w:pos="720"/>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bookmarkStart w:id="16" w:name="_Hlk224838335"/>
      <w:r w:rsidRPr="00B44B71">
        <w:rPr>
          <w:rFonts w:ascii="Times New Roman" w:eastAsia="Times New Roman" w:hAnsi="Times New Roman" w:cs="Times New Roman"/>
          <w:kern w:val="0"/>
          <w:sz w:val="24"/>
          <w:szCs w:val="24"/>
          <w:lang w:val="uk-UA"/>
          <w14:ligatures w14:val="none"/>
        </w:rPr>
        <w:t>Розумовська Ю.</w:t>
      </w:r>
      <w:bookmarkEnd w:id="16"/>
      <w:r w:rsidRPr="00B44B71">
        <w:rPr>
          <w:rFonts w:ascii="Times New Roman" w:eastAsia="Times New Roman" w:hAnsi="Times New Roman" w:cs="Times New Roman"/>
          <w:kern w:val="0"/>
          <w:sz w:val="24"/>
          <w:szCs w:val="24"/>
          <w:lang w:val="uk-UA"/>
          <w14:ligatures w14:val="none"/>
        </w:rPr>
        <w:t xml:space="preserve"> С. (2024). Інформаційно-комунікаційна компетентність офіцерів тактичної ланки управління: поняття, зміст і структура. </w:t>
      </w:r>
      <w:r w:rsidRPr="00B44B71">
        <w:rPr>
          <w:rFonts w:ascii="Times New Roman" w:eastAsia="Times New Roman" w:hAnsi="Times New Roman" w:cs="Times New Roman"/>
          <w:i/>
          <w:kern w:val="0"/>
          <w:sz w:val="24"/>
          <w:szCs w:val="24"/>
          <w:lang w:val="uk-UA"/>
          <w14:ligatures w14:val="none"/>
        </w:rPr>
        <w:t>Військова освіта</w:t>
      </w:r>
      <w:r w:rsidRPr="00B44B71">
        <w:rPr>
          <w:rFonts w:ascii="Times New Roman" w:eastAsia="Times New Roman" w:hAnsi="Times New Roman" w:cs="Times New Roman"/>
          <w:kern w:val="0"/>
          <w:sz w:val="24"/>
          <w:szCs w:val="24"/>
          <w:lang w:val="uk-UA"/>
          <w14:ligatures w14:val="none"/>
        </w:rPr>
        <w:t>. № 1(49). DOI: 10.33099/2617-1775/2024-01/205-218 URL:</w:t>
      </w:r>
      <w:hyperlink r:id="rId227" w:history="1">
        <w:r w:rsidRPr="00B44B71">
          <w:rPr>
            <w:rFonts w:ascii="Times New Roman" w:eastAsia="Times New Roman" w:hAnsi="Times New Roman" w:cs="Times New Roman"/>
            <w:color w:val="0563C1"/>
            <w:kern w:val="0"/>
            <w:sz w:val="24"/>
            <w:szCs w:val="24"/>
            <w:u w:val="single"/>
            <w:lang w:val="uk-UA"/>
            <w14:ligatures w14:val="none"/>
          </w:rPr>
          <w:t>https://znp-vo.nuou.org.ua/article/view/301257</w:t>
        </w:r>
      </w:hyperlink>
    </w:p>
    <w:p w14:paraId="73659409" w14:textId="77777777" w:rsidR="00B44B71" w:rsidRPr="00B44B71" w:rsidRDefault="00B44B71" w:rsidP="006D5E8E">
      <w:pPr>
        <w:numPr>
          <w:ilvl w:val="0"/>
          <w:numId w:val="15"/>
        </w:numPr>
        <w:tabs>
          <w:tab w:val="clear" w:pos="720"/>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ru-RU"/>
          <w14:ligatures w14:val="none"/>
        </w:rPr>
        <w:t xml:space="preserve">Сампір О., Возняк Р., Горбачова Я., Новікова І. (2024). Аналіз бойового досвіду експлуатації артилерійських систем озброєння в ході російсько-української війни. </w:t>
      </w:r>
      <w:r w:rsidRPr="00B44B71">
        <w:rPr>
          <w:rFonts w:ascii="Times New Roman" w:eastAsia="Times New Roman" w:hAnsi="Times New Roman" w:cs="Times New Roman"/>
          <w:i/>
          <w:kern w:val="0"/>
          <w:sz w:val="24"/>
          <w:szCs w:val="24"/>
          <w14:ligatures w14:val="none"/>
        </w:rPr>
        <w:t>Social Development and Security</w:t>
      </w:r>
      <w:r w:rsidRPr="00B44B71">
        <w:rPr>
          <w:rFonts w:ascii="Times New Roman" w:eastAsia="Times New Roman" w:hAnsi="Times New Roman" w:cs="Times New Roman"/>
          <w:kern w:val="0"/>
          <w:sz w:val="24"/>
          <w:szCs w:val="24"/>
          <w14:ligatures w14:val="none"/>
        </w:rPr>
        <w:t>, 14(1), 113–126. DOI: 10.33445/sds.2024.14.1.10</w:t>
      </w:r>
      <w:r w:rsidRPr="00B44B71">
        <w:rPr>
          <w:rFonts w:ascii="Times New Roman" w:eastAsia="Times New Roman" w:hAnsi="Times New Roman" w:cs="Times New Roman"/>
          <w:kern w:val="0"/>
          <w:sz w:val="24"/>
          <w:szCs w:val="24"/>
          <w:lang w:val="uk-UA"/>
          <w14:ligatures w14:val="none"/>
        </w:rPr>
        <w:t xml:space="preserve"> </w:t>
      </w:r>
      <w:r w:rsidRPr="00B44B71">
        <w:rPr>
          <w:rFonts w:ascii="Times New Roman" w:eastAsia="Times New Roman" w:hAnsi="Times New Roman" w:cs="Times New Roman"/>
          <w:kern w:val="0"/>
          <w:sz w:val="24"/>
          <w:szCs w:val="24"/>
          <w14:ligatures w14:val="none"/>
        </w:rPr>
        <w:t xml:space="preserve">URL: </w:t>
      </w:r>
      <w:hyperlink r:id="rId228" w:history="1">
        <w:r w:rsidRPr="00B44B71">
          <w:rPr>
            <w:rFonts w:ascii="Times New Roman" w:eastAsia="Times New Roman" w:hAnsi="Times New Roman" w:cs="Times New Roman"/>
            <w:color w:val="0563C1"/>
            <w:kern w:val="0"/>
            <w:sz w:val="24"/>
            <w:szCs w:val="24"/>
            <w:u w:val="single"/>
            <w14:ligatures w14:val="none"/>
          </w:rPr>
          <w:t>https://www.researchgate.net/publication/379072539_Analiz_bojovogo_dosvidu_ekspluatacii_artilerijskih_sistem_ozbroenna_v_hodi_rosijsko-ukrainskoi_vijni</w:t>
        </w:r>
      </w:hyperlink>
    </w:p>
    <w:p w14:paraId="1AED22A5" w14:textId="77777777" w:rsidR="00B44B71" w:rsidRPr="00B44B71" w:rsidRDefault="00B44B71" w:rsidP="006D5E8E">
      <w:pPr>
        <w:numPr>
          <w:ilvl w:val="0"/>
          <w:numId w:val="15"/>
        </w:numPr>
        <w:tabs>
          <w:tab w:val="clear" w:pos="720"/>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 xml:space="preserve">Сова О. М. (2025). Організаційно-методичні рекомендації з підготовки військових фахівців із використанням засобів імітаційного моделювання бойових дій. </w:t>
      </w:r>
      <w:r w:rsidRPr="00B44B71">
        <w:rPr>
          <w:rFonts w:ascii="Times New Roman" w:eastAsia="Times New Roman" w:hAnsi="Times New Roman" w:cs="Times New Roman"/>
          <w:i/>
          <w:kern w:val="0"/>
          <w:sz w:val="24"/>
          <w:szCs w:val="24"/>
          <w:lang w:val="uk-UA"/>
          <w14:ligatures w14:val="none"/>
        </w:rPr>
        <w:t>Військова освіта</w:t>
      </w:r>
      <w:r w:rsidRPr="00B44B71">
        <w:rPr>
          <w:rFonts w:ascii="Times New Roman" w:eastAsia="Times New Roman" w:hAnsi="Times New Roman" w:cs="Times New Roman"/>
          <w:kern w:val="0"/>
          <w:sz w:val="24"/>
          <w:szCs w:val="24"/>
          <w:lang w:val="uk-UA"/>
          <w14:ligatures w14:val="none"/>
        </w:rPr>
        <w:t>. № 2(52). DOI: 10.33099/2617-1775/2025-02/194-208 URL:</w:t>
      </w:r>
      <w:hyperlink r:id="rId229" w:history="1">
        <w:r w:rsidRPr="00B44B71">
          <w:rPr>
            <w:rFonts w:ascii="Times New Roman" w:eastAsia="Times New Roman" w:hAnsi="Times New Roman" w:cs="Times New Roman"/>
            <w:color w:val="0563C1"/>
            <w:kern w:val="0"/>
            <w:sz w:val="24"/>
            <w:szCs w:val="24"/>
            <w:u w:val="single"/>
            <w:lang w:val="uk-UA"/>
            <w14:ligatures w14:val="none"/>
          </w:rPr>
          <w:t>https://znp-vo.nuou.org.ua/article/view/352250</w:t>
        </w:r>
      </w:hyperlink>
    </w:p>
    <w:p w14:paraId="1656D3B5" w14:textId="77777777" w:rsidR="00B44B71" w:rsidRPr="00B44B71" w:rsidRDefault="00B44B71" w:rsidP="001433E9">
      <w:pPr>
        <w:shd w:val="clear" w:color="auto" w:fill="FFFFFF"/>
        <w:tabs>
          <w:tab w:val="num" w:pos="0"/>
          <w:tab w:val="left" w:pos="9638"/>
        </w:tabs>
        <w:spacing w:after="0" w:line="240" w:lineRule="auto"/>
        <w:ind w:firstLine="709"/>
        <w:jc w:val="both"/>
        <w:rPr>
          <w:rFonts w:ascii="Segoe UI" w:eastAsia="Times New Roman" w:hAnsi="Segoe UI" w:cs="Segoe UI"/>
          <w:b/>
          <w:bCs/>
          <w:kern w:val="0"/>
          <w:sz w:val="21"/>
          <w:szCs w:val="21"/>
          <w:lang w:val="uk-UA"/>
          <w14:ligatures w14:val="none"/>
        </w:rPr>
      </w:pPr>
    </w:p>
    <w:p w14:paraId="1C049056" w14:textId="77777777" w:rsidR="00B44B71" w:rsidRPr="00B44B71" w:rsidRDefault="00B44B71" w:rsidP="006D5E8E">
      <w:pPr>
        <w:shd w:val="clear" w:color="auto" w:fill="FFFFFF"/>
        <w:tabs>
          <w:tab w:val="num" w:pos="0"/>
          <w:tab w:val="left" w:pos="9638"/>
        </w:tabs>
        <w:spacing w:after="0" w:line="240" w:lineRule="auto"/>
        <w:jc w:val="center"/>
        <w:rPr>
          <w:rFonts w:ascii="Times New Roman" w:eastAsia="Times New Roman" w:hAnsi="Times New Roman" w:cs="Times New Roman"/>
          <w:b/>
          <w:bCs/>
          <w:kern w:val="0"/>
          <w:sz w:val="24"/>
          <w:szCs w:val="24"/>
          <w:lang w:val="ru-RU"/>
          <w14:ligatures w14:val="none"/>
        </w:rPr>
      </w:pPr>
      <w:r w:rsidRPr="00B44B71">
        <w:rPr>
          <w:rFonts w:ascii="Times New Roman" w:eastAsia="Times New Roman" w:hAnsi="Times New Roman" w:cs="Times New Roman"/>
          <w:b/>
          <w:bCs/>
          <w:kern w:val="0"/>
          <w:sz w:val="24"/>
          <w:szCs w:val="24"/>
          <w:lang w:val="ru-RU"/>
          <w14:ligatures w14:val="none"/>
        </w:rPr>
        <w:t>REFERENCES</w:t>
      </w:r>
    </w:p>
    <w:p w14:paraId="7621F4F4" w14:textId="77777777" w:rsidR="00B44B71" w:rsidRPr="00B44B71" w:rsidRDefault="00B44B71" w:rsidP="001433E9">
      <w:pPr>
        <w:shd w:val="clear" w:color="auto" w:fill="FFFFFF"/>
        <w:tabs>
          <w:tab w:val="num" w:pos="0"/>
          <w:tab w:val="left" w:pos="9638"/>
        </w:tabs>
        <w:spacing w:after="0" w:line="240" w:lineRule="auto"/>
        <w:ind w:firstLine="709"/>
        <w:jc w:val="both"/>
        <w:rPr>
          <w:rFonts w:ascii="Times New Roman" w:eastAsia="Times New Roman" w:hAnsi="Times New Roman" w:cs="Times New Roman"/>
          <w:kern w:val="0"/>
          <w:sz w:val="24"/>
          <w:szCs w:val="24"/>
          <w:lang w:val="uk-UA"/>
          <w14:ligatures w14:val="none"/>
        </w:rPr>
      </w:pPr>
    </w:p>
    <w:p w14:paraId="0FBF19F2" w14:textId="77777777" w:rsidR="00B44B71" w:rsidRPr="00B44B71" w:rsidRDefault="00B44B71" w:rsidP="006D5E8E">
      <w:pPr>
        <w:numPr>
          <w:ilvl w:val="0"/>
          <w:numId w:val="16"/>
        </w:numPr>
        <w:shd w:val="clear" w:color="auto" w:fill="FFFFFF"/>
        <w:tabs>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14:ligatures w14:val="none"/>
        </w:rPr>
        <w:t>Military</w:t>
      </w:r>
      <w:r w:rsidRPr="00B44B71">
        <w:rPr>
          <w:rFonts w:ascii="Times New Roman" w:eastAsia="Times New Roman" w:hAnsi="Times New Roman" w:cs="Times New Roman"/>
          <w:kern w:val="0"/>
          <w:sz w:val="24"/>
          <w:szCs w:val="24"/>
          <w:lang w:val="uk-UA"/>
          <w14:ligatures w14:val="none"/>
        </w:rPr>
        <w:t xml:space="preserve"> </w:t>
      </w:r>
      <w:r w:rsidRPr="00B44B71">
        <w:rPr>
          <w:rFonts w:ascii="Times New Roman" w:eastAsia="Times New Roman" w:hAnsi="Times New Roman" w:cs="Times New Roman"/>
          <w:kern w:val="0"/>
          <w:sz w:val="24"/>
          <w:szCs w:val="24"/>
          <w14:ligatures w14:val="none"/>
        </w:rPr>
        <w:t>Academy</w:t>
      </w:r>
      <w:r w:rsidRPr="00B44B71">
        <w:rPr>
          <w:rFonts w:ascii="Times New Roman" w:eastAsia="Times New Roman" w:hAnsi="Times New Roman" w:cs="Times New Roman"/>
          <w:kern w:val="0"/>
          <w:sz w:val="24"/>
          <w:szCs w:val="24"/>
          <w:lang w:val="uk-UA"/>
          <w14:ligatures w14:val="none"/>
        </w:rPr>
        <w:t xml:space="preserve"> (</w:t>
      </w:r>
      <w:r w:rsidRPr="00B44B71">
        <w:rPr>
          <w:rFonts w:ascii="Times New Roman" w:eastAsia="Times New Roman" w:hAnsi="Times New Roman" w:cs="Times New Roman"/>
          <w:kern w:val="0"/>
          <w:sz w:val="24"/>
          <w:szCs w:val="24"/>
          <w14:ligatures w14:val="none"/>
        </w:rPr>
        <w:t>Odesa</w:t>
      </w:r>
      <w:r w:rsidRPr="00B44B71">
        <w:rPr>
          <w:rFonts w:ascii="Times New Roman" w:eastAsia="Times New Roman" w:hAnsi="Times New Roman" w:cs="Times New Roman"/>
          <w:kern w:val="0"/>
          <w:sz w:val="24"/>
          <w:szCs w:val="24"/>
          <w:lang w:val="uk-UA"/>
          <w14:ligatures w14:val="none"/>
        </w:rPr>
        <w:t xml:space="preserve">). (2026). Osvitnʹo-profesiyna (naukova) prohrama ta retsenziya «Ekspluatatsiya ta remont raketno-artyleriysʹkoho ozbroyennya». </w:t>
      </w:r>
      <w:r w:rsidRPr="00B44B71">
        <w:rPr>
          <w:rFonts w:ascii="Times New Roman" w:eastAsia="Times New Roman" w:hAnsi="Times New Roman" w:cs="Times New Roman"/>
          <w:kern w:val="0"/>
          <w:sz w:val="24"/>
          <w:szCs w:val="24"/>
          <w14:ligatures w14:val="none"/>
        </w:rPr>
        <w:t xml:space="preserve">[Educational and professional (scientific) program and review </w:t>
      </w:r>
      <w:r w:rsidRPr="00B44B71">
        <w:rPr>
          <w:rFonts w:ascii="Times New Roman" w:eastAsia="Times New Roman" w:hAnsi="Times New Roman" w:cs="Times New Roman"/>
          <w:kern w:val="0"/>
          <w:sz w:val="24"/>
          <w:szCs w:val="24"/>
          <w:lang w:val="uk-UA"/>
          <w14:ligatures w14:val="none"/>
        </w:rPr>
        <w:t>«</w:t>
      </w:r>
      <w:r w:rsidRPr="00B44B71">
        <w:rPr>
          <w:rFonts w:ascii="Times New Roman" w:eastAsia="Times New Roman" w:hAnsi="Times New Roman" w:cs="Times New Roman"/>
          <w:kern w:val="0"/>
          <w:sz w:val="24"/>
          <w:szCs w:val="24"/>
          <w14:ligatures w14:val="none"/>
        </w:rPr>
        <w:t>Operation and repair of missile and artillery weapons.</w:t>
      </w:r>
      <w:r w:rsidRPr="00B44B71">
        <w:rPr>
          <w:rFonts w:ascii="Times New Roman" w:eastAsia="Times New Roman" w:hAnsi="Times New Roman" w:cs="Times New Roman"/>
          <w:kern w:val="0"/>
          <w:sz w:val="24"/>
          <w:szCs w:val="24"/>
          <w:lang w:val="uk-UA"/>
          <w14:ligatures w14:val="none"/>
        </w:rPr>
        <w:t>»</w:t>
      </w:r>
      <w:r w:rsidRPr="00B44B71">
        <w:rPr>
          <w:rFonts w:ascii="Times New Roman" w:eastAsia="Times New Roman" w:hAnsi="Times New Roman" w:cs="Times New Roman"/>
          <w:kern w:val="0"/>
          <w:sz w:val="24"/>
          <w:szCs w:val="24"/>
          <w14:ligatures w14:val="none"/>
        </w:rPr>
        <w:t>]</w:t>
      </w:r>
      <w:r w:rsidRPr="00B44B71">
        <w:rPr>
          <w:rFonts w:ascii="Times New Roman" w:eastAsia="Times New Roman" w:hAnsi="Times New Roman" w:cs="Times New Roman"/>
          <w:kern w:val="0"/>
          <w:sz w:val="24"/>
          <w:szCs w:val="24"/>
          <w:lang w:val="uk-UA"/>
          <w14:ligatures w14:val="none"/>
        </w:rPr>
        <w:t xml:space="preserve"> URL:</w:t>
      </w:r>
      <w:hyperlink r:id="rId230" w:tgtFrame="_new" w:history="1">
        <w:r w:rsidRPr="00B44B71">
          <w:rPr>
            <w:rFonts w:ascii="Times New Roman" w:eastAsia="Times New Roman" w:hAnsi="Times New Roman" w:cs="Times New Roman"/>
            <w:color w:val="0563C1"/>
            <w:kern w:val="0"/>
            <w:sz w:val="24"/>
            <w:szCs w:val="24"/>
            <w:u w:val="single"/>
            <w:lang w:val="uk-UA"/>
            <w14:ligatures w14:val="none"/>
          </w:rPr>
          <w:t>https://vaodesa.mil.gov.ua/osvitno-profesiyni-naukovi-prohramy-ta-retsenzii/</w:t>
        </w:r>
      </w:hyperlink>
    </w:p>
    <w:p w14:paraId="31532292" w14:textId="77777777" w:rsidR="00B44B71" w:rsidRPr="00B44B71" w:rsidRDefault="00B44B71" w:rsidP="006D5E8E">
      <w:pPr>
        <w:numPr>
          <w:ilvl w:val="0"/>
          <w:numId w:val="16"/>
        </w:numPr>
        <w:shd w:val="clear" w:color="auto" w:fill="FFFFFF"/>
        <w:tabs>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14:ligatures w14:val="none"/>
        </w:rPr>
        <w:t>Military</w:t>
      </w:r>
      <w:r w:rsidRPr="00B44B71">
        <w:rPr>
          <w:rFonts w:ascii="Times New Roman" w:eastAsia="Times New Roman" w:hAnsi="Times New Roman" w:cs="Times New Roman"/>
          <w:kern w:val="0"/>
          <w:sz w:val="24"/>
          <w:szCs w:val="24"/>
          <w:lang w:val="uk-UA"/>
          <w14:ligatures w14:val="none"/>
        </w:rPr>
        <w:t xml:space="preserve"> </w:t>
      </w:r>
      <w:r w:rsidRPr="00B44B71">
        <w:rPr>
          <w:rFonts w:ascii="Times New Roman" w:eastAsia="Times New Roman" w:hAnsi="Times New Roman" w:cs="Times New Roman"/>
          <w:kern w:val="0"/>
          <w:sz w:val="24"/>
          <w:szCs w:val="24"/>
          <w14:ligatures w14:val="none"/>
        </w:rPr>
        <w:t>Academy</w:t>
      </w:r>
      <w:r w:rsidRPr="00B44B71">
        <w:rPr>
          <w:rFonts w:ascii="Times New Roman" w:eastAsia="Times New Roman" w:hAnsi="Times New Roman" w:cs="Times New Roman"/>
          <w:kern w:val="0"/>
          <w:sz w:val="24"/>
          <w:szCs w:val="24"/>
          <w:lang w:val="uk-UA"/>
          <w14:ligatures w14:val="none"/>
        </w:rPr>
        <w:t xml:space="preserve"> (</w:t>
      </w:r>
      <w:r w:rsidRPr="00B44B71">
        <w:rPr>
          <w:rFonts w:ascii="Times New Roman" w:eastAsia="Times New Roman" w:hAnsi="Times New Roman" w:cs="Times New Roman"/>
          <w:kern w:val="0"/>
          <w:sz w:val="24"/>
          <w:szCs w:val="24"/>
          <w14:ligatures w14:val="none"/>
        </w:rPr>
        <w:t>Odesa</w:t>
      </w:r>
      <w:r w:rsidRPr="00B44B71">
        <w:rPr>
          <w:rFonts w:ascii="Times New Roman" w:eastAsia="Times New Roman" w:hAnsi="Times New Roman" w:cs="Times New Roman"/>
          <w:kern w:val="0"/>
          <w:sz w:val="24"/>
          <w:szCs w:val="24"/>
          <w:lang w:val="uk-UA"/>
          <w14:ligatures w14:val="none"/>
        </w:rPr>
        <w:t xml:space="preserve">). (2026). Sylabus osvitnʹoho komponentu «Upravlinnya ekspluatatsiyeyu zasobiv urazhennya». </w:t>
      </w:r>
      <w:r w:rsidRPr="00B44B71">
        <w:rPr>
          <w:rFonts w:ascii="Times New Roman" w:eastAsia="Times New Roman" w:hAnsi="Times New Roman" w:cs="Times New Roman"/>
          <w:kern w:val="0"/>
          <w:sz w:val="24"/>
          <w:szCs w:val="24"/>
          <w14:ligatures w14:val="none"/>
        </w:rPr>
        <w:t xml:space="preserve">[Syllabus of the educational component </w:t>
      </w:r>
      <w:r w:rsidRPr="00B44B71">
        <w:rPr>
          <w:rFonts w:ascii="Times New Roman" w:eastAsia="Times New Roman" w:hAnsi="Times New Roman" w:cs="Times New Roman"/>
          <w:kern w:val="0"/>
          <w:sz w:val="24"/>
          <w:szCs w:val="24"/>
          <w:lang w:val="uk-UA"/>
          <w14:ligatures w14:val="none"/>
        </w:rPr>
        <w:t>«</w:t>
      </w:r>
      <w:r w:rsidRPr="00B44B71">
        <w:rPr>
          <w:rFonts w:ascii="Times New Roman" w:eastAsia="Times New Roman" w:hAnsi="Times New Roman" w:cs="Times New Roman"/>
          <w:kern w:val="0"/>
          <w:sz w:val="24"/>
          <w:szCs w:val="24"/>
          <w14:ligatures w14:val="none"/>
        </w:rPr>
        <w:t>Management of the Operation of Destruction Means</w:t>
      </w:r>
      <w:r w:rsidRPr="00B44B71">
        <w:rPr>
          <w:rFonts w:ascii="Times New Roman" w:eastAsia="Times New Roman" w:hAnsi="Times New Roman" w:cs="Times New Roman"/>
          <w:kern w:val="0"/>
          <w:sz w:val="24"/>
          <w:szCs w:val="24"/>
          <w:lang w:val="uk-UA"/>
          <w14:ligatures w14:val="none"/>
        </w:rPr>
        <w:t>»</w:t>
      </w:r>
      <w:r w:rsidRPr="00B44B71">
        <w:rPr>
          <w:rFonts w:ascii="Times New Roman" w:eastAsia="Times New Roman" w:hAnsi="Times New Roman" w:cs="Times New Roman"/>
          <w:kern w:val="0"/>
          <w:sz w:val="24"/>
          <w:szCs w:val="24"/>
          <w14:ligatures w14:val="none"/>
        </w:rPr>
        <w:t>.]</w:t>
      </w:r>
      <w:r w:rsidRPr="00B44B71">
        <w:rPr>
          <w:rFonts w:ascii="Times New Roman" w:eastAsia="Times New Roman" w:hAnsi="Times New Roman" w:cs="Times New Roman"/>
          <w:kern w:val="0"/>
          <w:sz w:val="24"/>
          <w:szCs w:val="24"/>
          <w:lang w:val="uk-UA"/>
          <w14:ligatures w14:val="none"/>
        </w:rPr>
        <w:t xml:space="preserve"> URL:</w:t>
      </w:r>
      <w:hyperlink r:id="rId231" w:tgtFrame="_new" w:history="1">
        <w:r w:rsidRPr="00B44B71">
          <w:rPr>
            <w:rFonts w:ascii="Times New Roman" w:eastAsia="Times New Roman" w:hAnsi="Times New Roman" w:cs="Times New Roman"/>
            <w:color w:val="0563C1"/>
            <w:kern w:val="0"/>
            <w:sz w:val="24"/>
            <w:szCs w:val="24"/>
            <w:u w:val="single"/>
            <w:lang w:val="uk-UA"/>
            <w14:ligatures w14:val="none"/>
          </w:rPr>
          <w:t>https://vaodesa.mil.gov.ua/sylabusy-osvitnikh-komponentiv/</w:t>
        </w:r>
      </w:hyperlink>
    </w:p>
    <w:p w14:paraId="5D6203B8" w14:textId="77777777" w:rsidR="00B44B71" w:rsidRPr="00B44B71" w:rsidRDefault="00B44B71" w:rsidP="006D5E8E">
      <w:pPr>
        <w:numPr>
          <w:ilvl w:val="0"/>
          <w:numId w:val="16"/>
        </w:numPr>
        <w:shd w:val="clear" w:color="auto" w:fill="FFFFFF"/>
        <w:tabs>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 xml:space="preserve">Derevyanchuk A. Y., Nalyvayko A. D., Chopa D. A. (2024). Napryamy rozvytku i vprovadzhennya novitnikh tekhnolohiy vykladannya viysʹkovo-tekhnichnykh dystsyplin u pidhotovku fakhivtsiv raketnykh viysʹk ta artyleriyi. </w:t>
      </w:r>
      <w:r w:rsidRPr="00B44B71">
        <w:rPr>
          <w:rFonts w:ascii="Times New Roman" w:eastAsia="Times New Roman" w:hAnsi="Times New Roman" w:cs="Times New Roman"/>
          <w:kern w:val="0"/>
          <w:sz w:val="24"/>
          <w:szCs w:val="24"/>
          <w14:ligatures w14:val="none"/>
        </w:rPr>
        <w:t xml:space="preserve">[Directions of development and implementation of the latest technologies for teaching military-technical disciplines in the training of specialists of </w:t>
      </w:r>
      <w:r w:rsidRPr="00B44B71">
        <w:rPr>
          <w:rFonts w:ascii="Times New Roman" w:eastAsia="Times New Roman" w:hAnsi="Times New Roman" w:cs="Times New Roman"/>
          <w:kern w:val="0"/>
          <w:sz w:val="24"/>
          <w:szCs w:val="24"/>
          <w14:ligatures w14:val="none"/>
        </w:rPr>
        <w:lastRenderedPageBreak/>
        <w:t xml:space="preserve">missile forces and artillery.] </w:t>
      </w:r>
      <w:r w:rsidRPr="00B44B71">
        <w:rPr>
          <w:rFonts w:ascii="Times New Roman" w:eastAsia="Times New Roman" w:hAnsi="Times New Roman" w:cs="Times New Roman"/>
          <w:i/>
          <w:kern w:val="0"/>
          <w:sz w:val="24"/>
          <w:szCs w:val="24"/>
          <w14:ligatures w14:val="none"/>
        </w:rPr>
        <w:t xml:space="preserve">Military Education. </w:t>
      </w:r>
      <w:r w:rsidRPr="00B44B71">
        <w:rPr>
          <w:rFonts w:ascii="Times New Roman" w:eastAsia="Times New Roman" w:hAnsi="Times New Roman" w:cs="Times New Roman"/>
          <w:kern w:val="0"/>
          <w:sz w:val="24"/>
          <w:szCs w:val="24"/>
          <w:lang w:val="uk-UA"/>
          <w14:ligatures w14:val="none"/>
        </w:rPr>
        <w:t>№ 2(50). DOI: 10.33099/2617-1775/2024-02/48-67 URL:</w:t>
      </w:r>
      <w:hyperlink r:id="rId232" w:history="1">
        <w:r w:rsidRPr="00B44B71">
          <w:rPr>
            <w:rFonts w:ascii="Segoe UI" w:eastAsia="Times New Roman" w:hAnsi="Segoe UI" w:cs="Segoe UI"/>
            <w:color w:val="0563C1"/>
            <w:kern w:val="0"/>
            <w:sz w:val="21"/>
            <w:szCs w:val="21"/>
            <w:u w:val="single"/>
            <w:shd w:val="clear" w:color="auto" w:fill="FFFFFF"/>
            <w:lang w:val="uk-UA"/>
            <w14:ligatures w14:val="none"/>
          </w:rPr>
          <w:t>https://doi.org/10.33099/2617-1783/2024-50/48-67</w:t>
        </w:r>
      </w:hyperlink>
    </w:p>
    <w:p w14:paraId="14358B07" w14:textId="77777777" w:rsidR="00B44B71" w:rsidRPr="00B44B71" w:rsidRDefault="00B44B71" w:rsidP="006D5E8E">
      <w:pPr>
        <w:numPr>
          <w:ilvl w:val="0"/>
          <w:numId w:val="16"/>
        </w:numPr>
        <w:shd w:val="clear" w:color="auto" w:fill="FFFFFF"/>
        <w:tabs>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 xml:space="preserve">Zelenyy I. M. (2024). Vyznachennya rivnya hotovnosti maybutnikh ofitseriv rozviduvalʹnoyi diyalʹnosti do neperervnoho profesiynoho rozvytku. </w:t>
      </w:r>
      <w:r w:rsidRPr="00B44B71">
        <w:rPr>
          <w:rFonts w:ascii="Times New Roman" w:eastAsia="Times New Roman" w:hAnsi="Times New Roman" w:cs="Times New Roman"/>
          <w:kern w:val="0"/>
          <w:sz w:val="24"/>
          <w:szCs w:val="24"/>
          <w14:ligatures w14:val="none"/>
        </w:rPr>
        <w:t xml:space="preserve">[Determining the level of readiness of future intelligence officers for continuous professional development.] </w:t>
      </w:r>
      <w:r w:rsidRPr="00B44B71">
        <w:rPr>
          <w:rFonts w:ascii="Times New Roman" w:eastAsia="Times New Roman" w:hAnsi="Times New Roman" w:cs="Times New Roman"/>
          <w:i/>
          <w:kern w:val="0"/>
          <w:sz w:val="24"/>
          <w:szCs w:val="24"/>
          <w14:ligatures w14:val="none"/>
        </w:rPr>
        <w:t xml:space="preserve">Military Education. </w:t>
      </w:r>
      <w:r w:rsidRPr="00B44B71">
        <w:rPr>
          <w:rFonts w:ascii="Times New Roman" w:eastAsia="Times New Roman" w:hAnsi="Times New Roman" w:cs="Times New Roman"/>
          <w:kern w:val="0"/>
          <w:sz w:val="24"/>
          <w:szCs w:val="24"/>
          <w:lang w:val="uk-UA"/>
          <w14:ligatures w14:val="none"/>
        </w:rPr>
        <w:t>№ 2(50). DOI: 10.33099/2617-1775/2024-02/68-82 URL:</w:t>
      </w:r>
      <w:hyperlink r:id="rId233" w:history="1">
        <w:r w:rsidRPr="00B44B71">
          <w:rPr>
            <w:rFonts w:ascii="Times New Roman" w:eastAsia="Times New Roman" w:hAnsi="Times New Roman" w:cs="Times New Roman"/>
            <w:color w:val="0563C1"/>
            <w:kern w:val="0"/>
            <w:sz w:val="24"/>
            <w:szCs w:val="24"/>
            <w:u w:val="single"/>
            <w:lang w:val="uk-UA"/>
            <w14:ligatures w14:val="none"/>
          </w:rPr>
          <w:t>https://znp-vo.nuou.org.ua/article/view/320540</w:t>
        </w:r>
      </w:hyperlink>
    </w:p>
    <w:p w14:paraId="65235592" w14:textId="77777777" w:rsidR="00B44B71" w:rsidRPr="00B44B71" w:rsidRDefault="00B44B71" w:rsidP="006D5E8E">
      <w:pPr>
        <w:numPr>
          <w:ilvl w:val="0"/>
          <w:numId w:val="16"/>
        </w:numPr>
        <w:shd w:val="clear" w:color="auto" w:fill="FFFFFF"/>
        <w:tabs>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Kasyanova H. (2023). Formuvannya tekhnichnoho myslennya zasobamy STEM-osvity maybutnʹoho vchytelya fizyky.</w:t>
      </w:r>
      <w:r w:rsidRPr="00B44B71">
        <w:rPr>
          <w:rFonts w:ascii="Times New Roman" w:eastAsia="Times New Roman" w:hAnsi="Times New Roman" w:cs="Times New Roman"/>
          <w:kern w:val="0"/>
          <w:sz w:val="24"/>
          <w:szCs w:val="24"/>
          <w14:ligatures w14:val="none"/>
        </w:rPr>
        <w:t>[Formation of technical thinking by means of STEM education of a future physics teacher.]</w:t>
      </w:r>
      <w:r w:rsidRPr="00B44B71">
        <w:rPr>
          <w:rFonts w:ascii="Times New Roman" w:eastAsia="Times New Roman" w:hAnsi="Times New Roman" w:cs="Times New Roman"/>
          <w:kern w:val="0"/>
          <w:sz w:val="24"/>
          <w:szCs w:val="24"/>
          <w:lang w:val="uk-UA"/>
          <w14:ligatures w14:val="none"/>
        </w:rPr>
        <w:t xml:space="preserve"> </w:t>
      </w:r>
      <w:r w:rsidRPr="00B44B71">
        <w:rPr>
          <w:rFonts w:ascii="Times New Roman" w:eastAsia="Times New Roman" w:hAnsi="Times New Roman" w:cs="Times New Roman"/>
          <w:i/>
          <w:kern w:val="0"/>
          <w:sz w:val="24"/>
          <w:szCs w:val="24"/>
          <w:lang w:val="uk-UA"/>
          <w14:ligatures w14:val="none"/>
        </w:rPr>
        <w:t>Collection of scientific works of Kamianets-Podilskyi National University named after Ivan Ohienko, 2023</w:t>
      </w:r>
      <w:r w:rsidRPr="00B44B71">
        <w:rPr>
          <w:rFonts w:ascii="Times New Roman" w:eastAsia="Times New Roman" w:hAnsi="Times New Roman" w:cs="Times New Roman"/>
          <w:kern w:val="0"/>
          <w:sz w:val="24"/>
          <w:szCs w:val="24"/>
          <w14:ligatures w14:val="none"/>
        </w:rPr>
        <w:t xml:space="preserve">. </w:t>
      </w:r>
      <w:r w:rsidRPr="00B44B71">
        <w:rPr>
          <w:rFonts w:ascii="Times New Roman" w:eastAsia="Times New Roman" w:hAnsi="Times New Roman" w:cs="Times New Roman"/>
          <w:kern w:val="0"/>
          <w:sz w:val="24"/>
          <w:szCs w:val="24"/>
          <w:lang w:val="uk-UA"/>
          <w14:ligatures w14:val="none"/>
        </w:rPr>
        <w:t>№ 29. Didactic prerequisites for the formation of a future teacher in the conditions of innovations in natural science education.</w:t>
      </w:r>
      <w:r w:rsidRPr="00B44B71">
        <w:rPr>
          <w:rFonts w:ascii="Times New Roman" w:eastAsia="Times New Roman" w:hAnsi="Times New Roman" w:cs="Times New Roman"/>
          <w:kern w:val="0"/>
          <w:sz w:val="24"/>
          <w:szCs w:val="24"/>
          <w14:ligatures w14:val="none"/>
        </w:rPr>
        <w:t xml:space="preserve"> </w:t>
      </w:r>
      <w:r w:rsidRPr="00B44B71">
        <w:rPr>
          <w:rFonts w:ascii="Times New Roman" w:eastAsia="Times New Roman" w:hAnsi="Times New Roman" w:cs="Times New Roman"/>
          <w:kern w:val="0"/>
          <w:sz w:val="25"/>
          <w:szCs w:val="25"/>
          <w:shd w:val="clear" w:color="auto" w:fill="FFFFFF"/>
          <w:lang w:val="uk-UA"/>
          <w14:ligatures w14:val="none"/>
        </w:rPr>
        <w:t>DOI:10.32626/2307-4507.2023-29.64-67</w:t>
      </w:r>
      <w:r w:rsidRPr="00B44B71">
        <w:rPr>
          <w:rFonts w:ascii="Times New Roman" w:eastAsia="Times New Roman" w:hAnsi="Times New Roman" w:cs="Times New Roman"/>
          <w:kern w:val="0"/>
          <w:sz w:val="24"/>
          <w:szCs w:val="24"/>
          <w:lang w:val="uk-UA"/>
          <w14:ligatures w14:val="none"/>
        </w:rPr>
        <w:t xml:space="preserve"> URL:</w:t>
      </w:r>
      <w:hyperlink r:id="rId234" w:history="1">
        <w:r w:rsidRPr="00B44B71">
          <w:rPr>
            <w:rFonts w:ascii="Times New Roman" w:eastAsia="Times New Roman" w:hAnsi="Times New Roman" w:cs="Times New Roman"/>
            <w:color w:val="0563C1"/>
            <w:kern w:val="0"/>
            <w:sz w:val="24"/>
            <w:szCs w:val="24"/>
            <w:u w:val="single"/>
            <w:lang w:val="uk-UA"/>
            <w14:ligatures w14:val="none"/>
          </w:rPr>
          <w:t>http://ped-series.kpnu.edu.ua/article/view/296544</w:t>
        </w:r>
      </w:hyperlink>
    </w:p>
    <w:p w14:paraId="1796AD90" w14:textId="77777777" w:rsidR="00B44B71" w:rsidRPr="00B44B71" w:rsidRDefault="00B44B71" w:rsidP="006D5E8E">
      <w:pPr>
        <w:numPr>
          <w:ilvl w:val="0"/>
          <w:numId w:val="16"/>
        </w:numPr>
        <w:shd w:val="clear" w:color="auto" w:fill="FFFFFF"/>
        <w:tabs>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 xml:space="preserve">Mirnenko V. I., Viter D. M., Oliferuk V. M. (2023). Transformatsiya systemy viysʹkovoyi osvity: osnovni tendentsiyi ta perspektyvy. </w:t>
      </w:r>
      <w:r w:rsidRPr="00B44B71">
        <w:rPr>
          <w:rFonts w:ascii="Times New Roman" w:eastAsia="Times New Roman" w:hAnsi="Times New Roman" w:cs="Times New Roman"/>
          <w:kern w:val="0"/>
          <w:sz w:val="24"/>
          <w:szCs w:val="24"/>
          <w14:ligatures w14:val="none"/>
        </w:rPr>
        <w:t xml:space="preserve">[Transformation of the military education system: main trends and prospects.] </w:t>
      </w:r>
      <w:r w:rsidRPr="00B44B71">
        <w:rPr>
          <w:rFonts w:ascii="Times New Roman" w:eastAsia="Times New Roman" w:hAnsi="Times New Roman" w:cs="Times New Roman"/>
          <w:i/>
          <w:kern w:val="0"/>
          <w:sz w:val="24"/>
          <w:szCs w:val="24"/>
          <w14:ligatures w14:val="none"/>
        </w:rPr>
        <w:t xml:space="preserve">Military Education. </w:t>
      </w:r>
      <w:r w:rsidRPr="00B44B71">
        <w:rPr>
          <w:rFonts w:ascii="Times New Roman" w:eastAsia="Times New Roman" w:hAnsi="Times New Roman" w:cs="Times New Roman"/>
          <w:kern w:val="0"/>
          <w:sz w:val="24"/>
          <w:szCs w:val="24"/>
          <w:lang w:val="uk-UA"/>
          <w14:ligatures w14:val="none"/>
        </w:rPr>
        <w:t>№ 2(48). DOI: 10.33099/2617-1775/2023-02/9-17 URL:</w:t>
      </w:r>
      <w:hyperlink r:id="rId235" w:tgtFrame="_new" w:history="1">
        <w:r w:rsidRPr="00B44B71">
          <w:rPr>
            <w:rFonts w:ascii="Times New Roman" w:eastAsia="Times New Roman" w:hAnsi="Times New Roman" w:cs="Times New Roman"/>
            <w:color w:val="0563C1"/>
            <w:kern w:val="0"/>
            <w:sz w:val="24"/>
            <w:szCs w:val="24"/>
            <w:u w:val="single"/>
            <w:lang w:val="uk-UA"/>
            <w14:ligatures w14:val="none"/>
          </w:rPr>
          <w:t>https://znp-vo.nuou.org.ua/article/view/293485</w:t>
        </w:r>
      </w:hyperlink>
    </w:p>
    <w:p w14:paraId="0A8D39E5" w14:textId="77777777" w:rsidR="00B44B71" w:rsidRPr="00B44B71" w:rsidRDefault="00B44B71" w:rsidP="006D5E8E">
      <w:pPr>
        <w:numPr>
          <w:ilvl w:val="0"/>
          <w:numId w:val="16"/>
        </w:numPr>
        <w:shd w:val="clear" w:color="auto" w:fill="FFFFFF"/>
        <w:tabs>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 xml:space="preserve">Rakhmanov V. O. (2022). Osnovni etapy systemnoho pidkhodu do navchannya u vyshchomu viysʹkovomu navchalʹnomu zakladi. </w:t>
      </w:r>
      <w:r w:rsidRPr="00B44B71">
        <w:rPr>
          <w:rFonts w:ascii="Times New Roman" w:eastAsia="Times New Roman" w:hAnsi="Times New Roman" w:cs="Times New Roman"/>
          <w:kern w:val="0"/>
          <w:sz w:val="24"/>
          <w:szCs w:val="24"/>
          <w14:ligatures w14:val="none"/>
        </w:rPr>
        <w:t xml:space="preserve">[The main stages of a systematic approach to training in a higher military educational institution.] </w:t>
      </w:r>
      <w:r w:rsidRPr="00B44B71">
        <w:rPr>
          <w:rFonts w:ascii="Times New Roman" w:eastAsia="Times New Roman" w:hAnsi="Times New Roman" w:cs="Times New Roman"/>
          <w:i/>
          <w:kern w:val="0"/>
          <w:sz w:val="24"/>
          <w:szCs w:val="24"/>
          <w14:ligatures w14:val="none"/>
        </w:rPr>
        <w:t xml:space="preserve">Military Education. </w:t>
      </w:r>
      <w:r w:rsidRPr="00B44B71">
        <w:rPr>
          <w:rFonts w:ascii="Times New Roman" w:eastAsia="Times New Roman" w:hAnsi="Times New Roman" w:cs="Times New Roman"/>
          <w:kern w:val="0"/>
          <w:sz w:val="24"/>
          <w:szCs w:val="24"/>
          <w:lang w:val="uk-UA"/>
          <w14:ligatures w14:val="none"/>
        </w:rPr>
        <w:t>№ 1(45). DOI: 10.33099/2617-1775/2022-01/207-218 URL:</w:t>
      </w:r>
      <w:hyperlink r:id="rId236" w:tgtFrame="_new" w:history="1">
        <w:r w:rsidRPr="00B44B71">
          <w:rPr>
            <w:rFonts w:ascii="Times New Roman" w:eastAsia="Times New Roman" w:hAnsi="Times New Roman" w:cs="Times New Roman"/>
            <w:color w:val="0563C1"/>
            <w:kern w:val="0"/>
            <w:sz w:val="24"/>
            <w:szCs w:val="24"/>
            <w:u w:val="single"/>
            <w:lang w:val="uk-UA"/>
            <w14:ligatures w14:val="none"/>
          </w:rPr>
          <w:t>https://znp-vo.nuou.org.ua/article/view/259471</w:t>
        </w:r>
      </w:hyperlink>
    </w:p>
    <w:p w14:paraId="66F2ABBA" w14:textId="77777777" w:rsidR="00B44B71" w:rsidRPr="00B44B71" w:rsidRDefault="00B44B71" w:rsidP="006D5E8E">
      <w:pPr>
        <w:numPr>
          <w:ilvl w:val="0"/>
          <w:numId w:val="16"/>
        </w:numPr>
        <w:shd w:val="clear" w:color="auto" w:fill="FFFFFF"/>
        <w:tabs>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 xml:space="preserve">Rolin I. F., Serpukhov O. V., Chernyavsʹkyy O. S., Vavilova N. I. (2024). Vykorystannya taksonomiyi Bluma yak instrumentu aktyvizatsiyi navchannya viysʹkovykh lideriv, pidrozdiliv ta orhaniv upravlinnya. </w:t>
      </w:r>
      <w:r w:rsidRPr="00B44B71">
        <w:rPr>
          <w:rFonts w:ascii="Times New Roman" w:eastAsia="Times New Roman" w:hAnsi="Times New Roman" w:cs="Times New Roman"/>
          <w:kern w:val="0"/>
          <w:sz w:val="24"/>
          <w:szCs w:val="24"/>
          <w14:ligatures w14:val="none"/>
        </w:rPr>
        <w:t xml:space="preserve">[Using Bloom's Taxonomy as a Tool for Enhancing the Training of Military Leaders, Units, and Management Bodies.] </w:t>
      </w:r>
      <w:r w:rsidRPr="00B44B71">
        <w:rPr>
          <w:rFonts w:ascii="Times New Roman" w:eastAsia="Times New Roman" w:hAnsi="Times New Roman" w:cs="Times New Roman"/>
          <w:i/>
          <w:kern w:val="0"/>
          <w:sz w:val="24"/>
          <w:szCs w:val="24"/>
          <w14:ligatures w14:val="none"/>
        </w:rPr>
        <w:t xml:space="preserve">Military Education. </w:t>
      </w:r>
      <w:r w:rsidRPr="00B44B71">
        <w:rPr>
          <w:rFonts w:ascii="Times New Roman" w:eastAsia="Times New Roman" w:hAnsi="Times New Roman" w:cs="Times New Roman"/>
          <w:kern w:val="0"/>
          <w:sz w:val="24"/>
          <w:szCs w:val="24"/>
          <w:lang w:val="uk-UA"/>
          <w14:ligatures w14:val="none"/>
        </w:rPr>
        <w:t>№ 1(49). DOI: 10.33099/2617-1775/2024-01/219-232 URL:</w:t>
      </w:r>
      <w:hyperlink r:id="rId237" w:tgtFrame="_new" w:history="1">
        <w:r w:rsidRPr="00B44B71">
          <w:rPr>
            <w:rFonts w:ascii="Times New Roman" w:eastAsia="Times New Roman" w:hAnsi="Times New Roman" w:cs="Times New Roman"/>
            <w:color w:val="0563C1"/>
            <w:kern w:val="0"/>
            <w:sz w:val="24"/>
            <w:szCs w:val="24"/>
            <w:u w:val="single"/>
            <w:lang w:val="uk-UA"/>
            <w14:ligatures w14:val="none"/>
          </w:rPr>
          <w:t>https://znp-vo.nuou.org.ua/article/view/308660</w:t>
        </w:r>
      </w:hyperlink>
    </w:p>
    <w:p w14:paraId="06B2FEDA" w14:textId="77777777" w:rsidR="00B44B71" w:rsidRPr="00B44B71" w:rsidRDefault="00B44B71" w:rsidP="006D5E8E">
      <w:pPr>
        <w:numPr>
          <w:ilvl w:val="0"/>
          <w:numId w:val="16"/>
        </w:numPr>
        <w:shd w:val="clear" w:color="auto" w:fill="FFFFFF"/>
        <w:tabs>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 xml:space="preserve">Rozumovska Y. S. (2024). Informatsiyno-komunikatsiyna kompetentnistʹ ofitseriv taktychnoyi lanky upravlinnya: ponyattya, zmist i struktura. </w:t>
      </w:r>
      <w:r w:rsidRPr="00B44B71">
        <w:rPr>
          <w:rFonts w:ascii="Times New Roman" w:eastAsia="Times New Roman" w:hAnsi="Times New Roman" w:cs="Times New Roman"/>
          <w:kern w:val="0"/>
          <w:sz w:val="24"/>
          <w:szCs w:val="24"/>
          <w14:ligatures w14:val="none"/>
        </w:rPr>
        <w:t xml:space="preserve">[Information and communication competence of tactical command officers: concept, content and structure.] </w:t>
      </w:r>
      <w:r w:rsidRPr="00B44B71">
        <w:rPr>
          <w:rFonts w:ascii="Times New Roman" w:eastAsia="Times New Roman" w:hAnsi="Times New Roman" w:cs="Times New Roman"/>
          <w:i/>
          <w:kern w:val="0"/>
          <w:sz w:val="24"/>
          <w:szCs w:val="24"/>
          <w14:ligatures w14:val="none"/>
        </w:rPr>
        <w:t xml:space="preserve">Military Education. </w:t>
      </w:r>
      <w:r w:rsidRPr="00B44B71">
        <w:rPr>
          <w:rFonts w:ascii="Times New Roman" w:eastAsia="Times New Roman" w:hAnsi="Times New Roman" w:cs="Times New Roman"/>
          <w:kern w:val="0"/>
          <w:sz w:val="24"/>
          <w:szCs w:val="24"/>
          <w:lang w:val="uk-UA"/>
          <w14:ligatures w14:val="none"/>
        </w:rPr>
        <w:t>№ 1(49). DOI: 10.33099/2617-1775/2024-01/205-218 URL:</w:t>
      </w:r>
      <w:hyperlink r:id="rId238" w:history="1">
        <w:r w:rsidRPr="00B44B71">
          <w:rPr>
            <w:rFonts w:ascii="Times New Roman" w:eastAsia="Times New Roman" w:hAnsi="Times New Roman" w:cs="Times New Roman"/>
            <w:color w:val="0563C1"/>
            <w:kern w:val="0"/>
            <w:sz w:val="24"/>
            <w:szCs w:val="24"/>
            <w:u w:val="single"/>
            <w:lang w:val="uk-UA"/>
            <w14:ligatures w14:val="none"/>
          </w:rPr>
          <w:t>https://znp-vo.nuou.org.ua/article/view/301257</w:t>
        </w:r>
      </w:hyperlink>
    </w:p>
    <w:p w14:paraId="1BE7A37A" w14:textId="77777777" w:rsidR="00B44B71" w:rsidRPr="00B44B71" w:rsidRDefault="00B44B71" w:rsidP="006D5E8E">
      <w:pPr>
        <w:numPr>
          <w:ilvl w:val="0"/>
          <w:numId w:val="16"/>
        </w:numPr>
        <w:shd w:val="clear" w:color="auto" w:fill="FFFFFF"/>
        <w:tabs>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 xml:space="preserve">Sampir O., Voznyak R., Horbachova YA., Novikova I. (2024). Analiz boyovoho dosvidu ekspluatatsiyi artyleriysʹkykh system ozbroyennya v khodi rosiysʹko-ukrayinsʹkoyi viyny. </w:t>
      </w:r>
      <w:r w:rsidRPr="00B44B71">
        <w:rPr>
          <w:rFonts w:ascii="Times New Roman" w:eastAsia="Times New Roman" w:hAnsi="Times New Roman" w:cs="Times New Roman"/>
          <w:i/>
          <w:kern w:val="0"/>
          <w:sz w:val="24"/>
          <w:szCs w:val="24"/>
          <w14:ligatures w14:val="none"/>
        </w:rPr>
        <w:t>Social Development and Security</w:t>
      </w:r>
      <w:r w:rsidRPr="00B44B71">
        <w:rPr>
          <w:rFonts w:ascii="Times New Roman" w:eastAsia="Times New Roman" w:hAnsi="Times New Roman" w:cs="Times New Roman"/>
          <w:kern w:val="0"/>
          <w:sz w:val="24"/>
          <w:szCs w:val="24"/>
          <w14:ligatures w14:val="none"/>
        </w:rPr>
        <w:t>, 14(1), 113–126. DOI: 10.33445/sds.2024.14.1.10</w:t>
      </w:r>
      <w:r w:rsidRPr="00B44B71">
        <w:rPr>
          <w:rFonts w:ascii="Times New Roman" w:eastAsia="Times New Roman" w:hAnsi="Times New Roman" w:cs="Times New Roman"/>
          <w:kern w:val="0"/>
          <w:sz w:val="24"/>
          <w:szCs w:val="24"/>
          <w:lang w:val="uk-UA"/>
          <w14:ligatures w14:val="none"/>
        </w:rPr>
        <w:t xml:space="preserve"> </w:t>
      </w:r>
      <w:r w:rsidRPr="00B44B71">
        <w:rPr>
          <w:rFonts w:ascii="Times New Roman" w:eastAsia="Times New Roman" w:hAnsi="Times New Roman" w:cs="Times New Roman"/>
          <w:kern w:val="0"/>
          <w:sz w:val="24"/>
          <w:szCs w:val="24"/>
          <w14:ligatures w14:val="none"/>
        </w:rPr>
        <w:t xml:space="preserve">URL: </w:t>
      </w:r>
      <w:hyperlink r:id="rId239" w:history="1">
        <w:r w:rsidRPr="00B44B71">
          <w:rPr>
            <w:rFonts w:ascii="Times New Roman" w:eastAsia="Times New Roman" w:hAnsi="Times New Roman" w:cs="Times New Roman"/>
            <w:color w:val="0563C1"/>
            <w:kern w:val="0"/>
            <w:sz w:val="24"/>
            <w:szCs w:val="24"/>
            <w:u w:val="single"/>
            <w14:ligatures w14:val="none"/>
          </w:rPr>
          <w:t>https://www.researchgate.net/publication/379072539_Analiz_bojovogo_dosvidu_ekspluatacii_artilerijskih_sistem_ozbroenna_v_hodi_rosijsko-ukrainskoi_vijni</w:t>
        </w:r>
      </w:hyperlink>
    </w:p>
    <w:p w14:paraId="20772E3A" w14:textId="77777777" w:rsidR="00B44B71" w:rsidRPr="00B44B71" w:rsidRDefault="00B44B71" w:rsidP="006D5E8E">
      <w:pPr>
        <w:numPr>
          <w:ilvl w:val="0"/>
          <w:numId w:val="16"/>
        </w:numPr>
        <w:shd w:val="clear" w:color="auto" w:fill="FFFFFF"/>
        <w:tabs>
          <w:tab w:val="num" w:pos="1134"/>
          <w:tab w:val="left" w:pos="9638"/>
        </w:tabs>
        <w:spacing w:after="0" w:line="240" w:lineRule="auto"/>
        <w:ind w:left="0"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 xml:space="preserve">Sova O. M. (2025). Orhanizatsiyno-metodychni rekomendatsiyi z pidhotovky viysʹkovykh fakhivtsiv iz vykorystannyam zasobiv imitatsiynoho modelyuvannya boyovykh diy. </w:t>
      </w:r>
      <w:r w:rsidRPr="00B44B71">
        <w:rPr>
          <w:rFonts w:ascii="Times New Roman" w:eastAsia="Times New Roman" w:hAnsi="Times New Roman" w:cs="Times New Roman"/>
          <w:kern w:val="0"/>
          <w:sz w:val="24"/>
          <w:szCs w:val="24"/>
          <w14:ligatures w14:val="none"/>
        </w:rPr>
        <w:t xml:space="preserve">[Organizational and methodological recommendations for the training of military specialists using combat simulation tools.] </w:t>
      </w:r>
      <w:r w:rsidRPr="00B44B71">
        <w:rPr>
          <w:rFonts w:ascii="Times New Roman" w:eastAsia="Times New Roman" w:hAnsi="Times New Roman" w:cs="Times New Roman"/>
          <w:i/>
          <w:kern w:val="0"/>
          <w:sz w:val="24"/>
          <w:szCs w:val="24"/>
          <w14:ligatures w14:val="none"/>
        </w:rPr>
        <w:t xml:space="preserve">Military Education. </w:t>
      </w:r>
      <w:r w:rsidRPr="00B44B71">
        <w:rPr>
          <w:rFonts w:ascii="Times New Roman" w:eastAsia="Times New Roman" w:hAnsi="Times New Roman" w:cs="Times New Roman"/>
          <w:kern w:val="0"/>
          <w:sz w:val="24"/>
          <w:szCs w:val="24"/>
          <w:lang w:val="uk-UA"/>
          <w14:ligatures w14:val="none"/>
        </w:rPr>
        <w:t>№ 2(52). DOI: 10.33099/2617-1775/2025-02/194-208 URL:</w:t>
      </w:r>
      <w:hyperlink r:id="rId240" w:history="1">
        <w:r w:rsidRPr="00B44B71">
          <w:rPr>
            <w:rFonts w:ascii="Times New Roman" w:eastAsia="Times New Roman" w:hAnsi="Times New Roman" w:cs="Times New Roman"/>
            <w:color w:val="0563C1"/>
            <w:kern w:val="0"/>
            <w:sz w:val="24"/>
            <w:szCs w:val="24"/>
            <w:u w:val="single"/>
            <w:lang w:val="uk-UA"/>
            <w14:ligatures w14:val="none"/>
          </w:rPr>
          <w:t>https://znp-vo.nuou.org.ua/article/view/352250</w:t>
        </w:r>
      </w:hyperlink>
    </w:p>
    <w:p w14:paraId="173535AC" w14:textId="77777777" w:rsidR="00B44B71" w:rsidRPr="00B44B71" w:rsidRDefault="00B44B71" w:rsidP="001433E9">
      <w:pPr>
        <w:shd w:val="clear" w:color="auto" w:fill="FFFFFF"/>
        <w:tabs>
          <w:tab w:val="num" w:pos="0"/>
          <w:tab w:val="left" w:pos="9638"/>
        </w:tabs>
        <w:spacing w:after="0" w:line="240" w:lineRule="auto"/>
        <w:ind w:firstLine="709"/>
        <w:jc w:val="both"/>
        <w:rPr>
          <w:rFonts w:ascii="Times New Roman" w:eastAsia="Times New Roman" w:hAnsi="Times New Roman" w:cs="Times New Roman"/>
          <w:kern w:val="0"/>
          <w:sz w:val="24"/>
          <w:szCs w:val="24"/>
          <w:lang w:val="uk-UA"/>
          <w14:ligatures w14:val="none"/>
        </w:rPr>
      </w:pPr>
    </w:p>
    <w:p w14:paraId="6F58CFB6"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надійшов до редакції 27.03.2026</w:t>
      </w:r>
    </w:p>
    <w:p w14:paraId="3D257D37"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прийнято до друку після рецензування 10.04.2026</w:t>
      </w:r>
    </w:p>
    <w:p w14:paraId="624189CF"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Дата публікації 25.05.2026</w:t>
      </w:r>
    </w:p>
    <w:p w14:paraId="6DAD3529" w14:textId="6A4F0AB3" w:rsidR="001D6A3C" w:rsidRPr="00B44B71" w:rsidRDefault="006D5E8E" w:rsidP="006D5E8E">
      <w:pPr>
        <w:tabs>
          <w:tab w:val="left" w:pos="9638"/>
        </w:tabs>
        <w:adjustRightInd w:val="0"/>
        <w:snapToGrid w:val="0"/>
        <w:spacing w:after="0" w:line="240" w:lineRule="auto"/>
        <w:jc w:val="both"/>
        <w:rPr>
          <w:rFonts w:ascii="Times New Roman" w:eastAsia="Times New Roman" w:hAnsi="Times New Roman" w:cs="Times New Roman"/>
          <w:b/>
          <w:iCs/>
          <w:kern w:val="0"/>
          <w:sz w:val="24"/>
          <w:szCs w:val="24"/>
          <w:lang w:val="uk-UA" w:eastAsia="uk-UA"/>
          <w14:ligatures w14:val="none"/>
        </w:rPr>
      </w:pPr>
      <w:r>
        <w:rPr>
          <w:rFonts w:ascii="Times New Roman" w:eastAsia="Times New Roman" w:hAnsi="Times New Roman" w:cs="Times New Roman"/>
          <w:b/>
          <w:iCs/>
          <w:kern w:val="0"/>
          <w:sz w:val="24"/>
          <w:szCs w:val="24"/>
          <w:lang w:val="uk-UA" w:eastAsia="uk-UA"/>
          <w14:ligatures w14:val="none"/>
        </w:rPr>
        <w:br w:type="column"/>
      </w:r>
      <w:r w:rsidR="001D6A3C" w:rsidRPr="00B44B71">
        <w:rPr>
          <w:rFonts w:ascii="Times New Roman" w:eastAsia="Times New Roman" w:hAnsi="Times New Roman" w:cs="Times New Roman"/>
          <w:kern w:val="0"/>
          <w:sz w:val="23"/>
          <w:szCs w:val="23"/>
          <w:lang w:val="uk-UA" w:eastAsia="ru-RU"/>
          <w14:ligatures w14:val="none"/>
        </w:rPr>
        <w:lastRenderedPageBreak/>
        <w:t>SSN:2617-1775</w:t>
      </w:r>
      <w:r w:rsidR="001D6A3C" w:rsidRPr="00E4040F">
        <w:rPr>
          <w:rFonts w:ascii="Times New Roman" w:eastAsia="Calibri" w:hAnsi="Times New Roman" w:cs="Times New Roman"/>
          <w:b/>
          <w:kern w:val="0"/>
          <w:sz w:val="24"/>
          <w:szCs w:val="24"/>
          <w:lang w:val="uk-UA"/>
          <w14:ligatures w14:val="none"/>
        </w:rPr>
        <w:t xml:space="preserve"> </w:t>
      </w:r>
      <w:r w:rsidR="001D6A3C" w:rsidRPr="00443B42">
        <w:rPr>
          <w:rFonts w:ascii="Times New Roman" w:eastAsia="Calibri" w:hAnsi="Times New Roman" w:cs="Times New Roman"/>
          <w:b/>
          <w:kern w:val="0"/>
          <w:sz w:val="24"/>
          <w:szCs w:val="24"/>
          <w:lang w:val="uk-UA"/>
          <w14:ligatures w14:val="none"/>
        </w:rPr>
        <w:t xml:space="preserve">                                                               </w:t>
      </w:r>
      <w:r w:rsidR="001D6A3C">
        <w:rPr>
          <w:rFonts w:ascii="Times New Roman" w:eastAsia="Calibri" w:hAnsi="Times New Roman" w:cs="Times New Roman"/>
          <w:b/>
          <w:kern w:val="0"/>
          <w:sz w:val="24"/>
          <w:szCs w:val="24"/>
          <w:lang w:val="uk-UA"/>
          <w14:ligatures w14:val="none"/>
        </w:rPr>
        <w:t xml:space="preserve">    </w:t>
      </w:r>
      <w:r w:rsidR="009B4B26">
        <w:rPr>
          <w:rFonts w:ascii="Times New Roman" w:eastAsia="Calibri" w:hAnsi="Times New Roman" w:cs="Times New Roman"/>
          <w:b/>
          <w:kern w:val="0"/>
          <w:sz w:val="24"/>
          <w:szCs w:val="24"/>
          <w:lang w:val="uk-UA"/>
          <w14:ligatures w14:val="none"/>
        </w:rPr>
        <w:t xml:space="preserve">      </w:t>
      </w:r>
      <w:r w:rsidR="001D6A3C" w:rsidRPr="005B0FF4">
        <w:rPr>
          <w:rFonts w:ascii="Times New Roman" w:eastAsia="Times New Roman" w:hAnsi="Times New Roman" w:cs="Times New Roman"/>
          <w:b/>
          <w:iCs/>
          <w:kern w:val="0"/>
          <w:sz w:val="24"/>
          <w:szCs w:val="24"/>
          <w:lang w:eastAsia="uk-UA"/>
          <w14:ligatures w14:val="none"/>
        </w:rPr>
        <w:t>UDK</w:t>
      </w:r>
      <w:r w:rsidR="001D6A3C" w:rsidRPr="005B0FF4">
        <w:rPr>
          <w:rFonts w:ascii="Times New Roman" w:eastAsia="Times New Roman" w:hAnsi="Times New Roman" w:cs="Times New Roman"/>
          <w:b/>
          <w:iCs/>
          <w:kern w:val="0"/>
          <w:sz w:val="24"/>
          <w:szCs w:val="24"/>
          <w:lang w:val="uk-UA" w:eastAsia="uk-UA"/>
          <w14:ligatures w14:val="none"/>
        </w:rPr>
        <w:t xml:space="preserve"> 355</w:t>
      </w:r>
      <w:r w:rsidR="001D6A3C" w:rsidRPr="00B44B71">
        <w:rPr>
          <w:rFonts w:ascii="Times New Roman" w:eastAsia="Times New Roman" w:hAnsi="Times New Roman" w:cs="Times New Roman"/>
          <w:b/>
          <w:iCs/>
          <w:kern w:val="0"/>
          <w:sz w:val="24"/>
          <w:szCs w:val="24"/>
          <w:lang w:val="uk-UA" w:eastAsia="uk-UA"/>
          <w14:ligatures w14:val="none"/>
        </w:rPr>
        <w:t>.233.22:378.147:355.4(477)</w:t>
      </w:r>
    </w:p>
    <w:p w14:paraId="112140C6" w14:textId="30001E2E" w:rsidR="001D6A3C" w:rsidRPr="00F96118" w:rsidRDefault="001D6A3C" w:rsidP="006D5E8E">
      <w:pPr>
        <w:tabs>
          <w:tab w:val="left" w:pos="9638"/>
        </w:tabs>
        <w:adjustRightInd w:val="0"/>
        <w:snapToGrid w:val="0"/>
        <w:spacing w:after="0" w:line="240" w:lineRule="auto"/>
        <w:ind w:right="-1"/>
        <w:rPr>
          <w:rFonts w:ascii="Times New Roman" w:eastAsia="Times New Roman" w:hAnsi="Times New Roman" w:cs="Times New Roman"/>
          <w:color w:val="0563C1"/>
          <w:kern w:val="0"/>
          <w:sz w:val="24"/>
          <w:szCs w:val="24"/>
          <w:u w:val="single"/>
          <w:lang w:val="uk-UA"/>
          <w14:ligatures w14:val="none"/>
        </w:rPr>
      </w:pPr>
      <w:r w:rsidRPr="00B44B71">
        <w:rPr>
          <w:rFonts w:ascii="Times New Roman" w:eastAsia="Times New Roman" w:hAnsi="Times New Roman" w:cs="Times New Roman"/>
          <w:kern w:val="0"/>
          <w:sz w:val="23"/>
          <w:szCs w:val="23"/>
          <w:lang w:val="uk-UA" w:eastAsia="ru-RU"/>
          <w14:ligatures w14:val="none"/>
        </w:rPr>
        <w:t>ISSN: 2617-1783 (online)</w:t>
      </w:r>
      <w:r w:rsidRPr="00443B42">
        <w:rPr>
          <w:rFonts w:ascii="Times New Roman" w:eastAsia="Times New Roman" w:hAnsi="Times New Roman" w:cs="Times New Roman"/>
          <w:kern w:val="0"/>
          <w:sz w:val="23"/>
          <w:szCs w:val="23"/>
          <w:lang w:val="uk-UA" w:eastAsia="ru-RU"/>
          <w14:ligatures w14:val="none"/>
        </w:rPr>
        <w:t xml:space="preserve">                                             </w:t>
      </w:r>
      <w:r>
        <w:rPr>
          <w:rFonts w:ascii="Times New Roman" w:eastAsia="Times New Roman" w:hAnsi="Times New Roman" w:cs="Times New Roman"/>
          <w:kern w:val="0"/>
          <w:sz w:val="23"/>
          <w:szCs w:val="23"/>
          <w:lang w:val="uk-UA" w:eastAsia="ru-RU"/>
          <w14:ligatures w14:val="none"/>
        </w:rPr>
        <w:t xml:space="preserve">       </w:t>
      </w:r>
      <w:r w:rsidRPr="00F96118">
        <w:rPr>
          <w:rFonts w:ascii="Times New Roman" w:eastAsia="Times New Roman" w:hAnsi="Times New Roman" w:cs="Times New Roman"/>
          <w:bCs/>
          <w:smallCaps/>
          <w:color w:val="000000"/>
          <w:kern w:val="0"/>
          <w:sz w:val="24"/>
          <w:szCs w:val="24"/>
          <w:lang w:eastAsia="ru-RU"/>
          <w14:ligatures w14:val="none"/>
        </w:rPr>
        <w:t>DOI</w:t>
      </w:r>
      <w:r w:rsidRPr="00F96118">
        <w:rPr>
          <w:rFonts w:ascii="Times New Roman" w:eastAsia="Times New Roman" w:hAnsi="Times New Roman" w:cs="Times New Roman"/>
          <w:bCs/>
          <w:smallCaps/>
          <w:color w:val="000000"/>
          <w:kern w:val="0"/>
          <w:sz w:val="24"/>
          <w:szCs w:val="24"/>
          <w:lang w:val="uk-UA" w:eastAsia="ru-RU"/>
          <w14:ligatures w14:val="none"/>
        </w:rPr>
        <w:t>: 10.33099/2617-1775/202</w:t>
      </w:r>
      <w:r>
        <w:rPr>
          <w:rFonts w:ascii="Times New Roman" w:eastAsia="Times New Roman" w:hAnsi="Times New Roman" w:cs="Times New Roman"/>
          <w:bCs/>
          <w:smallCaps/>
          <w:color w:val="000000"/>
          <w:kern w:val="0"/>
          <w:sz w:val="24"/>
          <w:szCs w:val="24"/>
          <w:lang w:val="uk-UA" w:eastAsia="ru-RU"/>
          <w14:ligatures w14:val="none"/>
        </w:rPr>
        <w:t>6</w:t>
      </w:r>
      <w:r w:rsidRPr="00F96118">
        <w:rPr>
          <w:rFonts w:ascii="Times New Roman" w:eastAsia="Times New Roman" w:hAnsi="Times New Roman" w:cs="Times New Roman"/>
          <w:bCs/>
          <w:smallCaps/>
          <w:color w:val="000000"/>
          <w:kern w:val="0"/>
          <w:sz w:val="24"/>
          <w:szCs w:val="24"/>
          <w:lang w:val="uk-UA" w:eastAsia="ru-RU"/>
          <w14:ligatures w14:val="none"/>
        </w:rPr>
        <w:t>-0</w:t>
      </w:r>
      <w:r>
        <w:rPr>
          <w:rFonts w:ascii="Times New Roman" w:eastAsia="Times New Roman" w:hAnsi="Times New Roman" w:cs="Times New Roman"/>
          <w:bCs/>
          <w:smallCaps/>
          <w:color w:val="000000"/>
          <w:kern w:val="0"/>
          <w:sz w:val="24"/>
          <w:szCs w:val="24"/>
          <w:lang w:val="uk-UA" w:eastAsia="ru-RU"/>
          <w14:ligatures w14:val="none"/>
        </w:rPr>
        <w:t>1</w:t>
      </w:r>
      <w:r w:rsidRPr="00F96118">
        <w:rPr>
          <w:rFonts w:ascii="Times New Roman" w:eastAsia="Times New Roman" w:hAnsi="Times New Roman" w:cs="Times New Roman"/>
          <w:bCs/>
          <w:smallCaps/>
          <w:color w:val="000000"/>
          <w:kern w:val="0"/>
          <w:sz w:val="24"/>
          <w:szCs w:val="24"/>
          <w:lang w:val="uk-UA" w:eastAsia="ru-RU"/>
          <w14:ligatures w14:val="none"/>
        </w:rPr>
        <w:t>/</w:t>
      </w:r>
      <w:r w:rsidR="009B4B26">
        <w:rPr>
          <w:rFonts w:ascii="Times New Roman" w:eastAsia="Times New Roman" w:hAnsi="Times New Roman" w:cs="Times New Roman"/>
          <w:bCs/>
          <w:smallCaps/>
          <w:color w:val="000000"/>
          <w:kern w:val="0"/>
          <w:sz w:val="24"/>
          <w:szCs w:val="24"/>
          <w:lang w:val="uk-UA" w:eastAsia="ru-RU"/>
          <w14:ligatures w14:val="none"/>
        </w:rPr>
        <w:t>172-189</w:t>
      </w:r>
    </w:p>
    <w:p w14:paraId="43BE9956" w14:textId="77777777" w:rsidR="001D6A3C" w:rsidRDefault="001D6A3C" w:rsidP="001D6A3C">
      <w:pPr>
        <w:tabs>
          <w:tab w:val="left" w:pos="9638"/>
        </w:tabs>
        <w:spacing w:after="0" w:line="240" w:lineRule="auto"/>
        <w:ind w:right="283" w:firstLine="709"/>
        <w:jc w:val="right"/>
        <w:rPr>
          <w:rFonts w:ascii="Times New Roman" w:eastAsia="Calibri" w:hAnsi="Times New Roman" w:cs="Times New Roman"/>
          <w:b/>
          <w:bCs/>
          <w:sz w:val="24"/>
          <w:szCs w:val="24"/>
          <w:lang w:val="uk-UA"/>
          <w14:ligatures w14:val="none"/>
        </w:rPr>
      </w:pPr>
    </w:p>
    <w:p w14:paraId="3A23E86A" w14:textId="77777777" w:rsidR="00B44B71" w:rsidRPr="00B44B71" w:rsidRDefault="00B44B71" w:rsidP="00023291">
      <w:pPr>
        <w:tabs>
          <w:tab w:val="left" w:pos="9638"/>
        </w:tabs>
        <w:suppressAutoHyphens/>
        <w:spacing w:after="0" w:line="240" w:lineRule="auto"/>
        <w:ind w:firstLine="709"/>
        <w:jc w:val="right"/>
        <w:rPr>
          <w:rFonts w:ascii="Times New Roman" w:eastAsia="Times New Roman" w:hAnsi="Times New Roman" w:cs="Times New Roman"/>
          <w:b/>
          <w:kern w:val="0"/>
          <w:sz w:val="24"/>
          <w:szCs w:val="24"/>
          <w:lang w:val="uk-UA" w:eastAsia="uk-UA"/>
          <w14:ligatures w14:val="none"/>
        </w:rPr>
      </w:pPr>
      <w:r w:rsidRPr="00B44B71">
        <w:rPr>
          <w:rFonts w:ascii="Times New Roman" w:eastAsia="Times New Roman" w:hAnsi="Times New Roman" w:cs="Times New Roman"/>
          <w:b/>
          <w:kern w:val="0"/>
          <w:sz w:val="24"/>
          <w:szCs w:val="24"/>
          <w:lang w:eastAsia="uk-UA"/>
          <w14:ligatures w14:val="none"/>
        </w:rPr>
        <w:t>Volodymyr</w:t>
      </w:r>
      <w:r w:rsidRPr="00B44B71">
        <w:rPr>
          <w:rFonts w:ascii="Times New Roman" w:eastAsia="Times New Roman" w:hAnsi="Times New Roman" w:cs="Times New Roman"/>
          <w:b/>
          <w:kern w:val="0"/>
          <w:sz w:val="24"/>
          <w:szCs w:val="24"/>
          <w:lang w:val="uk-UA" w:eastAsia="uk-UA"/>
          <w14:ligatures w14:val="none"/>
        </w:rPr>
        <w:t xml:space="preserve"> </w:t>
      </w:r>
      <w:r w:rsidRPr="00B44B71">
        <w:rPr>
          <w:rFonts w:ascii="Times New Roman" w:eastAsia="Times New Roman" w:hAnsi="Times New Roman" w:cs="Times New Roman"/>
          <w:b/>
          <w:kern w:val="0"/>
          <w:sz w:val="24"/>
          <w:szCs w:val="24"/>
          <w:lang w:eastAsia="uk-UA"/>
          <w14:ligatures w14:val="none"/>
        </w:rPr>
        <w:t>Karpenko</w:t>
      </w:r>
      <w:r w:rsidRPr="00B44B71">
        <w:rPr>
          <w:rFonts w:ascii="Times New Roman" w:eastAsia="Times New Roman" w:hAnsi="Times New Roman" w:cs="Times New Roman"/>
          <w:b/>
          <w:kern w:val="0"/>
          <w:sz w:val="24"/>
          <w:szCs w:val="24"/>
          <w:lang w:val="uk-UA" w:eastAsia="uk-UA"/>
          <w14:ligatures w14:val="none"/>
        </w:rPr>
        <w:t>,</w:t>
      </w:r>
    </w:p>
    <w:p w14:paraId="0E97FCB5" w14:textId="79F17021" w:rsidR="00B44B71" w:rsidRPr="00B15B58" w:rsidRDefault="00B44B71" w:rsidP="00023291">
      <w:pPr>
        <w:tabs>
          <w:tab w:val="left" w:pos="9638"/>
        </w:tabs>
        <w:suppressAutoHyphens/>
        <w:spacing w:after="0" w:line="240" w:lineRule="auto"/>
        <w:ind w:firstLine="709"/>
        <w:jc w:val="right"/>
        <w:rPr>
          <w:rFonts w:eastAsia="Times New Roman" w:cs="Courier New"/>
          <w:color w:val="1F1F1F"/>
          <w:kern w:val="0"/>
          <w:sz w:val="42"/>
          <w:szCs w:val="42"/>
          <w:lang w:val="uk-UA" w:eastAsia="uk-UA"/>
          <w14:ligatures w14:val="none"/>
        </w:rPr>
      </w:pPr>
      <w:r w:rsidRPr="00B44B71">
        <w:rPr>
          <w:rFonts w:ascii="Times New Roman" w:eastAsia="Times New Roman" w:hAnsi="Times New Roman" w:cs="Times New Roman"/>
          <w:kern w:val="0"/>
          <w:sz w:val="24"/>
          <w:szCs w:val="24"/>
          <w:lang w:eastAsia="uk-UA"/>
          <w14:ligatures w14:val="none"/>
        </w:rPr>
        <w:t xml:space="preserve">PhD </w:t>
      </w:r>
      <w:r w:rsidRPr="00B44B71">
        <w:rPr>
          <w:rFonts w:ascii="inherit" w:eastAsia="Times New Roman" w:hAnsi="inherit" w:cs="Courier New"/>
          <w:color w:val="1F1F1F"/>
          <w:kern w:val="0"/>
          <w:sz w:val="24"/>
          <w:szCs w:val="24"/>
          <w:lang w:val="en" w:eastAsia="uk-UA"/>
          <w14:ligatures w14:val="none"/>
        </w:rPr>
        <w:t>in pedagogy</w:t>
      </w:r>
    </w:p>
    <w:p w14:paraId="77C66931" w14:textId="0FE77DFD" w:rsidR="00B44B71" w:rsidRPr="00B44B71" w:rsidRDefault="00B44B71" w:rsidP="00023291">
      <w:pPr>
        <w:tabs>
          <w:tab w:val="left" w:pos="9638"/>
        </w:tabs>
        <w:suppressAutoHyphens/>
        <w:spacing w:after="0" w:line="240" w:lineRule="auto"/>
        <w:ind w:firstLine="709"/>
        <w:jc w:val="right"/>
        <w:rPr>
          <w:rFonts w:ascii="Times New Roman" w:eastAsia="Times New Roman" w:hAnsi="Times New Roman" w:cs="Times New Roman"/>
          <w:color w:val="000000"/>
          <w:kern w:val="0"/>
          <w:sz w:val="24"/>
          <w:szCs w:val="24"/>
          <w:lang w:val="uk-UA" w:eastAsia="uk-UA"/>
          <w14:ligatures w14:val="none"/>
        </w:rPr>
      </w:pPr>
      <w:r w:rsidRPr="00B44B71">
        <w:rPr>
          <w:rFonts w:ascii="Times New Roman" w:eastAsia="Times New Roman" w:hAnsi="Times New Roman" w:cs="Times New Roman"/>
          <w:kern w:val="0"/>
          <w:sz w:val="24"/>
          <w:szCs w:val="24"/>
          <w:lang w:eastAsia="uk-UA"/>
          <w14:ligatures w14:val="none"/>
        </w:rPr>
        <w:t>National Defenсe University of Ukraine</w:t>
      </w:r>
      <w:r w:rsidRPr="00B44B71">
        <w:rPr>
          <w:rFonts w:ascii="Times New Roman" w:eastAsia="Times New Roman" w:hAnsi="Times New Roman" w:cs="Times New Roman"/>
          <w:color w:val="000000"/>
          <w:kern w:val="0"/>
          <w:sz w:val="24"/>
          <w:szCs w:val="24"/>
          <w:lang w:eastAsia="uk-UA"/>
          <w14:ligatures w14:val="none"/>
        </w:rPr>
        <w:t>,</w:t>
      </w:r>
      <w:r w:rsidRPr="00B44B71">
        <w:rPr>
          <w:rFonts w:ascii="Times New Roman" w:eastAsia="Times New Roman" w:hAnsi="Times New Roman" w:cs="Times New Roman"/>
          <w:color w:val="000000"/>
          <w:kern w:val="0"/>
          <w:sz w:val="24"/>
          <w:szCs w:val="24"/>
          <w:lang w:val="uk-UA" w:eastAsia="uk-UA"/>
          <w14:ligatures w14:val="none"/>
        </w:rPr>
        <w:t xml:space="preserve"> </w:t>
      </w:r>
      <w:r w:rsidR="00B15B58">
        <w:rPr>
          <w:rFonts w:ascii="Times New Roman" w:eastAsia="Times New Roman" w:hAnsi="Times New Roman" w:cs="Times New Roman"/>
          <w:color w:val="000000"/>
          <w:kern w:val="0"/>
          <w:sz w:val="24"/>
          <w:szCs w:val="24"/>
          <w:lang w:eastAsia="uk-UA"/>
          <w14:ligatures w14:val="none"/>
        </w:rPr>
        <w:t>Kyiv</w:t>
      </w:r>
    </w:p>
    <w:p w14:paraId="11BE7AE9" w14:textId="77777777" w:rsidR="00B44B71" w:rsidRPr="00B44B71" w:rsidRDefault="00B44B71" w:rsidP="00023291">
      <w:pPr>
        <w:tabs>
          <w:tab w:val="left" w:pos="9638"/>
        </w:tabs>
        <w:suppressAutoHyphens/>
        <w:spacing w:after="0" w:line="240" w:lineRule="auto"/>
        <w:ind w:firstLine="709"/>
        <w:jc w:val="right"/>
        <w:rPr>
          <w:rFonts w:ascii="Times New Roman" w:eastAsia="Times New Roman" w:hAnsi="Times New Roman" w:cs="Times New Roman"/>
          <w:color w:val="0000FF"/>
          <w:kern w:val="0"/>
          <w:u w:val="single"/>
          <w:lang w:val="uk-UA" w:eastAsia="uk-UA"/>
          <w14:ligatures w14:val="none"/>
        </w:rPr>
      </w:pPr>
      <w:r w:rsidRPr="00B44B71">
        <w:rPr>
          <w:rFonts w:ascii="Times New Roman" w:eastAsia="Times New Roman" w:hAnsi="Times New Roman" w:cs="Times New Roman"/>
          <w:color w:val="000000"/>
          <w:kern w:val="0"/>
          <w:sz w:val="24"/>
          <w:szCs w:val="24"/>
          <w:lang w:val="uk-UA" w:eastAsia="uk-UA"/>
          <w14:ligatures w14:val="none"/>
        </w:rPr>
        <w:t xml:space="preserve"> </w:t>
      </w:r>
      <w:hyperlink r:id="rId241">
        <w:r w:rsidRPr="00B44B71">
          <w:rPr>
            <w:rFonts w:ascii="Times New Roman" w:eastAsia="Times New Roman" w:hAnsi="Times New Roman" w:cs="Times New Roman"/>
            <w:color w:val="0000FF"/>
            <w:kern w:val="0"/>
            <w:sz w:val="24"/>
            <w:szCs w:val="24"/>
            <w:u w:val="single"/>
            <w:lang w:val="uk-UA" w:eastAsia="uk-UA"/>
            <w14:ligatures w14:val="none"/>
          </w:rPr>
          <w:t>https://orcid.org/0000-0002-3699-353Х</w:t>
        </w:r>
      </w:hyperlink>
      <w:r w:rsidRPr="00B44B71">
        <w:rPr>
          <w:rFonts w:ascii="Times New Roman" w:eastAsia="Times New Roman" w:hAnsi="Times New Roman" w:cs="Times New Roman"/>
          <w:color w:val="0000FF"/>
          <w:kern w:val="0"/>
          <w:sz w:val="24"/>
          <w:szCs w:val="24"/>
          <w:u w:val="single"/>
          <w:lang w:val="uk-UA" w:eastAsia="uk-UA"/>
          <w14:ligatures w14:val="none"/>
        </w:rPr>
        <w:t xml:space="preserve"> </w:t>
      </w:r>
    </w:p>
    <w:p w14:paraId="537DE4BB" w14:textId="77777777" w:rsidR="00B44B71" w:rsidRPr="00B44B71" w:rsidRDefault="00B44B71" w:rsidP="00023291">
      <w:pPr>
        <w:tabs>
          <w:tab w:val="left" w:pos="9638"/>
        </w:tabs>
        <w:suppressAutoHyphens/>
        <w:spacing w:after="0" w:line="240" w:lineRule="auto"/>
        <w:ind w:firstLine="709"/>
        <w:jc w:val="right"/>
        <w:rPr>
          <w:rFonts w:ascii="Times New Roman" w:eastAsia="Times New Roman" w:hAnsi="Times New Roman" w:cs="Times New Roman"/>
          <w:b/>
          <w:bCs/>
          <w:kern w:val="0"/>
          <w:sz w:val="24"/>
          <w:szCs w:val="24"/>
          <w:lang w:val="uk-UA" w:eastAsia="uk-UA"/>
          <w14:ligatures w14:val="none"/>
        </w:rPr>
      </w:pPr>
      <w:r w:rsidRPr="00B44B71">
        <w:rPr>
          <w:rFonts w:ascii="Times New Roman" w:eastAsia="Times New Roman" w:hAnsi="Times New Roman" w:cs="Times New Roman"/>
          <w:b/>
          <w:bCs/>
          <w:kern w:val="0"/>
          <w:sz w:val="24"/>
          <w:szCs w:val="24"/>
          <w:lang w:eastAsia="uk-UA"/>
          <w14:ligatures w14:val="none"/>
        </w:rPr>
        <w:t>Anna Zinchuk</w:t>
      </w:r>
      <w:r w:rsidRPr="00B44B71">
        <w:rPr>
          <w:rFonts w:ascii="Times New Roman" w:eastAsia="Times New Roman" w:hAnsi="Times New Roman" w:cs="Times New Roman"/>
          <w:b/>
          <w:bCs/>
          <w:kern w:val="0"/>
          <w:sz w:val="24"/>
          <w:szCs w:val="24"/>
          <w:lang w:val="uk-UA" w:eastAsia="uk-UA"/>
          <w14:ligatures w14:val="none"/>
        </w:rPr>
        <w:t xml:space="preserve">, </w:t>
      </w:r>
    </w:p>
    <w:p w14:paraId="1FBCBA98" w14:textId="6ED38843" w:rsidR="00B44B71" w:rsidRPr="00B15B58" w:rsidRDefault="00B44B71" w:rsidP="00023291">
      <w:pPr>
        <w:tabs>
          <w:tab w:val="left" w:pos="9638"/>
        </w:tabs>
        <w:suppressAutoHyphens/>
        <w:spacing w:after="0" w:line="240" w:lineRule="auto"/>
        <w:ind w:firstLine="709"/>
        <w:jc w:val="right"/>
        <w:rPr>
          <w:rFonts w:ascii="Times New Roman" w:eastAsia="Times New Roman" w:hAnsi="Times New Roman" w:cs="Times New Roman"/>
          <w:color w:val="000000"/>
          <w:kern w:val="0"/>
          <w:sz w:val="24"/>
          <w:szCs w:val="24"/>
          <w:lang w:val="uk-UA" w:eastAsia="uk-UA"/>
          <w14:ligatures w14:val="none"/>
        </w:rPr>
      </w:pPr>
      <w:r w:rsidRPr="00B44B71">
        <w:rPr>
          <w:rFonts w:ascii="Times New Roman" w:eastAsia="Times New Roman" w:hAnsi="Times New Roman" w:cs="Times New Roman"/>
          <w:kern w:val="0"/>
          <w:sz w:val="24"/>
          <w:szCs w:val="24"/>
          <w:lang w:eastAsia="uk-UA"/>
          <w14:ligatures w14:val="none"/>
        </w:rPr>
        <w:t xml:space="preserve">National </w:t>
      </w:r>
      <w:bookmarkStart w:id="17" w:name="_Hlk221545225"/>
      <w:r w:rsidRPr="00B44B71">
        <w:rPr>
          <w:rFonts w:ascii="Times New Roman" w:eastAsia="Times New Roman" w:hAnsi="Times New Roman" w:cs="Times New Roman"/>
          <w:kern w:val="0"/>
          <w:sz w:val="24"/>
          <w:szCs w:val="24"/>
          <w:lang w:eastAsia="uk-UA"/>
          <w14:ligatures w14:val="none"/>
        </w:rPr>
        <w:t xml:space="preserve">Defenсe </w:t>
      </w:r>
      <w:bookmarkEnd w:id="17"/>
      <w:r w:rsidRPr="00B44B71">
        <w:rPr>
          <w:rFonts w:ascii="Times New Roman" w:eastAsia="Times New Roman" w:hAnsi="Times New Roman" w:cs="Times New Roman"/>
          <w:kern w:val="0"/>
          <w:sz w:val="24"/>
          <w:szCs w:val="24"/>
          <w:lang w:eastAsia="uk-UA"/>
          <w14:ligatures w14:val="none"/>
        </w:rPr>
        <w:t>University of Ukraine,</w:t>
      </w:r>
      <w:r w:rsidRPr="00B44B71">
        <w:rPr>
          <w:rFonts w:ascii="Times New Roman" w:eastAsia="Times New Roman" w:hAnsi="Times New Roman" w:cs="Times New Roman"/>
          <w:kern w:val="0"/>
          <w:sz w:val="24"/>
          <w:szCs w:val="24"/>
          <w:lang w:val="uk-UA" w:eastAsia="uk-UA"/>
          <w14:ligatures w14:val="none"/>
        </w:rPr>
        <w:t xml:space="preserve"> </w:t>
      </w:r>
      <w:r w:rsidR="00B15B58">
        <w:rPr>
          <w:rFonts w:ascii="Times New Roman" w:eastAsia="Times New Roman" w:hAnsi="Times New Roman" w:cs="Times New Roman"/>
          <w:kern w:val="0"/>
          <w:sz w:val="24"/>
          <w:szCs w:val="24"/>
          <w:lang w:eastAsia="uk-UA"/>
          <w14:ligatures w14:val="none"/>
        </w:rPr>
        <w:t>Kyiv</w:t>
      </w:r>
    </w:p>
    <w:p w14:paraId="264F18D6" w14:textId="77777777" w:rsidR="00B44B71" w:rsidRPr="00B44B71" w:rsidRDefault="00B44B71" w:rsidP="00023291">
      <w:pPr>
        <w:tabs>
          <w:tab w:val="left" w:pos="9638"/>
        </w:tabs>
        <w:suppressAutoHyphens/>
        <w:spacing w:after="0" w:line="240" w:lineRule="auto"/>
        <w:ind w:firstLine="709"/>
        <w:jc w:val="right"/>
        <w:rPr>
          <w:rFonts w:ascii="Times New Roman" w:eastAsia="Times New Roman" w:hAnsi="Times New Roman" w:cs="Times New Roman"/>
          <w:color w:val="0000FF"/>
          <w:kern w:val="0"/>
          <w:sz w:val="24"/>
          <w:szCs w:val="24"/>
          <w:u w:val="single"/>
          <w:lang w:val="uk-UA" w:eastAsia="uk-UA"/>
          <w14:ligatures w14:val="none"/>
        </w:rPr>
      </w:pPr>
      <w:hyperlink r:id="rId242" w:history="1">
        <w:r w:rsidRPr="00B44B71">
          <w:rPr>
            <w:rFonts w:ascii="Times New Roman" w:eastAsia="Times New Roman" w:hAnsi="Times New Roman" w:cs="Times New Roman"/>
            <w:color w:val="0000FF"/>
            <w:kern w:val="0"/>
            <w:sz w:val="24"/>
            <w:szCs w:val="24"/>
            <w:u w:val="single"/>
            <w:lang w:val="uk-UA" w:eastAsia="uk-UA"/>
            <w14:ligatures w14:val="none"/>
          </w:rPr>
          <w:t>https://orcid.org/0009-0000-9445-4959</w:t>
        </w:r>
      </w:hyperlink>
      <w:r w:rsidRPr="00B44B71">
        <w:rPr>
          <w:rFonts w:ascii="Times New Roman" w:eastAsia="Times New Roman" w:hAnsi="Times New Roman" w:cs="Times New Roman"/>
          <w:color w:val="0000FF"/>
          <w:kern w:val="0"/>
          <w:sz w:val="24"/>
          <w:szCs w:val="24"/>
          <w:u w:val="single"/>
          <w:lang w:val="uk-UA" w:eastAsia="uk-UA"/>
          <w14:ligatures w14:val="none"/>
        </w:rPr>
        <w:t xml:space="preserve"> </w:t>
      </w:r>
    </w:p>
    <w:p w14:paraId="77F4625F" w14:textId="77777777" w:rsidR="004A3571" w:rsidRPr="00953008" w:rsidRDefault="004A3571" w:rsidP="00953008">
      <w:pPr>
        <w:suppressAutoHyphens/>
        <w:spacing w:after="0" w:line="240" w:lineRule="auto"/>
        <w:ind w:firstLine="709"/>
        <w:jc w:val="both"/>
        <w:rPr>
          <w:rFonts w:ascii="Times New Roman" w:eastAsia="Times New Roman" w:hAnsi="Times New Roman" w:cs="Times New Roman"/>
          <w:i/>
          <w:iCs/>
          <w:kern w:val="0"/>
          <w:sz w:val="24"/>
          <w:szCs w:val="24"/>
          <w:lang w:eastAsia="uk-UA"/>
          <w14:ligatures w14:val="none"/>
        </w:rPr>
      </w:pPr>
    </w:p>
    <w:p w14:paraId="48853BB8" w14:textId="26BA4BF6" w:rsidR="00EF3CED" w:rsidRPr="00953008" w:rsidRDefault="00EF3CED" w:rsidP="00953008">
      <w:pPr>
        <w:suppressAutoHyphens/>
        <w:spacing w:after="0" w:line="240" w:lineRule="auto"/>
        <w:ind w:firstLine="709"/>
        <w:jc w:val="center"/>
        <w:rPr>
          <w:rFonts w:ascii="Times New Roman" w:eastAsia="Times New Roman" w:hAnsi="Times New Roman" w:cs="Times New Roman"/>
          <w:b/>
          <w:iCs/>
          <w:kern w:val="0"/>
          <w:sz w:val="24"/>
          <w:szCs w:val="24"/>
          <w:lang w:eastAsia="uk-UA"/>
          <w14:ligatures w14:val="none"/>
        </w:rPr>
      </w:pPr>
      <w:bookmarkStart w:id="18" w:name="_6khgj41piqxf"/>
      <w:bookmarkEnd w:id="18"/>
      <w:r w:rsidRPr="00953008">
        <w:rPr>
          <w:rFonts w:ascii="Times New Roman" w:eastAsia="Times New Roman" w:hAnsi="Times New Roman" w:cs="Times New Roman"/>
          <w:b/>
          <w:iCs/>
          <w:kern w:val="0"/>
          <w:sz w:val="24"/>
          <w:szCs w:val="24"/>
          <w:lang w:eastAsia="uk-UA"/>
          <w14:ligatures w14:val="none"/>
        </w:rPr>
        <w:t>TRANSFORMATION OF THE OFFICER TRAINING SYSTEM OF THE ARMED FORCES OF UKRAINE AMIDST  RUSSO-UKRAINIAN WAR</w:t>
      </w:r>
      <w:r w:rsidR="00953008">
        <w:rPr>
          <w:rFonts w:ascii="Times New Roman" w:eastAsia="Times New Roman" w:hAnsi="Times New Roman" w:cs="Times New Roman"/>
          <w:b/>
          <w:iCs/>
          <w:kern w:val="0"/>
          <w:sz w:val="24"/>
          <w:szCs w:val="24"/>
          <w:lang w:val="uk-UA" w:eastAsia="uk-UA"/>
          <w14:ligatures w14:val="none"/>
        </w:rPr>
        <w:t xml:space="preserve"> </w:t>
      </w:r>
      <w:r w:rsidRPr="00953008">
        <w:rPr>
          <w:rFonts w:ascii="Times New Roman" w:eastAsia="Times New Roman" w:hAnsi="Times New Roman" w:cs="Times New Roman"/>
          <w:b/>
          <w:iCs/>
          <w:kern w:val="0"/>
          <w:sz w:val="24"/>
          <w:szCs w:val="24"/>
          <w:lang w:eastAsia="uk-UA"/>
          <w14:ligatures w14:val="none"/>
        </w:rPr>
        <w:t>(2014–2025)</w:t>
      </w:r>
    </w:p>
    <w:p w14:paraId="3A50DED5" w14:textId="77777777" w:rsidR="00EF3CED" w:rsidRPr="00953008" w:rsidRDefault="00EF3CED" w:rsidP="00EF3CED">
      <w:pPr>
        <w:suppressAutoHyphens/>
        <w:spacing w:after="0" w:line="240" w:lineRule="auto"/>
        <w:ind w:firstLine="709"/>
        <w:jc w:val="both"/>
        <w:rPr>
          <w:rFonts w:ascii="Times New Roman" w:eastAsia="Times New Roman" w:hAnsi="Times New Roman" w:cs="Times New Roman"/>
          <w:i/>
          <w:iCs/>
          <w:kern w:val="0"/>
          <w:sz w:val="24"/>
          <w:szCs w:val="24"/>
          <w:lang w:eastAsia="uk-UA"/>
          <w14:ligatures w14:val="none"/>
        </w:rPr>
      </w:pPr>
    </w:p>
    <w:p w14:paraId="4B8154D0" w14:textId="77777777" w:rsidR="00EF3CED" w:rsidRPr="00EF3CED" w:rsidRDefault="00EF3CED" w:rsidP="00EF3CED">
      <w:pPr>
        <w:suppressAutoHyphens/>
        <w:spacing w:after="0" w:line="240" w:lineRule="auto"/>
        <w:ind w:firstLine="709"/>
        <w:jc w:val="both"/>
        <w:rPr>
          <w:rFonts w:ascii="Times New Roman" w:eastAsia="Times New Roman" w:hAnsi="Times New Roman" w:cs="Times New Roman"/>
          <w:i/>
          <w:iCs/>
          <w:kern w:val="0"/>
          <w:sz w:val="24"/>
          <w:szCs w:val="24"/>
          <w:lang w:eastAsia="uk-UA"/>
          <w14:ligatures w14:val="none"/>
        </w:rPr>
      </w:pPr>
      <w:r w:rsidRPr="00953008">
        <w:rPr>
          <w:rFonts w:ascii="Times New Roman" w:eastAsia="Times New Roman" w:hAnsi="Times New Roman" w:cs="Times New Roman"/>
          <w:i/>
          <w:iCs/>
          <w:kern w:val="0"/>
          <w:sz w:val="24"/>
          <w:szCs w:val="24"/>
          <w:lang w:eastAsia="uk-UA"/>
          <w14:ligatures w14:val="none"/>
        </w:rPr>
        <w:t>Abstract:</w:t>
      </w:r>
      <w:r w:rsidRPr="00EF3CED">
        <w:rPr>
          <w:rFonts w:ascii="Times New Roman" w:eastAsia="Times New Roman" w:hAnsi="Times New Roman" w:cs="Times New Roman"/>
          <w:i/>
          <w:iCs/>
          <w:kern w:val="0"/>
          <w:sz w:val="24"/>
          <w:szCs w:val="24"/>
          <w:lang w:eastAsia="uk-UA"/>
          <w14:ligatures w14:val="none"/>
        </w:rPr>
        <w:t xml:space="preserve"> </w:t>
      </w:r>
      <w:r w:rsidRPr="00953008">
        <w:rPr>
          <w:rFonts w:ascii="Times New Roman" w:eastAsia="Times New Roman" w:hAnsi="Times New Roman" w:cs="Times New Roman"/>
          <w:i/>
          <w:iCs/>
          <w:kern w:val="0"/>
          <w:sz w:val="24"/>
          <w:szCs w:val="24"/>
          <w:lang w:eastAsia="uk-UA"/>
          <w14:ligatures w14:val="none"/>
        </w:rPr>
        <w:t xml:space="preserve">In the context of the ongoing Russo–Ukrainian war, Ukraine’s military education system has faced an unprecedented challenge: the need to undergo transformation while operating under the conditions of high-intensity combat. The evolution of the conflict from hybrid threats (2014–2021) to the full-scale invasion by the russian federation, characterized by the extensive use of technological innovations (2022–2025), necessitates a fundamental revision of officer training methodologies. </w:t>
      </w:r>
    </w:p>
    <w:p w14:paraId="3B9F9BAF" w14:textId="77777777" w:rsidR="00EF3CED" w:rsidRPr="00EF3CED" w:rsidRDefault="00EF3CED" w:rsidP="00EF3CED">
      <w:pPr>
        <w:suppressAutoHyphens/>
        <w:spacing w:after="0" w:line="240" w:lineRule="auto"/>
        <w:ind w:firstLine="709"/>
        <w:jc w:val="both"/>
        <w:rPr>
          <w:rFonts w:ascii="Times New Roman" w:eastAsia="Times New Roman" w:hAnsi="Times New Roman" w:cs="Times New Roman"/>
          <w:i/>
          <w:iCs/>
          <w:kern w:val="0"/>
          <w:sz w:val="24"/>
          <w:szCs w:val="24"/>
          <w:lang w:eastAsia="uk-UA"/>
          <w14:ligatures w14:val="none"/>
        </w:rPr>
      </w:pPr>
      <w:r w:rsidRPr="00EF3CED">
        <w:rPr>
          <w:rFonts w:ascii="Times New Roman" w:eastAsia="Times New Roman" w:hAnsi="Times New Roman" w:cs="Times New Roman"/>
          <w:i/>
          <w:iCs/>
          <w:kern w:val="0"/>
          <w:sz w:val="24"/>
          <w:szCs w:val="24"/>
          <w:lang w:eastAsia="uk-UA"/>
          <w14:ligatures w14:val="none"/>
        </w:rPr>
        <w:t xml:space="preserve">The scientific problem lies in the need to bridge the gap between the dynamic changes on the battlefield and the inertia of traditional educational curricula. </w:t>
      </w:r>
    </w:p>
    <w:p w14:paraId="75246688" w14:textId="77777777" w:rsidR="00EF3CED" w:rsidRPr="00EF3CED" w:rsidRDefault="00EF3CED" w:rsidP="00EF3CED">
      <w:pPr>
        <w:suppressAutoHyphens/>
        <w:spacing w:after="0" w:line="240" w:lineRule="auto"/>
        <w:ind w:firstLine="709"/>
        <w:jc w:val="both"/>
        <w:rPr>
          <w:rFonts w:ascii="Times New Roman" w:eastAsia="Times New Roman" w:hAnsi="Times New Roman" w:cs="Times New Roman"/>
          <w:i/>
          <w:iCs/>
          <w:kern w:val="0"/>
          <w:sz w:val="24"/>
          <w:szCs w:val="24"/>
          <w:lang w:eastAsia="uk-UA"/>
          <w14:ligatures w14:val="none"/>
        </w:rPr>
      </w:pPr>
      <w:r w:rsidRPr="00EF3CED">
        <w:rPr>
          <w:rFonts w:ascii="Times New Roman" w:eastAsia="Times New Roman" w:hAnsi="Times New Roman" w:cs="Times New Roman"/>
          <w:i/>
          <w:iCs/>
          <w:kern w:val="0"/>
          <w:sz w:val="24"/>
          <w:szCs w:val="24"/>
          <w:lang w:eastAsia="uk-UA"/>
          <w14:ligatures w14:val="none"/>
        </w:rPr>
        <w:t>The study aims to identify and substantiate the correlation between changes in combat tactics and the transformation of the tactical-level officer training system of the Armed Forces of Ukraine (AFU), as well as to determine the effectiveness of implementing NATO standards under real war conditions.</w:t>
      </w:r>
    </w:p>
    <w:p w14:paraId="107E6712" w14:textId="77777777" w:rsidR="00EF3CED" w:rsidRPr="00EF3CED" w:rsidRDefault="00EF3CED" w:rsidP="00EF3CED">
      <w:pPr>
        <w:suppressAutoHyphens/>
        <w:spacing w:after="0" w:line="240" w:lineRule="auto"/>
        <w:ind w:firstLine="709"/>
        <w:jc w:val="both"/>
        <w:rPr>
          <w:rFonts w:ascii="Times New Roman" w:eastAsia="Times New Roman" w:hAnsi="Times New Roman" w:cs="Times New Roman"/>
          <w:i/>
          <w:iCs/>
          <w:kern w:val="0"/>
          <w:sz w:val="24"/>
          <w:szCs w:val="24"/>
          <w:lang w:eastAsia="uk-UA"/>
          <w14:ligatures w14:val="none"/>
        </w:rPr>
      </w:pPr>
      <w:r w:rsidRPr="00EF3CED">
        <w:rPr>
          <w:rFonts w:ascii="Times New Roman" w:eastAsia="Times New Roman" w:hAnsi="Times New Roman" w:cs="Times New Roman"/>
          <w:i/>
          <w:iCs/>
          <w:kern w:val="0"/>
          <w:sz w:val="24"/>
          <w:szCs w:val="24"/>
          <w:lang w:eastAsia="uk-UA"/>
          <w14:ligatures w14:val="none"/>
        </w:rPr>
        <w:t>The research employs a comprehensive approach. A comparative-historical method was used to periodize the stages of military education development. System-structural analysis allowed for investigating the transition from a directive command model to the Mission Command philosophy. The JALLC (Joint Analysis and Lessons Learned Centre) methodology was utilized to analyze the mechanisms of implementing combat experience into educational programs. Graphical modeling was applied to construct and substantiate the Model of Correlation between Battlefield Requirements and Military Educational Transformation (2014–2025).</w:t>
      </w:r>
    </w:p>
    <w:p w14:paraId="5C44D429" w14:textId="77777777" w:rsidR="00EF3CED" w:rsidRPr="00EF3CED" w:rsidRDefault="00EF3CED" w:rsidP="00EF3CED">
      <w:pPr>
        <w:suppressAutoHyphens/>
        <w:spacing w:after="0" w:line="240" w:lineRule="auto"/>
        <w:ind w:firstLine="709"/>
        <w:jc w:val="both"/>
        <w:rPr>
          <w:rFonts w:ascii="Times New Roman" w:eastAsia="Times New Roman" w:hAnsi="Times New Roman" w:cs="Times New Roman"/>
          <w:i/>
          <w:iCs/>
          <w:kern w:val="0"/>
          <w:sz w:val="24"/>
          <w:szCs w:val="24"/>
          <w:lang w:eastAsia="uk-UA"/>
          <w14:ligatures w14:val="none"/>
        </w:rPr>
      </w:pPr>
      <w:r w:rsidRPr="00EF3CED">
        <w:rPr>
          <w:rFonts w:ascii="Times New Roman" w:eastAsia="Times New Roman" w:hAnsi="Times New Roman" w:cs="Times New Roman"/>
          <w:i/>
          <w:iCs/>
          <w:kern w:val="0"/>
          <w:sz w:val="24"/>
          <w:szCs w:val="24"/>
          <w:lang w:eastAsia="uk-UA"/>
          <w14:ligatures w14:val="none"/>
        </w:rPr>
        <w:t>The study identifies and characterizes three stages of the AFU officer training evolution: «Institutional» (integration of L-courses and TLP procedures), «Adaptive» (decentralization of training and the phenomenon of «mobilized officers» in 2022–2023), and «Technological» (net-centric operations in 2024–2025). It is demonstrated that a key factor in achieving tactical advantage has been the shift in the officer’s role: from a traditional platoon commander to a manager of tactical capabilities, who orchestrates multi-domain resources (infantry, artillery, UAVs, EW). It is established that the integration of Unmanned Systems has transformed the educational process from a model of «catch-up modernization» to a model of «anticipatory adaptation», wherein training centers act as drivers of tactical innovation.</w:t>
      </w:r>
    </w:p>
    <w:p w14:paraId="578C12B1" w14:textId="77777777" w:rsidR="00EF3CED" w:rsidRPr="00EF3CED" w:rsidRDefault="00EF3CED" w:rsidP="00EF3CED">
      <w:pPr>
        <w:suppressAutoHyphens/>
        <w:spacing w:after="0" w:line="240" w:lineRule="auto"/>
        <w:ind w:firstLine="709"/>
        <w:jc w:val="both"/>
        <w:rPr>
          <w:rFonts w:ascii="Times New Roman" w:eastAsia="Times New Roman" w:hAnsi="Times New Roman" w:cs="Times New Roman"/>
          <w:i/>
          <w:iCs/>
          <w:kern w:val="0"/>
          <w:sz w:val="24"/>
          <w:szCs w:val="24"/>
          <w:lang w:eastAsia="uk-UA"/>
          <w14:ligatures w14:val="none"/>
        </w:rPr>
      </w:pPr>
      <w:r w:rsidRPr="00953008">
        <w:rPr>
          <w:rFonts w:ascii="Times New Roman" w:eastAsia="Times New Roman" w:hAnsi="Times New Roman" w:cs="Times New Roman"/>
          <w:i/>
          <w:iCs/>
          <w:kern w:val="0"/>
          <w:sz w:val="24"/>
          <w:szCs w:val="24"/>
          <w:lang w:eastAsia="uk-UA"/>
          <w14:ligatures w14:val="none"/>
        </w:rPr>
        <w:t>The transformation of military education in Ukraine has created a unique precedent for combining NATO interoperability standards with the flexibility required for asymmetric warfare. The practical significance of this study lies in the development of recommendations for adapting officer training doctrines in partner nations to the challenges of drone warfare and the conditions of a transparent battlefield</w:t>
      </w:r>
      <w:r w:rsidRPr="00EF3CED">
        <w:rPr>
          <w:rFonts w:ascii="Times New Roman" w:eastAsia="Times New Roman" w:hAnsi="Times New Roman" w:cs="Times New Roman"/>
          <w:i/>
          <w:iCs/>
          <w:kern w:val="0"/>
          <w:sz w:val="24"/>
          <w:szCs w:val="24"/>
          <w:lang w:eastAsia="uk-UA"/>
          <w14:ligatures w14:val="none"/>
        </w:rPr>
        <w:t xml:space="preserve">. </w:t>
      </w:r>
    </w:p>
    <w:p w14:paraId="35929DD7"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i/>
          <w:iCs/>
          <w:kern w:val="0"/>
          <w:sz w:val="24"/>
          <w:szCs w:val="24"/>
          <w:lang w:eastAsia="uk-UA"/>
          <w14:ligatures w14:val="none"/>
        </w:rPr>
      </w:pPr>
      <w:r w:rsidRPr="00B44B71">
        <w:rPr>
          <w:rFonts w:ascii="Times New Roman" w:eastAsia="Times New Roman" w:hAnsi="Times New Roman" w:cs="Times New Roman"/>
          <w:b/>
          <w:bCs/>
          <w:i/>
          <w:iCs/>
          <w:kern w:val="0"/>
          <w:sz w:val="24"/>
          <w:szCs w:val="24"/>
          <w:lang w:eastAsia="uk-UA"/>
          <w14:ligatures w14:val="none"/>
        </w:rPr>
        <w:t>Keywords:</w:t>
      </w:r>
      <w:r w:rsidRPr="00B44B71">
        <w:rPr>
          <w:rFonts w:ascii="Times New Roman" w:eastAsia="Times New Roman" w:hAnsi="Times New Roman" w:cs="Times New Roman"/>
          <w:kern w:val="0"/>
          <w:sz w:val="24"/>
          <w:szCs w:val="24"/>
          <w:lang w:eastAsia="uk-UA"/>
          <w14:ligatures w14:val="none"/>
        </w:rPr>
        <w:t xml:space="preserve"> </w:t>
      </w:r>
      <w:r w:rsidRPr="00B44B71">
        <w:rPr>
          <w:rFonts w:ascii="Times New Roman" w:eastAsia="Times New Roman" w:hAnsi="Times New Roman" w:cs="Times New Roman"/>
          <w:i/>
          <w:iCs/>
          <w:kern w:val="0"/>
          <w:sz w:val="24"/>
          <w:szCs w:val="24"/>
          <w:lang w:eastAsia="uk-UA"/>
          <w14:ligatures w14:val="none"/>
        </w:rPr>
        <w:t>military education; Lessons Learned; L-courses; Mission Command; officer training; Professional Military Education; NATO standards.</w:t>
      </w:r>
    </w:p>
    <w:p w14:paraId="54BE0391"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i/>
          <w:iCs/>
          <w:kern w:val="0"/>
          <w:sz w:val="24"/>
          <w:szCs w:val="24"/>
          <w:lang w:eastAsia="uk-UA"/>
          <w14:ligatures w14:val="none"/>
        </w:rPr>
      </w:pPr>
    </w:p>
    <w:p w14:paraId="189BAFF0" w14:textId="77777777" w:rsidR="00B44B71" w:rsidRPr="00B44B71" w:rsidRDefault="00B44B71" w:rsidP="00023291">
      <w:pPr>
        <w:tabs>
          <w:tab w:val="left" w:pos="5670"/>
          <w:tab w:val="left" w:pos="9638"/>
        </w:tabs>
        <w:suppressAutoHyphens/>
        <w:spacing w:after="0" w:line="240" w:lineRule="auto"/>
        <w:ind w:firstLine="1134"/>
        <w:jc w:val="right"/>
        <w:rPr>
          <w:rFonts w:ascii="Times New Roman" w:eastAsia="Times New Roman" w:hAnsi="Times New Roman" w:cs="Times New Roman"/>
          <w:b/>
          <w:kern w:val="0"/>
          <w:sz w:val="24"/>
          <w:szCs w:val="24"/>
          <w:lang w:val="uk-UA" w:eastAsia="uk-UA"/>
          <w14:ligatures w14:val="none"/>
        </w:rPr>
      </w:pPr>
      <w:r w:rsidRPr="00B44B71">
        <w:rPr>
          <w:rFonts w:ascii="Times New Roman" w:eastAsia="Times New Roman" w:hAnsi="Times New Roman" w:cs="Times New Roman"/>
          <w:b/>
          <w:kern w:val="0"/>
          <w:sz w:val="24"/>
          <w:szCs w:val="24"/>
          <w:lang w:val="uk-UA" w:eastAsia="uk-UA"/>
          <w14:ligatures w14:val="none"/>
        </w:rPr>
        <w:lastRenderedPageBreak/>
        <w:t>Володимир Карпенко,</w:t>
      </w:r>
    </w:p>
    <w:p w14:paraId="27B950FF" w14:textId="7C233B52" w:rsidR="00B44B71" w:rsidRPr="00B44B71" w:rsidRDefault="00B44B71" w:rsidP="00023291">
      <w:pPr>
        <w:tabs>
          <w:tab w:val="left" w:pos="5670"/>
          <w:tab w:val="left" w:pos="9638"/>
        </w:tabs>
        <w:suppressAutoHyphens/>
        <w:spacing w:after="0" w:line="240" w:lineRule="auto"/>
        <w:ind w:firstLine="1134"/>
        <w:jc w:val="right"/>
        <w:rPr>
          <w:rFonts w:ascii="Times New Roman" w:eastAsia="Times New Roman" w:hAnsi="Times New Roman" w:cs="Times New Roman"/>
          <w:kern w:val="0"/>
          <w:sz w:val="24"/>
          <w:szCs w:val="24"/>
          <w:lang w:val="uk-UA" w:eastAsia="uk-UA"/>
          <w14:ligatures w14:val="none"/>
        </w:rPr>
      </w:pPr>
      <w:r w:rsidRPr="00B44B71">
        <w:rPr>
          <w:rFonts w:ascii="Times New Roman" w:eastAsia="Times New Roman" w:hAnsi="Times New Roman" w:cs="Times New Roman"/>
          <w:kern w:val="0"/>
          <w:sz w:val="24"/>
          <w:szCs w:val="24"/>
          <w:lang w:eastAsia="uk-UA"/>
          <w14:ligatures w14:val="none"/>
        </w:rPr>
        <w:t>PhD</w:t>
      </w:r>
      <w:r w:rsidR="00B15B58">
        <w:rPr>
          <w:rFonts w:ascii="Times New Roman" w:eastAsia="Times New Roman" w:hAnsi="Times New Roman" w:cs="Times New Roman"/>
          <w:kern w:val="0"/>
          <w:sz w:val="24"/>
          <w:szCs w:val="24"/>
          <w:lang w:val="uk-UA" w:eastAsia="uk-UA"/>
          <w14:ligatures w14:val="none"/>
        </w:rPr>
        <w:t xml:space="preserve"> з  педагогіки</w:t>
      </w:r>
    </w:p>
    <w:p w14:paraId="0B651311" w14:textId="77777777" w:rsidR="00B44B71" w:rsidRPr="00B44B71" w:rsidRDefault="00B44B71" w:rsidP="00023291">
      <w:pPr>
        <w:tabs>
          <w:tab w:val="left" w:pos="5670"/>
          <w:tab w:val="left" w:pos="9638"/>
        </w:tabs>
        <w:suppressAutoHyphens/>
        <w:spacing w:after="0" w:line="240" w:lineRule="auto"/>
        <w:ind w:firstLine="1134"/>
        <w:jc w:val="right"/>
        <w:rPr>
          <w:rFonts w:ascii="Times New Roman" w:eastAsia="Times New Roman" w:hAnsi="Times New Roman" w:cs="Times New Roman"/>
          <w:color w:val="000000"/>
          <w:kern w:val="0"/>
          <w:sz w:val="24"/>
          <w:szCs w:val="24"/>
          <w:lang w:val="uk-UA" w:eastAsia="uk-UA"/>
          <w14:ligatures w14:val="none"/>
        </w:rPr>
      </w:pPr>
      <w:r w:rsidRPr="00B44B71">
        <w:rPr>
          <w:rFonts w:ascii="Times New Roman" w:eastAsia="Times New Roman" w:hAnsi="Times New Roman" w:cs="Times New Roman"/>
          <w:kern w:val="0"/>
          <w:sz w:val="24"/>
          <w:szCs w:val="24"/>
          <w:lang w:val="uk-UA" w:eastAsia="uk-UA"/>
          <w14:ligatures w14:val="none"/>
        </w:rPr>
        <w:t xml:space="preserve">Національний університет </w:t>
      </w:r>
      <w:r w:rsidRPr="00B44B71">
        <w:rPr>
          <w:rFonts w:ascii="Times New Roman" w:eastAsia="Times New Roman" w:hAnsi="Times New Roman" w:cs="Times New Roman"/>
          <w:color w:val="000000"/>
          <w:kern w:val="0"/>
          <w:sz w:val="24"/>
          <w:szCs w:val="24"/>
          <w:lang w:val="uk-UA" w:eastAsia="uk-UA"/>
          <w14:ligatures w14:val="none"/>
        </w:rPr>
        <w:t xml:space="preserve">оборони України,  м. Київ </w:t>
      </w:r>
    </w:p>
    <w:p w14:paraId="3F993124" w14:textId="77777777" w:rsidR="00B44B71" w:rsidRPr="00B44B71" w:rsidRDefault="00B44B71" w:rsidP="00023291">
      <w:pPr>
        <w:tabs>
          <w:tab w:val="left" w:pos="5670"/>
          <w:tab w:val="left" w:pos="9638"/>
        </w:tabs>
        <w:suppressAutoHyphens/>
        <w:spacing w:after="0" w:line="240" w:lineRule="auto"/>
        <w:ind w:firstLine="1134"/>
        <w:jc w:val="right"/>
        <w:rPr>
          <w:rFonts w:ascii="Times New Roman" w:eastAsia="Times New Roman" w:hAnsi="Times New Roman" w:cs="Times New Roman"/>
          <w:b/>
          <w:color w:val="000000"/>
          <w:kern w:val="0"/>
          <w:sz w:val="24"/>
          <w:szCs w:val="24"/>
          <w:lang w:val="uk-UA" w:eastAsia="uk-UA"/>
          <w14:ligatures w14:val="none"/>
        </w:rPr>
      </w:pPr>
      <w:r w:rsidRPr="00B44B71">
        <w:rPr>
          <w:rFonts w:ascii="Times New Roman" w:eastAsia="Times New Roman" w:hAnsi="Times New Roman" w:cs="Times New Roman"/>
          <w:b/>
          <w:color w:val="000000"/>
          <w:kern w:val="0"/>
          <w:sz w:val="24"/>
          <w:szCs w:val="24"/>
          <w:lang w:val="uk-UA" w:eastAsia="uk-UA"/>
          <w14:ligatures w14:val="none"/>
        </w:rPr>
        <w:t>Анна Зінчук,</w:t>
      </w:r>
    </w:p>
    <w:p w14:paraId="72FF143B" w14:textId="30827BB3" w:rsidR="00B44B71" w:rsidRPr="00B44B71" w:rsidRDefault="00B44B71" w:rsidP="00023291">
      <w:pPr>
        <w:tabs>
          <w:tab w:val="left" w:pos="5670"/>
          <w:tab w:val="left" w:pos="9638"/>
        </w:tabs>
        <w:suppressAutoHyphens/>
        <w:spacing w:after="0" w:line="240" w:lineRule="auto"/>
        <w:ind w:firstLine="1134"/>
        <w:jc w:val="right"/>
        <w:rPr>
          <w:rFonts w:ascii="Times New Roman" w:eastAsia="Times New Roman" w:hAnsi="Times New Roman" w:cs="Times New Roman"/>
          <w:color w:val="000000"/>
          <w:kern w:val="0"/>
          <w:sz w:val="24"/>
          <w:szCs w:val="24"/>
          <w:lang w:val="uk-UA" w:eastAsia="uk-UA"/>
          <w14:ligatures w14:val="none"/>
        </w:rPr>
      </w:pPr>
      <w:r w:rsidRPr="00B44B71">
        <w:rPr>
          <w:rFonts w:ascii="Times New Roman" w:eastAsia="Times New Roman" w:hAnsi="Times New Roman" w:cs="Times New Roman"/>
          <w:b/>
          <w:color w:val="000000"/>
          <w:kern w:val="0"/>
          <w:sz w:val="24"/>
          <w:szCs w:val="24"/>
          <w:lang w:val="uk-UA" w:eastAsia="uk-UA"/>
          <w14:ligatures w14:val="none"/>
        </w:rPr>
        <w:t xml:space="preserve"> </w:t>
      </w:r>
      <w:r w:rsidRPr="00B44B71">
        <w:rPr>
          <w:rFonts w:ascii="Times New Roman" w:eastAsia="Times New Roman" w:hAnsi="Times New Roman" w:cs="Times New Roman"/>
          <w:kern w:val="0"/>
          <w:sz w:val="24"/>
          <w:szCs w:val="24"/>
          <w:lang w:val="uk-UA" w:eastAsia="uk-UA"/>
          <w14:ligatures w14:val="none"/>
        </w:rPr>
        <w:t xml:space="preserve">Національний університет </w:t>
      </w:r>
      <w:r w:rsidR="00B15B58">
        <w:rPr>
          <w:rFonts w:ascii="Times New Roman" w:eastAsia="Times New Roman" w:hAnsi="Times New Roman" w:cs="Times New Roman"/>
          <w:color w:val="000000"/>
          <w:kern w:val="0"/>
          <w:sz w:val="24"/>
          <w:szCs w:val="24"/>
          <w:lang w:val="uk-UA" w:eastAsia="uk-UA"/>
          <w14:ligatures w14:val="none"/>
        </w:rPr>
        <w:t>оборони України, м. Київ</w:t>
      </w:r>
      <w:r w:rsidRPr="00B44B71">
        <w:rPr>
          <w:rFonts w:ascii="Times New Roman" w:eastAsia="Times New Roman" w:hAnsi="Times New Roman" w:cs="Times New Roman"/>
          <w:color w:val="000000"/>
          <w:kern w:val="0"/>
          <w:sz w:val="24"/>
          <w:szCs w:val="24"/>
          <w:lang w:val="uk-UA" w:eastAsia="uk-UA"/>
          <w14:ligatures w14:val="none"/>
        </w:rPr>
        <w:t xml:space="preserve"> </w:t>
      </w:r>
    </w:p>
    <w:p w14:paraId="3EB819B0" w14:textId="77777777" w:rsidR="00B44B71" w:rsidRPr="00B44B71" w:rsidRDefault="00B44B71" w:rsidP="00023291">
      <w:pPr>
        <w:tabs>
          <w:tab w:val="left" w:pos="5670"/>
          <w:tab w:val="left" w:pos="9638"/>
        </w:tabs>
        <w:suppressAutoHyphens/>
        <w:spacing w:after="0" w:line="240" w:lineRule="auto"/>
        <w:ind w:firstLine="1134"/>
        <w:jc w:val="right"/>
        <w:rPr>
          <w:rFonts w:ascii="Times New Roman" w:eastAsia="Times New Roman" w:hAnsi="Times New Roman" w:cs="Times New Roman"/>
          <w:color w:val="000000"/>
          <w:kern w:val="0"/>
          <w:sz w:val="24"/>
          <w:szCs w:val="24"/>
          <w:lang w:val="uk-UA" w:eastAsia="uk-UA"/>
          <w14:ligatures w14:val="none"/>
        </w:rPr>
      </w:pPr>
      <w:r w:rsidRPr="00B44B71">
        <w:rPr>
          <w:rFonts w:ascii="Times New Roman" w:eastAsia="Times New Roman" w:hAnsi="Times New Roman" w:cs="Times New Roman"/>
          <w:color w:val="000000"/>
          <w:kern w:val="0"/>
          <w:sz w:val="24"/>
          <w:szCs w:val="24"/>
          <w:lang w:val="uk-UA" w:eastAsia="uk-UA"/>
          <w14:ligatures w14:val="none"/>
        </w:rPr>
        <w:t xml:space="preserve"> </w:t>
      </w:r>
    </w:p>
    <w:p w14:paraId="37BE5153" w14:textId="77777777" w:rsidR="00B44B71" w:rsidRPr="00B44B71" w:rsidRDefault="00B44B71" w:rsidP="00023291">
      <w:pPr>
        <w:tabs>
          <w:tab w:val="left" w:pos="9638"/>
        </w:tabs>
        <w:suppressAutoHyphens/>
        <w:spacing w:after="0" w:line="240" w:lineRule="auto"/>
        <w:ind w:firstLine="709"/>
        <w:jc w:val="right"/>
        <w:rPr>
          <w:rFonts w:ascii="Times New Roman" w:eastAsia="Times New Roman" w:hAnsi="Times New Roman" w:cs="Times New Roman"/>
          <w:kern w:val="0"/>
          <w:sz w:val="24"/>
          <w:szCs w:val="24"/>
          <w:lang w:val="uk-UA" w:eastAsia="uk-UA"/>
          <w14:ligatures w14:val="none"/>
        </w:rPr>
      </w:pPr>
    </w:p>
    <w:p w14:paraId="693C6266" w14:textId="5DCD07D7" w:rsidR="00B44B71" w:rsidRPr="00B44B71" w:rsidRDefault="00B834E0" w:rsidP="00891EE1">
      <w:pPr>
        <w:tabs>
          <w:tab w:val="left" w:pos="9638"/>
        </w:tabs>
        <w:suppressAutoHyphens/>
        <w:spacing w:after="0" w:line="240" w:lineRule="auto"/>
        <w:jc w:val="center"/>
        <w:rPr>
          <w:rFonts w:ascii="Times New Roman" w:eastAsia="Times New Roman" w:hAnsi="Times New Roman" w:cs="Times New Roman"/>
          <w:b/>
          <w:bCs/>
          <w:kern w:val="0"/>
          <w:sz w:val="24"/>
          <w:szCs w:val="24"/>
          <w:lang w:val="uk-UA" w:eastAsia="uk-UA"/>
          <w14:ligatures w14:val="none"/>
        </w:rPr>
      </w:pPr>
      <w:bookmarkStart w:id="19" w:name="_Hlk221091984"/>
      <w:r w:rsidRPr="00B44B71">
        <w:rPr>
          <w:rFonts w:ascii="Times New Roman" w:eastAsia="Times New Roman" w:hAnsi="Times New Roman" w:cs="Times New Roman"/>
          <w:b/>
          <w:bCs/>
          <w:kern w:val="0"/>
          <w:sz w:val="24"/>
          <w:szCs w:val="24"/>
          <w:lang w:val="uk-UA" w:eastAsia="uk-UA"/>
          <w14:ligatures w14:val="none"/>
        </w:rPr>
        <w:t>Трансформація системи підготовки офіцерських кадрів Збройних Сил України в умовах російсько-української війни</w:t>
      </w:r>
      <w:r w:rsidR="00891EE1">
        <w:rPr>
          <w:rFonts w:ascii="Times New Roman" w:eastAsia="Times New Roman" w:hAnsi="Times New Roman" w:cs="Times New Roman"/>
          <w:b/>
          <w:bCs/>
          <w:kern w:val="0"/>
          <w:sz w:val="24"/>
          <w:szCs w:val="24"/>
          <w:lang w:val="uk-UA" w:eastAsia="uk-UA"/>
          <w14:ligatures w14:val="none"/>
        </w:rPr>
        <w:t xml:space="preserve"> </w:t>
      </w:r>
      <w:r w:rsidRPr="00B44B71">
        <w:rPr>
          <w:rFonts w:ascii="Times New Roman" w:eastAsia="Times New Roman" w:hAnsi="Times New Roman" w:cs="Times New Roman"/>
          <w:b/>
          <w:bCs/>
          <w:kern w:val="0"/>
          <w:sz w:val="24"/>
          <w:szCs w:val="24"/>
          <w:lang w:val="uk-UA" w:eastAsia="uk-UA"/>
          <w14:ligatures w14:val="none"/>
        </w:rPr>
        <w:t>(2014-2025)</w:t>
      </w:r>
      <w:bookmarkEnd w:id="19"/>
    </w:p>
    <w:p w14:paraId="4C97E461" w14:textId="77777777" w:rsidR="00B44B71" w:rsidRPr="00B44B71" w:rsidRDefault="00B44B71" w:rsidP="00891EE1">
      <w:pPr>
        <w:tabs>
          <w:tab w:val="left" w:pos="9638"/>
        </w:tabs>
        <w:suppressAutoHyphens/>
        <w:spacing w:after="0" w:line="240" w:lineRule="auto"/>
        <w:jc w:val="both"/>
        <w:rPr>
          <w:rFonts w:ascii="Times New Roman" w:eastAsia="Times New Roman" w:hAnsi="Times New Roman" w:cs="Times New Roman"/>
          <w:kern w:val="0"/>
          <w:sz w:val="24"/>
          <w:szCs w:val="24"/>
          <w:lang w:val="uk-UA" w:eastAsia="uk-UA"/>
          <w14:ligatures w14:val="none"/>
        </w:rPr>
      </w:pPr>
    </w:p>
    <w:p w14:paraId="7A214AB5"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i/>
          <w:iCs/>
          <w:kern w:val="0"/>
          <w:sz w:val="24"/>
          <w:szCs w:val="24"/>
          <w:lang w:val="uk-UA" w:eastAsia="uk-UA"/>
          <w14:ligatures w14:val="none"/>
        </w:rPr>
      </w:pPr>
      <w:r w:rsidRPr="00B44B71">
        <w:rPr>
          <w:rFonts w:ascii="Times New Roman" w:eastAsia="Times New Roman" w:hAnsi="Times New Roman" w:cs="Times New Roman"/>
          <w:b/>
          <w:bCs/>
          <w:i/>
          <w:iCs/>
          <w:kern w:val="0"/>
          <w:sz w:val="24"/>
          <w:szCs w:val="24"/>
          <w:lang w:val="uk-UA" w:eastAsia="uk-UA"/>
          <w14:ligatures w14:val="none"/>
        </w:rPr>
        <w:t>Анотація:</w:t>
      </w:r>
      <w:r w:rsidRPr="00B44B71">
        <w:rPr>
          <w:rFonts w:ascii="Times New Roman" w:eastAsia="Times New Roman" w:hAnsi="Times New Roman" w:cs="Times New Roman"/>
          <w:i/>
          <w:iCs/>
          <w:kern w:val="0"/>
          <w:sz w:val="24"/>
          <w:szCs w:val="24"/>
          <w:lang w:val="uk-UA" w:eastAsia="uk-UA"/>
          <w14:ligatures w14:val="none"/>
        </w:rPr>
        <w:t xml:space="preserve"> В умовах триваючої російсько-української війни система військової освіти України постала перед безпрецедентним викликом, що проявляється необхідністю трансформації безпосередньо під час бойових дій високої інтенсивності. Еволюція характеру збройного протиборства від гібридних загроз (2014–2021) до повномасштабного вторгнення військ російської федерації на території України з елементами впровадження технологічних інновацій (2022–2025) вимагає докорінного перегляду методології підготовки офіцерського складу. Наукова проблема полягає у необхідності подолання розриву між динамічними змінами на полі бою та інерційністю традиційних освітніх програм.</w:t>
      </w:r>
    </w:p>
    <w:p w14:paraId="6A3BEA0D"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i/>
          <w:iCs/>
          <w:kern w:val="0"/>
          <w:sz w:val="24"/>
          <w:szCs w:val="24"/>
          <w:lang w:val="uk-UA" w:eastAsia="uk-UA"/>
          <w14:ligatures w14:val="none"/>
        </w:rPr>
      </w:pPr>
      <w:r w:rsidRPr="00B44B71">
        <w:rPr>
          <w:rFonts w:ascii="Times New Roman" w:eastAsia="Times New Roman" w:hAnsi="Times New Roman" w:cs="Times New Roman"/>
          <w:i/>
          <w:iCs/>
          <w:kern w:val="0"/>
          <w:sz w:val="24"/>
          <w:szCs w:val="24"/>
          <w:lang w:val="uk-UA" w:eastAsia="uk-UA"/>
          <w14:ligatures w14:val="none"/>
        </w:rPr>
        <w:t>Дослідження має на меті виявити та обґрунтувати кореляцію між зміною тактики ведення бойових дій та трансформацією системи підготовки офіцерів тактичної рівня Збройних Сил України, а також визначити ефективність імплементації стандартів НАТО в умовах реальної війни.</w:t>
      </w:r>
    </w:p>
    <w:p w14:paraId="178EEEEF"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i/>
          <w:iCs/>
          <w:kern w:val="0"/>
          <w:sz w:val="24"/>
          <w:szCs w:val="24"/>
          <w:lang w:val="uk-UA" w:eastAsia="uk-UA"/>
          <w14:ligatures w14:val="none"/>
        </w:rPr>
      </w:pPr>
      <w:r w:rsidRPr="00B44B71">
        <w:rPr>
          <w:rFonts w:ascii="Times New Roman" w:eastAsia="Times New Roman" w:hAnsi="Times New Roman" w:cs="Times New Roman"/>
          <w:i/>
          <w:iCs/>
          <w:kern w:val="0"/>
          <w:sz w:val="24"/>
          <w:szCs w:val="24"/>
          <w:lang w:val="uk-UA" w:eastAsia="uk-UA"/>
          <w14:ligatures w14:val="none"/>
        </w:rPr>
        <w:t>Методологічну основу роботи становить комплексний підхід. Використано порівняльно-історичний метод для періодизації етапів розвитку військової освіти. Застосування системно-структурного аналізу дозволило дослідити перехід від директивної моделі управління до філософії Mission Command. За допомогою методології JALLC (Joint Analysis and Lessons Learned Centre) проаналізовано механізми імплементації бойового досвіду в навчальні програми. Метод графічного моделювання застосовано для побудови та обґрунтування моделі кореляції між вимогами війни та трансформацією військової освіти у період з 2014 по 2025 рік.</w:t>
      </w:r>
    </w:p>
    <w:p w14:paraId="6171041D"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i/>
          <w:iCs/>
          <w:kern w:val="0"/>
          <w:sz w:val="24"/>
          <w:szCs w:val="24"/>
          <w:lang w:val="uk-UA" w:eastAsia="uk-UA"/>
          <w14:ligatures w14:val="none"/>
        </w:rPr>
      </w:pPr>
      <w:r w:rsidRPr="00B44B71">
        <w:rPr>
          <w:rFonts w:ascii="Times New Roman" w:eastAsia="Times New Roman" w:hAnsi="Times New Roman" w:cs="Times New Roman"/>
          <w:i/>
          <w:iCs/>
          <w:kern w:val="0"/>
          <w:sz w:val="24"/>
          <w:szCs w:val="24"/>
          <w:lang w:val="uk-UA" w:eastAsia="uk-UA"/>
          <w14:ligatures w14:val="none"/>
        </w:rPr>
        <w:t>У дослідженні виокремлено та охарактеризовано три етапи еволюції підготовки офіцерів Збройних Сил України: «Інституційний» (інтеграція L-курсів та процедур TLP), «Адаптивний» (децентралізація підготовки та феномен «мобілізовані офіцери» у 2022–2023 рр.) та «Технологічний» (мережево-центричні операції 2024–2025 рр.). Доведено, що ключовим фактором тактичної переваги стала зміна ролі офіцера: від класичного командира взводу до менеджера тактичних спроможностей, який управляє мультидоменними ресурсами (піхота, артилерія, БПЛА, РЕБ). Встановлено, що інтеграція автономних систем (Unmanned Systems) трансформувала освітній процес з моделі «наздоганяючої модернізації» у модель «випереджаючої адаптації», де навчальні центри виступають драйверами тактичних інновацій.</w:t>
      </w:r>
    </w:p>
    <w:p w14:paraId="47B7BCB4"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i/>
          <w:iCs/>
          <w:kern w:val="0"/>
          <w:sz w:val="24"/>
          <w:szCs w:val="24"/>
          <w:lang w:val="uk-UA" w:eastAsia="uk-UA"/>
          <w14:ligatures w14:val="none"/>
        </w:rPr>
      </w:pPr>
      <w:r w:rsidRPr="00B44B71">
        <w:rPr>
          <w:rFonts w:ascii="Times New Roman" w:eastAsia="Times New Roman" w:hAnsi="Times New Roman" w:cs="Times New Roman"/>
          <w:i/>
          <w:iCs/>
          <w:kern w:val="0"/>
          <w:sz w:val="24"/>
          <w:szCs w:val="24"/>
          <w:lang w:val="uk-UA" w:eastAsia="uk-UA"/>
          <w14:ligatures w14:val="none"/>
        </w:rPr>
        <w:t>За результатами дослідження прийшли до висновків, що, трансформація військової освіти в Україні створила унікальний феномен поєднання стандартів взаємосумісності з НАТО в загальній системі вищої військової освіти в умовах війни.</w:t>
      </w:r>
    </w:p>
    <w:p w14:paraId="6ECF1C01"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i/>
          <w:iCs/>
          <w:kern w:val="0"/>
          <w:sz w:val="24"/>
          <w:szCs w:val="24"/>
          <w:lang w:val="uk-UA" w:eastAsia="uk-UA"/>
          <w14:ligatures w14:val="none"/>
        </w:rPr>
      </w:pPr>
      <w:r w:rsidRPr="00B44B71">
        <w:rPr>
          <w:rFonts w:ascii="Times New Roman" w:eastAsia="Times New Roman" w:hAnsi="Times New Roman" w:cs="Times New Roman"/>
          <w:b/>
          <w:bCs/>
          <w:i/>
          <w:iCs/>
          <w:kern w:val="0"/>
          <w:sz w:val="24"/>
          <w:szCs w:val="24"/>
          <w:lang w:val="uk-UA" w:eastAsia="uk-UA"/>
          <w14:ligatures w14:val="none"/>
        </w:rPr>
        <w:t>Ключові слова:</w:t>
      </w:r>
      <w:r w:rsidRPr="00B44B71">
        <w:rPr>
          <w:rFonts w:ascii="Times New Roman" w:eastAsia="Times New Roman" w:hAnsi="Times New Roman" w:cs="Times New Roman"/>
          <w:b/>
          <w:bCs/>
          <w:kern w:val="0"/>
          <w:sz w:val="24"/>
          <w:szCs w:val="24"/>
          <w:lang w:val="uk-UA" w:eastAsia="uk-UA"/>
          <w14:ligatures w14:val="none"/>
        </w:rPr>
        <w:t xml:space="preserve"> </w:t>
      </w:r>
      <w:r w:rsidRPr="00B44B71">
        <w:rPr>
          <w:rFonts w:ascii="Times New Roman" w:eastAsia="Times New Roman" w:hAnsi="Times New Roman" w:cs="Times New Roman"/>
          <w:i/>
          <w:iCs/>
          <w:kern w:val="0"/>
          <w:sz w:val="24"/>
          <w:szCs w:val="24"/>
          <w:lang w:val="uk-UA" w:eastAsia="uk-UA"/>
          <w14:ligatures w14:val="none"/>
        </w:rPr>
        <w:t>військова освіта; Lessons Learned; L-курси; Mission Command; підготовка офіцерів; професійна військова освіта; стандарти НАТО.</w:t>
      </w:r>
    </w:p>
    <w:p w14:paraId="1A7251AB"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val="uk-UA" w:eastAsia="uk-UA"/>
          <w14:ligatures w14:val="none"/>
        </w:rPr>
      </w:pPr>
    </w:p>
    <w:p w14:paraId="2EB3D7FA"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b/>
          <w:bCs/>
          <w:spacing w:val="-4"/>
          <w:kern w:val="0"/>
          <w:sz w:val="28"/>
          <w:szCs w:val="28"/>
          <w:lang w:eastAsia="uk-UA"/>
          <w14:ligatures w14:val="none"/>
        </w:rPr>
      </w:pPr>
      <w:r w:rsidRPr="00B44B71">
        <w:rPr>
          <w:rFonts w:ascii="Times New Roman" w:eastAsia="Times New Roman" w:hAnsi="Times New Roman" w:cs="Times New Roman"/>
          <w:b/>
          <w:bCs/>
          <w:spacing w:val="-4"/>
          <w:kern w:val="0"/>
          <w:sz w:val="28"/>
          <w:szCs w:val="28"/>
          <w:lang w:eastAsia="uk-UA"/>
          <w14:ligatures w14:val="none"/>
        </w:rPr>
        <w:t xml:space="preserve">Introduction. </w:t>
      </w:r>
      <w:r w:rsidRPr="00B44B71">
        <w:rPr>
          <w:rFonts w:ascii="Times New Roman" w:eastAsia="Times New Roman" w:hAnsi="Times New Roman" w:cs="Times New Roman"/>
          <w:spacing w:val="-4"/>
          <w:kern w:val="0"/>
          <w:sz w:val="28"/>
          <w:szCs w:val="28"/>
          <w:lang w:eastAsia="uk-UA"/>
          <w14:ligatures w14:val="none"/>
        </w:rPr>
        <w:t xml:space="preserve">The modern system of training military specialists in the Armed Forces of Ukraine (AFU) represents a highly dynamic and adaptive model of military education. It has gradually evolved from a post-Soviet training system to full operational </w:t>
      </w:r>
      <w:r w:rsidRPr="00B44B71">
        <w:rPr>
          <w:rFonts w:ascii="Times New Roman" w:eastAsia="Times New Roman" w:hAnsi="Times New Roman" w:cs="Times New Roman"/>
          <w:spacing w:val="-4"/>
          <w:kern w:val="0"/>
          <w:sz w:val="28"/>
          <w:szCs w:val="28"/>
          <w:lang w:eastAsia="uk-UA"/>
          <w14:ligatures w14:val="none"/>
        </w:rPr>
        <w:lastRenderedPageBreak/>
        <w:t>and conceptual interoperability with NATO standards. The trend of changes in the training of AFU military specialists can be divided into two main periods: during the hybrid aggression of the Russian Federation (2014–2022) and under the current conditions of the full-scale invasion of Ukraine by the Russian Federation (2022–present)</w:t>
      </w:r>
      <w:r w:rsidRPr="00B44B71">
        <w:rPr>
          <w:rFonts w:ascii="Times New Roman" w:eastAsia="Times New Roman" w:hAnsi="Times New Roman" w:cs="Times New Roman"/>
          <w:color w:val="000000"/>
          <w:spacing w:val="-4"/>
          <w:kern w:val="0"/>
          <w:sz w:val="28"/>
          <w:szCs w:val="28"/>
          <w:lang w:eastAsia="uk-UA"/>
          <w14:ligatures w14:val="none"/>
        </w:rPr>
        <w:t xml:space="preserve">. </w:t>
      </w:r>
      <w:r w:rsidRPr="00B44B71">
        <w:rPr>
          <w:rFonts w:ascii="Times New Roman" w:eastAsia="Times New Roman" w:hAnsi="Times New Roman" w:cs="Times New Roman"/>
          <w:spacing w:val="-4"/>
          <w:kern w:val="0"/>
          <w:sz w:val="28"/>
          <w:szCs w:val="28"/>
          <w:lang w:eastAsia="uk-UA"/>
          <w14:ligatures w14:val="none"/>
        </w:rPr>
        <w:t>This situation requires not only the modernization of the technical competencies of the officer corps but also a fundamental shift in approaches to leadership psychology, a revision of the role of junior commanders, and the integration of battlefield situational awareness and technological advancements into educational curricula.</w:t>
      </w:r>
    </w:p>
    <w:p w14:paraId="447156E7"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Despite certain positive developments, such as participation in NATO DEEP initiatives (NATO Standardization Office, 2014), fragmentary improvements in subject content, and the introduction of modules involving foreign instructors, Ukraine currently lacks a systemic implementation of CLIL (Content and Language Integrated Learning) and TBLT (Task-Based Language Teaching) in military education</w:t>
      </w:r>
      <w:r w:rsidRPr="00B44B71">
        <w:rPr>
          <w:rFonts w:ascii="Times New Roman" w:eastAsia="Times New Roman" w:hAnsi="Times New Roman" w:cs="Times New Roman"/>
          <w:color w:val="000000"/>
          <w:spacing w:val="-4"/>
          <w:kern w:val="0"/>
          <w:sz w:val="28"/>
          <w:szCs w:val="28"/>
          <w:lang w:eastAsia="uk-UA"/>
          <w14:ligatures w14:val="none"/>
        </w:rPr>
        <w:t xml:space="preserve"> (Myronenko, 2024; Suslov, </w:t>
      </w:r>
      <w:r w:rsidRPr="00B44B71">
        <w:rPr>
          <w:rFonts w:ascii="Times New Roman" w:eastAsia="Times New Roman" w:hAnsi="Times New Roman" w:cs="Times New Roman"/>
          <w:spacing w:val="-4"/>
          <w:kern w:val="0"/>
          <w:sz w:val="28"/>
          <w:szCs w:val="28"/>
          <w:lang w:eastAsia="uk-UA"/>
          <w14:ligatures w14:val="none"/>
        </w:rPr>
        <w:t>2023; Tarasenkova, 2022). There is a lack of tested models, methodological materials, trained instructors, and adapted assessment systems. This necessitates the study of foreign experience in implementing CLIL/TBLT and the development of recommendations for the national system of military education (</w:t>
      </w:r>
      <w:r w:rsidRPr="00B44B71">
        <w:rPr>
          <w:rFonts w:ascii="Times New Roman" w:eastAsia="Times New Roman" w:hAnsi="Times New Roman" w:cs="Times New Roman"/>
          <w:color w:val="000000"/>
          <w:spacing w:val="-4"/>
          <w:kern w:val="0"/>
          <w:sz w:val="28"/>
          <w:szCs w:val="28"/>
          <w:lang w:eastAsia="uk-UA"/>
          <w14:ligatures w14:val="none"/>
        </w:rPr>
        <w:t>Suslov</w:t>
      </w:r>
      <w:r w:rsidRPr="00B44B71">
        <w:rPr>
          <w:rFonts w:ascii="Times New Roman" w:eastAsia="Times New Roman" w:hAnsi="Times New Roman" w:cs="Times New Roman"/>
          <w:spacing w:val="-4"/>
          <w:kern w:val="0"/>
          <w:sz w:val="28"/>
          <w:szCs w:val="28"/>
          <w:lang w:eastAsia="uk-UA"/>
          <w14:ligatures w14:val="none"/>
        </w:rPr>
        <w:t>, 2025).</w:t>
      </w:r>
    </w:p>
    <w:p w14:paraId="4B1FC7E4"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color w:val="000000"/>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Researching the evolutionary trends of military specialist training in the AFU is crucial, as it allows for identifying patterns in the adaptation of educational programs to modern armed conflict conditions, assessing the effectiveness of integrating the latest technologies and combat operations management concepts, and formulating scientifically grounded recommendations for optimizing training strategies and enhancing the combat capability of the Armed Forces of Ukraine in the long term</w:t>
      </w:r>
      <w:r w:rsidRPr="00B44B71">
        <w:rPr>
          <w:rFonts w:ascii="Times New Roman" w:eastAsia="Times New Roman" w:hAnsi="Times New Roman" w:cs="Times New Roman"/>
          <w:color w:val="000000"/>
          <w:spacing w:val="-4"/>
          <w:kern w:val="0"/>
          <w:sz w:val="28"/>
          <w:szCs w:val="28"/>
          <w:lang w:eastAsia="uk-UA"/>
          <w14:ligatures w14:val="none"/>
        </w:rPr>
        <w:t>.</w:t>
      </w:r>
    </w:p>
    <w:p w14:paraId="1D4445DB"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color w:val="000000"/>
          <w:spacing w:val="-4"/>
          <w:kern w:val="0"/>
          <w:sz w:val="28"/>
          <w:szCs w:val="28"/>
          <w:lang w:eastAsia="uk-UA"/>
          <w14:ligatures w14:val="none"/>
        </w:rPr>
      </w:pPr>
      <w:r w:rsidRPr="00B44B71">
        <w:rPr>
          <w:rFonts w:ascii="Times New Roman" w:eastAsia="Times New Roman" w:hAnsi="Times New Roman" w:cs="Times New Roman"/>
          <w:color w:val="000000"/>
          <w:spacing w:val="-4"/>
          <w:kern w:val="0"/>
          <w:sz w:val="28"/>
          <w:szCs w:val="28"/>
          <w:lang w:eastAsia="uk-UA"/>
          <w14:ligatures w14:val="none"/>
        </w:rPr>
        <w:t>Taking the above into account, the relevance of this study is driven by the need for scientific comprehension of the unprecedented changes that have occurred in the Armed Forces of Ukraine over the last decade, accompanied by continuous combat operations on its own territory.</w:t>
      </w:r>
    </w:p>
    <w:p w14:paraId="5F3895BC"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color w:val="000000"/>
          <w:spacing w:val="-4"/>
          <w:kern w:val="0"/>
          <w:sz w:val="28"/>
          <w:szCs w:val="28"/>
          <w:lang w:eastAsia="uk-UA"/>
          <w14:ligatures w14:val="none"/>
        </w:rPr>
      </w:pPr>
      <w:r w:rsidRPr="00B44B71">
        <w:rPr>
          <w:rFonts w:ascii="Times New Roman" w:eastAsia="Times New Roman" w:hAnsi="Times New Roman" w:cs="Times New Roman"/>
          <w:color w:val="000000"/>
          <w:spacing w:val="-4"/>
          <w:kern w:val="0"/>
          <w:sz w:val="28"/>
          <w:szCs w:val="28"/>
          <w:lang w:eastAsia="uk-UA"/>
          <w14:ligatures w14:val="none"/>
        </w:rPr>
        <w:t>The aim of this article is to identify and substantiate the correlation between the changing character of tactical operations and the transformation of the tactical-level officer training system of the Armed Forces of Ukraine, as well as to determine the effectiveness of implementing NATO standards under real war conditions. To achieve this aim, the study addresses the following research objectives: first, to periodize the transformation of the military education system from 2014 to 2025 and identify key vectors of change at each stage; second, to reveal the features of the institutional integration of the national officer training system with NATO standards requirements during the 2014–2021 period; third, to conduct a comparative analysis and construct a matrix of correspondence for transformational changes in officer training during the active phase of the war (2022–2025) and their consistency with NATO operational interoperability standards; and finally, to develop a model of correlation between war requirements and military educational transformation for the period from 2014 to 2025.</w:t>
      </w:r>
    </w:p>
    <w:p w14:paraId="18D52976"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b/>
          <w:bCs/>
          <w:spacing w:val="-4"/>
          <w:kern w:val="0"/>
          <w:sz w:val="28"/>
          <w:szCs w:val="28"/>
          <w:lang w:eastAsia="uk-UA"/>
          <w14:ligatures w14:val="none"/>
        </w:rPr>
        <w:t xml:space="preserve">Analysis of recent research and publications. </w:t>
      </w:r>
      <w:r w:rsidRPr="00B44B71">
        <w:rPr>
          <w:rFonts w:ascii="Times New Roman" w:eastAsia="Times New Roman" w:hAnsi="Times New Roman" w:cs="Times New Roman"/>
          <w:spacing w:val="-4"/>
          <w:kern w:val="0"/>
          <w:sz w:val="28"/>
          <w:szCs w:val="28"/>
          <w:lang w:eastAsia="uk-UA"/>
          <w14:ligatures w14:val="none"/>
        </w:rPr>
        <w:t>The transformation of military education is a subject of particular attention among both domestic scholars (M.</w:t>
      </w:r>
      <w:r w:rsidRPr="00B44B71">
        <w:rPr>
          <w:rFonts w:ascii="Times New Roman" w:eastAsia="Times New Roman" w:hAnsi="Times New Roman" w:cs="Times New Roman"/>
          <w:spacing w:val="-4"/>
          <w:kern w:val="0"/>
          <w:sz w:val="28"/>
          <w:szCs w:val="28"/>
          <w:lang w:val="uk-UA" w:eastAsia="uk-UA"/>
          <w14:ligatures w14:val="none"/>
        </w:rPr>
        <w:t> </w:t>
      </w:r>
      <w:r w:rsidRPr="00B44B71">
        <w:rPr>
          <w:rFonts w:ascii="Times New Roman" w:eastAsia="Times New Roman" w:hAnsi="Times New Roman" w:cs="Times New Roman"/>
          <w:spacing w:val="-4"/>
          <w:kern w:val="0"/>
          <w:sz w:val="28"/>
          <w:szCs w:val="28"/>
          <w:lang w:eastAsia="uk-UA"/>
          <w14:ligatures w14:val="none"/>
        </w:rPr>
        <w:t xml:space="preserve">Kasianenko, V. Mirnenko, Yu. Prykhodko, V. Telelym) and international experts (J. </w:t>
      </w:r>
      <w:r w:rsidRPr="00B44B71">
        <w:rPr>
          <w:rFonts w:ascii="Times New Roman" w:eastAsia="Times New Roman" w:hAnsi="Times New Roman" w:cs="Times New Roman"/>
          <w:spacing w:val="-4"/>
          <w:kern w:val="0"/>
          <w:sz w:val="28"/>
          <w:szCs w:val="28"/>
          <w:lang w:eastAsia="uk-UA"/>
          <w14:ligatures w14:val="none"/>
        </w:rPr>
        <w:lastRenderedPageBreak/>
        <w:t>Kutac, N. Reynolds, J. Watling). The specific features of military education development in Ukraine have been investigated by O. Zabolotnyi, A. Zelnytskyi, and others (Zelnytskyi, 2020). These scholars focused on the core functions of higher military education as a component of defense planning, identified key challenges affecting its development, and developed a change management model for the higher military education system in Ukraine.</w:t>
      </w:r>
    </w:p>
    <w:p w14:paraId="44A45761"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Institutional changes and the peculiarities of the military education system transformation have been highlighted in the works of V. Mirnenko (Mirnenko, 2023), while the improvement of Professional Military Education (PME) in Ukraine has been explored by D. Viter, O. Mitiahin, and V. Rakhmanov. The current state and problematic issues regarding the implementation of PME learning outcomes in Ukraine were examined by V. Hromenko, V. Karpenko, and O. Kolesnyk (Karpenko, 2025). Professional training of military specialists was also researched by A. Stanishevskyi.</w:t>
      </w:r>
    </w:p>
    <w:p w14:paraId="6FB8F0F6"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 xml:space="preserve">In current conditions, a critical perspective is taken regarding the justification of officer training components (Chernovol, 2023). While authors often view these components within the framework of development, analysis, forecasting, and motivation, there is a lack of emphasis on radical practical steps directly dictated by the battlefield. However, a positive aspect of Chernovol’s work (2023) is the analysis of publications identifying general trends dedicated to experience and psychology in military education. In this context, Anishchenko (2022) focused on the peculiarities and methodological foundations of forming officers’ readiness for professional activity. It is highlighted that officer readiness directly depends on </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motivation and activation of cognitive activity, methods of value construction, formation of value-semantic orientations, and awareness of the necessity to achieve a high level of readiness for various types of military-professional activities</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 xml:space="preserve"> which is grounded in pedagogy and psychology. </w:t>
      </w:r>
    </w:p>
    <w:p w14:paraId="25010D92"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Significant for this research is the detailed analysis of the shortcomings and advantages of unit command and control at the onset of the full-scale invasion by the Russian Federation (Zabrodskyi, 2022). This analysis specifically highlighted the features of decentralized command, which enabled rapid and effective obstruction of enemy forces.</w:t>
      </w:r>
    </w:p>
    <w:p w14:paraId="34726BC9"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A fairly objective analysis was also conducted regarding the impact of the war on the Ukrainian military education system and the use of the Mission Command philosophy in the Armed Forces of Ukraine (Salkutsan, 2022)</w:t>
      </w:r>
      <w:bookmarkStart w:id="20" w:name="_Hlk221223662"/>
      <w:r w:rsidRPr="00B44B71">
        <w:rPr>
          <w:rFonts w:ascii="Times New Roman" w:eastAsia="Times New Roman" w:hAnsi="Times New Roman" w:cs="Times New Roman"/>
          <w:spacing w:val="-4"/>
          <w:kern w:val="0"/>
          <w:sz w:val="28"/>
          <w:szCs w:val="28"/>
          <w:lang w:eastAsia="uk-UA"/>
          <w14:ligatures w14:val="none"/>
        </w:rPr>
        <w:t>.</w:t>
      </w:r>
      <w:bookmarkEnd w:id="20"/>
      <w:r w:rsidRPr="00B44B71">
        <w:rPr>
          <w:rFonts w:ascii="Times New Roman" w:eastAsia="Times New Roman" w:hAnsi="Times New Roman" w:cs="Times New Roman"/>
          <w:spacing w:val="-4"/>
          <w:kern w:val="0"/>
          <w:sz w:val="28"/>
          <w:szCs w:val="28"/>
          <w:lang w:eastAsia="uk-UA"/>
          <w14:ligatures w14:val="none"/>
        </w:rPr>
        <w:t xml:space="preserve"> The article examines the system of professional military education in Ukraine and focuses on the policy for its development in the future.</w:t>
      </w:r>
    </w:p>
    <w:p w14:paraId="249DDE61"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Understanding the current state and the implementation of technological advancements that influence changes in traditional approaches to warfare is highly relevant (Sobchenko, 2024). The research is relevant to the issues of taking into account the features of modern technologies in the educational process.</w:t>
      </w:r>
    </w:p>
    <w:p w14:paraId="5768F957"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 xml:space="preserve">The generalization of existing publications confirms that the issue of military education transformation is in the focus of systematic attention of the domestic and international scientific community. However, despite the significant scientific contribution, most of the mentioned studies focus primarily on separate aspects of reform </w:t>
      </w:r>
      <w:r w:rsidRPr="00B44B71">
        <w:rPr>
          <w:rFonts w:ascii="Times New Roman" w:eastAsia="Times New Roman" w:hAnsi="Times New Roman" w:cs="Times New Roman"/>
          <w:spacing w:val="-4"/>
          <w:kern w:val="0"/>
          <w:sz w:val="28"/>
          <w:szCs w:val="28"/>
          <w:lang w:eastAsia="uk-UA"/>
          <w14:ligatures w14:val="none"/>
        </w:rPr>
        <w:lastRenderedPageBreak/>
        <w:t>(institutional, regulatory, pedagogical) or are limited to specific timeframes (Counterterrorist Operation, Joint Forces Operation, or the early stages of the full-scale invasion). At the same time, the dynamics of the full-scale war (2022–2025), the emergence of new domains of warfare, and the rapid technological saturation of the battlefield require a comprehensive rethinking of training approaches that go beyond standardized preparation and theoretical knowledge acquisition. Today, the direct correlation and causal link between the evolution of enemy tactics/technologies and the content of educational curricula remain insufficiently studied.</w:t>
      </w:r>
    </w:p>
    <w:p w14:paraId="71327118"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b/>
          <w:bCs/>
          <w:spacing w:val="-4"/>
          <w:kern w:val="0"/>
          <w:sz w:val="28"/>
          <w:szCs w:val="28"/>
          <w:lang w:eastAsia="uk-UA"/>
          <w14:ligatures w14:val="none"/>
        </w:rPr>
        <w:t xml:space="preserve">Methods. </w:t>
      </w:r>
      <w:r w:rsidRPr="00B44B71">
        <w:rPr>
          <w:rFonts w:ascii="Times New Roman" w:eastAsia="Times New Roman" w:hAnsi="Times New Roman" w:cs="Times New Roman"/>
          <w:spacing w:val="-4"/>
          <w:kern w:val="0"/>
          <w:sz w:val="28"/>
          <w:szCs w:val="28"/>
          <w:lang w:eastAsia="uk-UA"/>
          <w14:ligatures w14:val="none"/>
        </w:rPr>
        <w:t>The study employs a complex of general scientific and special methods:</w:t>
      </w:r>
    </w:p>
    <w:p w14:paraId="3729948A"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Historiographical and Comparative Analysis. To compare the Soviet training model with the modern system, taking into account the implementation of L-courses, and to determine the staging of reforms across the periods of 2014, 2022, and 2025.</w:t>
      </w:r>
    </w:p>
    <w:p w14:paraId="51343E7C"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 xml:space="preserve">JALLC Methodology (NATO Lessons Learned). To analyze the cycle of transforming a </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Lesson Identified</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 xml:space="preserve"> into a </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Lesson Learned</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 xml:space="preserve"> within the curricula of higher military educational institutions.</w:t>
      </w:r>
    </w:p>
    <w:p w14:paraId="5C4DF868"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Empirical Analysis. Included the study of the regulatory framework (Education Management Strategy, Personnel Policy Concept) and reports from partners (RUSI, RAND) to verify the changes.</w:t>
      </w:r>
    </w:p>
    <w:p w14:paraId="363F940F"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u w:val="single"/>
          <w:lang w:eastAsia="uk-UA"/>
          <w14:ligatures w14:val="none"/>
        </w:rPr>
      </w:pPr>
      <w:r w:rsidRPr="00B44B71">
        <w:rPr>
          <w:rFonts w:ascii="Times New Roman" w:eastAsia="Times New Roman" w:hAnsi="Times New Roman" w:cs="Times New Roman"/>
          <w:spacing w:val="-4"/>
          <w:kern w:val="0"/>
          <w:sz w:val="28"/>
          <w:szCs w:val="28"/>
          <w:lang w:eastAsia="uk-UA"/>
          <w14:ligatures w14:val="none"/>
        </w:rPr>
        <w:t>Graphical Modeling. For constructing, designing, and substantiating the Model of Correlation between Battlefield Requirements and Military Educational Transformation (2014–2025).</w:t>
      </w:r>
    </w:p>
    <w:p w14:paraId="401FDAF7"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b/>
          <w:bCs/>
          <w:spacing w:val="-4"/>
          <w:kern w:val="0"/>
          <w:sz w:val="28"/>
          <w:szCs w:val="28"/>
          <w:lang w:eastAsia="uk-UA"/>
          <w14:ligatures w14:val="none"/>
        </w:rPr>
        <w:t xml:space="preserve">Results. </w:t>
      </w:r>
      <w:r w:rsidRPr="00B44B71">
        <w:rPr>
          <w:rFonts w:ascii="Times New Roman" w:eastAsia="Times New Roman" w:hAnsi="Times New Roman" w:cs="Times New Roman"/>
          <w:color w:val="000000"/>
          <w:spacing w:val="-4"/>
          <w:kern w:val="0"/>
          <w:sz w:val="28"/>
          <w:szCs w:val="28"/>
          <w:lang w:eastAsia="uk-UA"/>
          <w14:ligatures w14:val="none"/>
        </w:rPr>
        <w:t xml:space="preserve">Ensuring the state’s defense capability in the context of the russian federation’s aggression against Ukraine is directly linked to the quality of training and the level of professional competence of the officer corps. The officer training system of the Armed Forces of Ukraine has evolved at an extremely rapid pace. While the main problem in 2014 was the lack of combat-ready units with trained personnel and shortages of armament and military equipment, by 2024, the challenges had shifted to the domain of technological superiority. Drone management, situational awareness, and the implementation of artificial intelligence on the battlefield have become integral components of the unit command and control system. </w:t>
      </w:r>
      <w:r w:rsidRPr="00B44B71">
        <w:rPr>
          <w:rFonts w:ascii="Times New Roman" w:eastAsia="Times New Roman" w:hAnsi="Times New Roman" w:cs="Times New Roman"/>
          <w:spacing w:val="-4"/>
          <w:kern w:val="0"/>
          <w:sz w:val="28"/>
          <w:szCs w:val="28"/>
          <w:lang w:eastAsia="uk-UA"/>
          <w14:ligatures w14:val="none"/>
        </w:rPr>
        <w:t>At the same time, the training of Armed Forces of Ukraine officers is constantly being improved and integrated with battlefield requirements. This demands not merely the consideration of combat experience in the educational process, but a comprehensive approach to generalizing and systematizing available information derived from combat operations. Subsequently, based on the results of systemic analysis, it will be possible to identify general trends, important drivers, and influential factors. These can then be integrated into the educational process through scientific substantiation, taking into account the security environment in medium- and long-term perspectives</w:t>
      </w:r>
      <w:r w:rsidRPr="00B44B71">
        <w:rPr>
          <w:rFonts w:ascii="Times New Roman" w:eastAsia="Times New Roman" w:hAnsi="Times New Roman" w:cs="Times New Roman"/>
          <w:color w:val="000000"/>
          <w:spacing w:val="-4"/>
          <w:kern w:val="0"/>
          <w:sz w:val="28"/>
          <w:szCs w:val="28"/>
          <w:lang w:eastAsia="uk-UA"/>
          <w14:ligatures w14:val="none"/>
        </w:rPr>
        <w:t>.</w:t>
      </w:r>
    </w:p>
    <w:p w14:paraId="21201591"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 xml:space="preserve">The system of training military specialists in Ukraine prior to 2014 was formed on the basis of the Soviet model of military education and combat training. The onset of Russian aggression in 2014 and subsequent hostilities in Eastern Ukraine served as a catalyst for a deep transformation of the military education system. However, the issue of transforming military specialist training in Ukraine began within the framework of the </w:t>
      </w:r>
      <w:r w:rsidRPr="00B44B71">
        <w:rPr>
          <w:rFonts w:ascii="Times New Roman" w:eastAsia="Times New Roman" w:hAnsi="Times New Roman" w:cs="Times New Roman"/>
          <w:spacing w:val="-4"/>
          <w:kern w:val="0"/>
          <w:sz w:val="28"/>
          <w:szCs w:val="28"/>
          <w:lang w:eastAsia="uk-UA"/>
          <w14:ligatures w14:val="none"/>
        </w:rPr>
        <w:lastRenderedPageBreak/>
        <w:t>Defence Education Enhancement Programme (hereinafter – DEEP) in 2007. Within the framework of the program, support introduced by international partners enabled the modernization of the military educational process in Ukraine through the training of faculty members and the improvement of curricula in partnership with NATO member countries. The main goal of the Program for Ukraine at that time was to support the reform of the military education system in accordance with NATO standards. Ukraine has actively participated in the implementation of the program since 2012. Since 2013, support under the DEEP program has already been received by 8 higher military educational institutions of Ukraine and 3 non-commissioned officer (NCO) training centers (</w:t>
      </w:r>
      <w:r w:rsidRPr="00B44B71">
        <w:rPr>
          <w:rFonts w:ascii="Times New Roman" w:eastAsia="Times New Roman" w:hAnsi="Times New Roman" w:cs="Times New Roman"/>
          <w:color w:val="000000"/>
          <w:spacing w:val="-4"/>
          <w:kern w:val="0"/>
          <w:sz w:val="28"/>
          <w:szCs w:val="28"/>
          <w:lang w:val="uk-UA" w:eastAsia="uk-UA"/>
          <w14:ligatures w14:val="none"/>
        </w:rPr>
        <w:t>Salkutsan, 2022</w:t>
      </w:r>
      <w:r w:rsidRPr="00B44B71">
        <w:rPr>
          <w:rFonts w:ascii="Times New Roman" w:eastAsia="Times New Roman" w:hAnsi="Times New Roman" w:cs="Times New Roman"/>
          <w:spacing w:val="-4"/>
          <w:kern w:val="0"/>
          <w:sz w:val="28"/>
          <w:szCs w:val="28"/>
          <w:lang w:eastAsia="uk-UA"/>
          <w14:ligatures w14:val="none"/>
        </w:rPr>
        <w:t>). Furthermore, since 2015, the improvement of the NCO training system in Ukraine has acquired a more large-scale character (</w:t>
      </w:r>
      <w:bookmarkStart w:id="21" w:name="_Hlk221606580"/>
      <w:bookmarkStart w:id="22" w:name="_Hlk221223973"/>
      <w:r w:rsidRPr="00B44B71">
        <w:rPr>
          <w:rFonts w:ascii="Times New Roman" w:eastAsia="Times New Roman" w:hAnsi="Times New Roman" w:cs="Times New Roman"/>
          <w:spacing w:val="-4"/>
          <w:kern w:val="0"/>
          <w:sz w:val="28"/>
          <w:szCs w:val="28"/>
          <w:lang w:val="uk-UA" w:eastAsia="uk-UA"/>
          <w14:ligatures w14:val="none"/>
        </w:rPr>
        <w:t>Ukrinform</w:t>
      </w:r>
      <w:bookmarkEnd w:id="21"/>
      <w:r w:rsidRPr="00B44B71">
        <w:rPr>
          <w:rFonts w:ascii="Times New Roman" w:eastAsia="Times New Roman" w:hAnsi="Times New Roman" w:cs="Times New Roman"/>
          <w:spacing w:val="-4"/>
          <w:kern w:val="0"/>
          <w:sz w:val="28"/>
          <w:szCs w:val="28"/>
          <w:lang w:val="uk-UA" w:eastAsia="uk-UA"/>
          <w14:ligatures w14:val="none"/>
        </w:rPr>
        <w:t>,</w:t>
      </w:r>
      <w:bookmarkEnd w:id="22"/>
      <w:r w:rsidRPr="00B44B71">
        <w:rPr>
          <w:rFonts w:ascii="Times New Roman" w:eastAsia="Times New Roman" w:hAnsi="Times New Roman" w:cs="Times New Roman"/>
          <w:spacing w:val="-4"/>
          <w:kern w:val="0"/>
          <w:sz w:val="28"/>
          <w:szCs w:val="28"/>
          <w:lang w:val="uk-UA" w:eastAsia="uk-UA"/>
          <w14:ligatures w14:val="none"/>
        </w:rPr>
        <w:t xml:space="preserve"> 2023</w:t>
      </w:r>
      <w:r w:rsidRPr="00B44B71">
        <w:rPr>
          <w:rFonts w:ascii="Times New Roman" w:eastAsia="Times New Roman" w:hAnsi="Times New Roman" w:cs="Times New Roman"/>
          <w:spacing w:val="-4"/>
          <w:kern w:val="0"/>
          <w:sz w:val="28"/>
          <w:szCs w:val="28"/>
          <w:lang w:eastAsia="uk-UA"/>
          <w14:ligatures w14:val="none"/>
        </w:rPr>
        <w:t>).</w:t>
      </w:r>
    </w:p>
    <w:p w14:paraId="66E81B5D"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 xml:space="preserve">In the context of transforming and improving the officer and NCO training system, the State Targeted Defence Programme for the Development of the Armed Forces of Ukraine for the Period up to 2020 (President of Ukraine, </w:t>
      </w:r>
      <w:r w:rsidRPr="00B44B71">
        <w:rPr>
          <w:rFonts w:ascii="Times New Roman" w:eastAsia="Times New Roman" w:hAnsi="Times New Roman" w:cs="Times New Roman"/>
          <w:spacing w:val="-4"/>
          <w:kern w:val="0"/>
          <w:sz w:val="28"/>
          <w:szCs w:val="28"/>
          <w:lang w:val="uk-UA" w:eastAsia="uk-UA"/>
          <w14:ligatures w14:val="none"/>
        </w:rPr>
        <w:t>2017</w:t>
      </w:r>
      <w:r w:rsidRPr="00B44B71">
        <w:rPr>
          <w:rFonts w:ascii="Times New Roman" w:eastAsia="Times New Roman" w:hAnsi="Times New Roman" w:cs="Times New Roman"/>
          <w:spacing w:val="-4"/>
          <w:kern w:val="0"/>
          <w:sz w:val="28"/>
          <w:szCs w:val="28"/>
          <w:lang w:eastAsia="uk-UA"/>
          <w14:ligatures w14:val="none"/>
        </w:rPr>
        <w:t>). This program contained clear indicators regarding the transformation of the officer training system. The main emphasis was placed on aligning the network of educational institutions with the real needs of the Armed Forces of Ukraine, incorporating the specifics of training military specialists for battlefield realities into the educational process, and implementing combat experience into officer and NCO training curricula.</w:t>
      </w:r>
    </w:p>
    <w:p w14:paraId="716EA7C2"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 xml:space="preserve">A key regulatory act of that year was the Resolution of the Cabinet of Ministers of Ukraine </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On the Reorganization and Establishment of Military Training Units of Higher Educational Institutions</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 xml:space="preserve"> (Cabinet of Ministers of Ukraine, 2015). As a result, the subordination structure of military training units located within civilian higher educational institutions underwent significant changes. </w:t>
      </w:r>
    </w:p>
    <w:p w14:paraId="3D26A9AC"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Against the backdrop of the Russian Federation’s actions attempting to seize new territories of Ukraine, the decision of the National Security and Defence Council (President of Ukraine, 2016) was enacted on June 6, 2016. It should be noted that a distinct feature of this decision was the identification of military education as a separate direction within the state’s strategic objectives</w:t>
      </w:r>
    </w:p>
    <w:p w14:paraId="0F48106B"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That same year, the Concept for the Development of the Professional Non-Commissioned Officer Corps of the Armed Forces of Ukraine was approved</w:t>
      </w:r>
      <w:r w:rsidRPr="00B44B71">
        <w:rPr>
          <w:rFonts w:ascii="Times New Roman" w:eastAsia="Times New Roman" w:hAnsi="Times New Roman" w:cs="Times New Roman"/>
          <w:color w:val="000000"/>
          <w:spacing w:val="-4"/>
          <w:kern w:val="0"/>
          <w:sz w:val="28"/>
          <w:szCs w:val="28"/>
          <w:lang w:eastAsia="uk-UA"/>
          <w14:ligatures w14:val="none"/>
        </w:rPr>
        <w:t xml:space="preserve"> (</w:t>
      </w:r>
      <w:bookmarkStart w:id="23" w:name="_Hlk221224152"/>
      <w:r w:rsidRPr="00B44B71">
        <w:rPr>
          <w:rFonts w:ascii="Times New Roman" w:eastAsia="Times New Roman" w:hAnsi="Times New Roman" w:cs="Times New Roman"/>
          <w:color w:val="000000"/>
          <w:spacing w:val="-4"/>
          <w:kern w:val="0"/>
          <w:sz w:val="28"/>
          <w:szCs w:val="28"/>
          <w:lang w:eastAsia="uk-UA"/>
          <w14:ligatures w14:val="none"/>
        </w:rPr>
        <w:t>Order of the Ministry of Defense of Ukraine</w:t>
      </w:r>
      <w:r w:rsidRPr="00B44B71">
        <w:rPr>
          <w:rFonts w:ascii="Times New Roman" w:eastAsia="Times New Roman" w:hAnsi="Times New Roman" w:cs="Times New Roman"/>
          <w:color w:val="000000"/>
          <w:spacing w:val="-4"/>
          <w:kern w:val="0"/>
          <w:sz w:val="28"/>
          <w:szCs w:val="28"/>
          <w:lang w:val="uk-UA" w:eastAsia="uk-UA"/>
          <w14:ligatures w14:val="none"/>
        </w:rPr>
        <w:t>,</w:t>
      </w:r>
      <w:r w:rsidRPr="00B44B71">
        <w:rPr>
          <w:rFonts w:ascii="Times New Roman" w:eastAsia="Times New Roman" w:hAnsi="Times New Roman" w:cs="Times New Roman"/>
          <w:color w:val="000000"/>
          <w:spacing w:val="-4"/>
          <w:kern w:val="0"/>
          <w:sz w:val="28"/>
          <w:szCs w:val="28"/>
          <w:lang w:eastAsia="uk-UA"/>
          <w14:ligatures w14:val="none"/>
        </w:rPr>
        <w:t xml:space="preserve"> 2022</w:t>
      </w:r>
      <w:bookmarkEnd w:id="23"/>
      <w:r w:rsidRPr="00B44B71">
        <w:rPr>
          <w:rFonts w:ascii="Times New Roman" w:eastAsia="Times New Roman" w:hAnsi="Times New Roman" w:cs="Times New Roman"/>
          <w:color w:val="000000"/>
          <w:spacing w:val="-4"/>
          <w:kern w:val="0"/>
          <w:sz w:val="28"/>
          <w:szCs w:val="28"/>
          <w:lang w:eastAsia="uk-UA"/>
          <w14:ligatures w14:val="none"/>
        </w:rPr>
        <w:t>), This concept defined the sergeant as an officer's assistant in combat training, thereby implementing the NATO concept within the AFU. Alongside this, the idea was laid down for the sergeant to act as a leader and mentor for enlisted personnel and as a specialist in tactical actions. However, the implementation of this Concept was not fully adapted within the military due to the professional level of the NCO corps, the weak material and technical base of training centers, and training programs that failed to change the concept of combat training in the forces</w:t>
      </w:r>
      <w:r w:rsidRPr="00B44B71">
        <w:rPr>
          <w:rFonts w:ascii="Times New Roman" w:eastAsia="Times New Roman" w:hAnsi="Times New Roman" w:cs="Times New Roman"/>
          <w:spacing w:val="-4"/>
          <w:kern w:val="0"/>
          <w:sz w:val="28"/>
          <w:szCs w:val="28"/>
          <w:lang w:eastAsia="uk-UA"/>
          <w14:ligatures w14:val="none"/>
        </w:rPr>
        <w:t xml:space="preserve">. The structure of NCO training continued to be carried out according to the post-Soviet training system. However, on October 17, 2019, the Verkhovna Rada adopted the Law of Ukraine </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On Amendments to Certain Legislative Acts of Ukraine Regarding the Performance of Military Duty and Military Service</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 xml:space="preserve"> (</w:t>
      </w:r>
      <w:bookmarkStart w:id="24" w:name="_Hlk221224192"/>
      <w:r w:rsidRPr="00B44B71">
        <w:rPr>
          <w:rFonts w:ascii="Times New Roman" w:eastAsia="Times New Roman" w:hAnsi="Times New Roman" w:cs="Times New Roman"/>
          <w:spacing w:val="-4"/>
          <w:kern w:val="0"/>
          <w:sz w:val="28"/>
          <w:szCs w:val="28"/>
          <w:lang w:eastAsia="uk-UA"/>
          <w14:ligatures w14:val="none"/>
        </w:rPr>
        <w:t>Verkhovna Rada of Ukraine, 2019</w:t>
      </w:r>
      <w:bookmarkEnd w:id="24"/>
      <w:r w:rsidRPr="00B44B71">
        <w:rPr>
          <w:rFonts w:ascii="Times New Roman" w:eastAsia="Times New Roman" w:hAnsi="Times New Roman" w:cs="Times New Roman"/>
          <w:color w:val="000000"/>
          <w:spacing w:val="-4"/>
          <w:kern w:val="0"/>
          <w:sz w:val="28"/>
          <w:szCs w:val="28"/>
          <w:lang w:eastAsia="uk-UA"/>
          <w14:ligatures w14:val="none"/>
        </w:rPr>
        <w:t xml:space="preserve">) the main idea of </w:t>
      </w:r>
      <w:r w:rsidRPr="00B44B71">
        <w:rPr>
          <w:rFonts w:ascii="Times New Roman" w:eastAsia="Times New Roman" w:hAnsi="Times New Roman" w:cs="Times New Roman"/>
          <w:color w:val="000000"/>
          <w:spacing w:val="-4"/>
          <w:kern w:val="0"/>
          <w:sz w:val="28"/>
          <w:szCs w:val="28"/>
          <w:lang w:eastAsia="uk-UA"/>
          <w14:ligatures w14:val="none"/>
        </w:rPr>
        <w:lastRenderedPageBreak/>
        <w:t>which was the elimination of the Soviet system of military ranks and the introduction of a new NCO hierarchy fully compliant with NATO standard STANAG 2116</w:t>
      </w:r>
      <w:r w:rsidRPr="00B44B71">
        <w:rPr>
          <w:rFonts w:ascii="Times New Roman" w:eastAsia="Times New Roman" w:hAnsi="Times New Roman" w:cs="Times New Roman"/>
          <w:spacing w:val="-4"/>
          <w:kern w:val="0"/>
          <w:sz w:val="28"/>
          <w:szCs w:val="28"/>
          <w:lang w:eastAsia="uk-UA"/>
          <w14:ligatures w14:val="none"/>
        </w:rPr>
        <w:t>.</w:t>
      </w:r>
    </w:p>
    <w:p w14:paraId="5AAA7FAF"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As can be seen from the above, cardinal changes in the training system of AFU officers and NCOs were made only with the onset of the Russian Federation's aggression on the territory of Ukraine. Although changes in military education were anticipated with the introduction of the NATO DEEP program for Ukraine, its implementation directly depended on legal and political steps. Furthermore, only in 2020 were leadership courses for officers launched at the National Defence University of Ukraine within the framework of a pilot project based on prospective programs, specifically: the Command and Staff Course (L2), the Joint Staff Course of the operational level (L3), and the High</w:t>
      </w:r>
      <w:r w:rsidRPr="00B44B71">
        <w:rPr>
          <w:rFonts w:ascii="Times New Roman" w:eastAsia="Times New Roman" w:hAnsi="Times New Roman" w:cs="Times New Roman"/>
          <w:spacing w:val="-4"/>
          <w:kern w:val="0"/>
          <w:sz w:val="28"/>
          <w:szCs w:val="28"/>
          <w:lang w:val="uk-UA" w:eastAsia="uk-UA"/>
          <w14:ligatures w14:val="none"/>
        </w:rPr>
        <w:t xml:space="preserve"> </w:t>
      </w:r>
      <w:r w:rsidRPr="00B44B71">
        <w:rPr>
          <w:rFonts w:ascii="Times New Roman" w:eastAsia="Times New Roman" w:hAnsi="Times New Roman" w:cs="Times New Roman"/>
          <w:spacing w:val="-4"/>
          <w:kern w:val="0"/>
          <w:sz w:val="28"/>
          <w:szCs w:val="28"/>
          <w:lang w:eastAsia="uk-UA"/>
          <w14:ligatures w14:val="none"/>
        </w:rPr>
        <w:t>Level Course of the strategic level (L4). The result of training in these courses was the acquisition by officers of specific competencies necessary, primarily, for the execution of joint actions in the planning and execution of operations (Mitiagin, 2021).</w:t>
      </w:r>
    </w:p>
    <w:p w14:paraId="59F139DC"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The concept of introducing leadership courses was driven by changes in Ukraine’s military education system aimed at meeting international standards. It sought to guarantee the development of innovative and team-building skills, as well as critical and systems thinking capabilities for the strategic resolution of national security and defense issues</w:t>
      </w:r>
      <w:r w:rsidRPr="00B44B71">
        <w:rPr>
          <w:rFonts w:ascii="Times New Roman" w:eastAsia="Times New Roman" w:hAnsi="Times New Roman" w:cs="Times New Roman"/>
          <w:color w:val="000000"/>
          <w:spacing w:val="-4"/>
          <w:kern w:val="0"/>
          <w:sz w:val="28"/>
          <w:szCs w:val="28"/>
          <w:lang w:eastAsia="uk-UA"/>
          <w14:ligatures w14:val="none"/>
        </w:rPr>
        <w:t xml:space="preserve"> (Ukrainian Military Pages, 2020</w:t>
      </w:r>
      <w:r w:rsidRPr="00B44B71">
        <w:rPr>
          <w:rFonts w:ascii="Times New Roman" w:eastAsia="Times New Roman" w:hAnsi="Times New Roman" w:cs="Times New Roman"/>
          <w:spacing w:val="-4"/>
          <w:kern w:val="0"/>
          <w:sz w:val="28"/>
          <w:szCs w:val="28"/>
          <w:lang w:eastAsia="uk-UA"/>
          <w14:ligatures w14:val="none"/>
        </w:rPr>
        <w:t>).</w:t>
      </w:r>
    </w:p>
    <w:p w14:paraId="16458C3C"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 xml:space="preserve">In late 2020, a review of the Ukrainian military education system was conducted with the direct participation of advisors from the USA, Canada, Lithuania, Germany, and Denmark. It constituted the world’s first institutional audit of Professional Military Education (PME) in a NATO partner country. Based on the assessment results, practical recommendations were developed and incorporated into the baseline plan of the </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Professional Military Education</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 xml:space="preserve"> project. Foreign advisors from Canada, the USA, Denmark, Lithuania, the Czech Republic, Poland, and Germany continue to consult on the implementation of NATO planning and military decision-making procedures (TLP, MDMP, JOPP) and the synchronization of PME curricula. Within the framework of international partnership, the creation and introduction of the Strategic Leadership and State Policy Course (L-5) in Ukraine should be highlighted separately (</w:t>
      </w:r>
      <w:bookmarkStart w:id="25" w:name="_Hlk221224258"/>
      <w:r w:rsidRPr="00B44B71">
        <w:rPr>
          <w:rFonts w:ascii="Times New Roman" w:eastAsia="Times New Roman" w:hAnsi="Times New Roman" w:cs="Times New Roman"/>
          <w:color w:val="000000"/>
          <w:spacing w:val="-4"/>
          <w:kern w:val="0"/>
          <w:sz w:val="28"/>
          <w:szCs w:val="28"/>
          <w:lang w:eastAsia="uk-UA"/>
          <w14:ligatures w14:val="none"/>
        </w:rPr>
        <w:t>NATO Standardization Office,</w:t>
      </w:r>
      <w:bookmarkEnd w:id="25"/>
      <w:r w:rsidRPr="00B44B71">
        <w:rPr>
          <w:rFonts w:ascii="Times New Roman" w:eastAsia="Times New Roman" w:hAnsi="Times New Roman" w:cs="Times New Roman"/>
          <w:color w:val="000000"/>
          <w:spacing w:val="-4"/>
          <w:kern w:val="0"/>
          <w:sz w:val="28"/>
          <w:szCs w:val="28"/>
          <w:lang w:val="uk-UA" w:eastAsia="uk-UA"/>
          <w14:ligatures w14:val="none"/>
        </w:rPr>
        <w:t xml:space="preserve"> 2014</w:t>
      </w:r>
      <w:r w:rsidRPr="00B44B71">
        <w:rPr>
          <w:rFonts w:ascii="Times New Roman" w:eastAsia="Times New Roman" w:hAnsi="Times New Roman" w:cs="Times New Roman"/>
          <w:spacing w:val="-4"/>
          <w:kern w:val="0"/>
          <w:sz w:val="28"/>
          <w:szCs w:val="28"/>
          <w:lang w:eastAsia="uk-UA"/>
          <w14:ligatures w14:val="none"/>
        </w:rPr>
        <w:t>).</w:t>
      </w:r>
    </w:p>
    <w:p w14:paraId="05218F13"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b/>
          <w:bCs/>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The subsequent stage of military education development in Ukraine involved improving organizational aspects regarding the training of officers and non-commissioned officers (NCOs) in higher military educational institutions and institutions of professional pre-higher military education (</w:t>
      </w:r>
      <w:r w:rsidRPr="00B44B71">
        <w:rPr>
          <w:rFonts w:ascii="Times New Roman" w:eastAsia="Times New Roman" w:hAnsi="Times New Roman" w:cs="Times New Roman"/>
          <w:spacing w:val="-4"/>
          <w:kern w:val="0"/>
          <w:sz w:val="28"/>
          <w:szCs w:val="28"/>
          <w:lang w:val="uk-UA" w:eastAsia="uk-UA"/>
          <w14:ligatures w14:val="none"/>
        </w:rPr>
        <w:t xml:space="preserve">Ministry of Defence of Ukraine, </w:t>
      </w:r>
      <w:r w:rsidRPr="00B44B71">
        <w:rPr>
          <w:rFonts w:ascii="Times New Roman" w:eastAsia="Times New Roman" w:hAnsi="Times New Roman" w:cs="Times New Roman"/>
          <w:spacing w:val="-4"/>
          <w:kern w:val="0"/>
          <w:sz w:val="28"/>
          <w:szCs w:val="28"/>
          <w:lang w:eastAsia="uk-UA"/>
          <w14:ligatures w14:val="none"/>
        </w:rPr>
        <w:t>2022). This, in turn, allowed for amendments to specialized legislation, thereby legitimizing the functioning of a new component of the multi-level military education system—specifically, Professional Military Education. Consequently, after two years of testing within a pilot project, the PME system (L-courses) became operational within the general military education system as the core direction for officer training.</w:t>
      </w:r>
    </w:p>
    <w:p w14:paraId="737A84FF"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Education and Science of the Ministry of Defence of Ukraine (</w:t>
      </w:r>
      <w:r w:rsidRPr="00B44B71">
        <w:rPr>
          <w:rFonts w:ascii="Times New Roman" w:eastAsia="Times New Roman" w:hAnsi="Times New Roman" w:cs="Times New Roman"/>
          <w:color w:val="000000"/>
          <w:spacing w:val="-4"/>
          <w:kern w:val="0"/>
          <w:sz w:val="28"/>
          <w:szCs w:val="28"/>
          <w:lang w:eastAsia="uk-UA"/>
          <w14:ligatures w14:val="none"/>
        </w:rPr>
        <w:t>Mirnenko, 2023</w:t>
      </w:r>
      <w:r w:rsidRPr="00B44B71">
        <w:rPr>
          <w:rFonts w:ascii="Times New Roman" w:eastAsia="Times New Roman" w:hAnsi="Times New Roman" w:cs="Times New Roman"/>
          <w:spacing w:val="-4"/>
          <w:kern w:val="0"/>
          <w:sz w:val="28"/>
          <w:szCs w:val="28"/>
          <w:lang w:eastAsia="uk-UA"/>
          <w14:ligatures w14:val="none"/>
        </w:rPr>
        <w:t xml:space="preserve">) is highly relevant. In collaboration with scholars, the Director analyzed and identified key directions for the transformation of the military education system under the NATO DEEP program for Ukraine. Considering the realities and the necessity for changes in the </w:t>
      </w:r>
      <w:r w:rsidRPr="00B44B71">
        <w:rPr>
          <w:rFonts w:ascii="Times New Roman" w:eastAsia="Times New Roman" w:hAnsi="Times New Roman" w:cs="Times New Roman"/>
          <w:spacing w:val="-4"/>
          <w:kern w:val="0"/>
          <w:sz w:val="28"/>
          <w:szCs w:val="28"/>
          <w:lang w:eastAsia="uk-UA"/>
          <w14:ligatures w14:val="none"/>
        </w:rPr>
        <w:lastRenderedPageBreak/>
        <w:t xml:space="preserve">military education system, the leadership of the Armed Forces of Ukraine and the Ministry of Defence took specific actions: in 2021, the adapted NATO standard Bi-SCD 075-007 was implemented. Furthermore, in 2022, the Resolution of the Cabinet of Ministers of Ukraine </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On Amendments to the Resolution of the Cabinet of Ministers of Ukraine</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 xml:space="preserve"> (</w:t>
      </w:r>
      <w:bookmarkStart w:id="26" w:name="_Hlk221610667"/>
      <w:r w:rsidRPr="00B44B71">
        <w:rPr>
          <w:rFonts w:ascii="Times New Roman" w:eastAsia="Times New Roman" w:hAnsi="Times New Roman" w:cs="Times New Roman"/>
          <w:spacing w:val="-4"/>
          <w:kern w:val="0"/>
          <w:sz w:val="28"/>
          <w:szCs w:val="28"/>
          <w:lang w:eastAsia="uk-UA"/>
          <w14:ligatures w14:val="none"/>
        </w:rPr>
        <w:t>Cabinet of Ministers of Ukraine</w:t>
      </w:r>
      <w:bookmarkEnd w:id="26"/>
      <w:r w:rsidRPr="00B44B71">
        <w:rPr>
          <w:rFonts w:ascii="Times New Roman" w:eastAsia="Times New Roman" w:hAnsi="Times New Roman" w:cs="Times New Roman"/>
          <w:color w:val="000000"/>
          <w:spacing w:val="-4"/>
          <w:kern w:val="0"/>
          <w:sz w:val="28"/>
          <w:szCs w:val="28"/>
          <w:lang w:eastAsia="uk-UA"/>
          <w14:ligatures w14:val="none"/>
        </w:rPr>
        <w:t>, 2022</w:t>
      </w:r>
      <w:r w:rsidRPr="00B44B71">
        <w:rPr>
          <w:rFonts w:ascii="Times New Roman" w:eastAsia="Times New Roman" w:hAnsi="Times New Roman" w:cs="Times New Roman"/>
          <w:spacing w:val="-4"/>
          <w:kern w:val="0"/>
          <w:sz w:val="28"/>
          <w:szCs w:val="28"/>
          <w:lang w:eastAsia="uk-UA"/>
          <w14:ligatures w14:val="none"/>
        </w:rPr>
        <w:t>) was adopted, which defined, at the state level, the continuous educational and professional development of officers throughout their military careers as a necessary future perspective for the state’s defense capability as a whole. However, with the onset of the full-scale invasion, the full implementation of these two documents was not successful. The training and education of officers and NCOs in the AFU focused on replenishment and retraining, dictated by frontline needs. Moreover, the trend of changes on the battlefield did not correlate with training durations. The specific features of officer and NCO training in higher military educational institutions could not be realized within short timeframes and required changes to educational curricula, taking into account the technological saturation of the battlefield and the introduction of new branches of troops (forces) into the structure of the Armed Forces of Ukraine, namely the Unmanned Systems Forces and Assault Troops. At the same time, officer training in PME courses envisages the acquisition of competencies for joint actions within unified military command and control bodies and interoperability with NATO member units. However, this still does not correspond to reality, due to the specific features of conducting operations at the operational and tactical levels in Ukraine. A previous study (Karpenko, 2025) identified shortcomings and problematic issues that significantly affect the execution of combat tasks under the conditions of the full-scale invasion by the Russian Federation.</w:t>
      </w:r>
    </w:p>
    <w:p w14:paraId="3E4D1436"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color w:val="000000"/>
          <w:spacing w:val="-4"/>
          <w:kern w:val="0"/>
          <w:sz w:val="28"/>
          <w:szCs w:val="28"/>
          <w:lang w:eastAsia="uk-UA"/>
          <w14:ligatures w14:val="none"/>
        </w:rPr>
      </w:pPr>
      <w:r w:rsidRPr="00B44B71">
        <w:rPr>
          <w:rFonts w:ascii="Times New Roman" w:eastAsia="Times New Roman" w:hAnsi="Times New Roman" w:cs="Times New Roman"/>
          <w:b/>
          <w:bCs/>
          <w:spacing w:val="-4"/>
          <w:kern w:val="0"/>
          <w:sz w:val="28"/>
          <w:szCs w:val="28"/>
          <w:lang w:eastAsia="uk-UA"/>
          <w14:ligatures w14:val="none"/>
        </w:rPr>
        <w:t>Discussion</w:t>
      </w:r>
      <w:r w:rsidRPr="00B44B71">
        <w:rPr>
          <w:rFonts w:ascii="Times New Roman" w:eastAsia="Times New Roman" w:hAnsi="Times New Roman" w:cs="Times New Roman"/>
          <w:spacing w:val="-4"/>
          <w:kern w:val="0"/>
          <w:sz w:val="28"/>
          <w:szCs w:val="28"/>
          <w:lang w:val="uk-UA" w:eastAsia="uk-UA"/>
          <w14:ligatures w14:val="none"/>
        </w:rPr>
        <w:t xml:space="preserve">. </w:t>
      </w:r>
      <w:r w:rsidRPr="00B44B71">
        <w:rPr>
          <w:rFonts w:ascii="Times New Roman" w:eastAsia="Times New Roman" w:hAnsi="Times New Roman" w:cs="Times New Roman"/>
          <w:color w:val="000000"/>
          <w:spacing w:val="-4"/>
          <w:kern w:val="0"/>
          <w:sz w:val="28"/>
          <w:szCs w:val="28"/>
          <w:lang w:eastAsia="uk-UA"/>
          <w14:ligatures w14:val="none"/>
        </w:rPr>
        <w:t>As evidenced by the foregoing, the transformation of military education and the positive trend of amendments to state-level guidance documents necessitate the implementation of improvement pathways and the search for new effective solutions that account for the specifics of the modern battlefield. Simultaneously, there is a need to review the specific features of officer training, continuously monitor positive and negative factors influencing the educational process of military specialists, and take into account the needs of the Armed Forces of Ukraine, their prospective structure, and changes in tactics at both the tactical and operational levels of command.</w:t>
      </w:r>
    </w:p>
    <w:p w14:paraId="2E0D32E9"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color w:val="000000"/>
          <w:spacing w:val="-4"/>
          <w:kern w:val="0"/>
          <w:sz w:val="28"/>
          <w:szCs w:val="28"/>
          <w:lang w:eastAsia="uk-UA"/>
          <w14:ligatures w14:val="none"/>
        </w:rPr>
      </w:pPr>
      <w:r w:rsidRPr="00B44B71">
        <w:rPr>
          <w:rFonts w:ascii="Times New Roman" w:eastAsia="Times New Roman" w:hAnsi="Times New Roman" w:cs="Times New Roman"/>
          <w:color w:val="000000"/>
          <w:spacing w:val="-4"/>
          <w:kern w:val="0"/>
          <w:sz w:val="28"/>
          <w:szCs w:val="28"/>
          <w:lang w:eastAsia="uk-UA"/>
          <w14:ligatures w14:val="none"/>
        </w:rPr>
        <w:t>The forms, methods, and content of personnel training in the Armed Forces of Ukraine underwent transformational changes during the period of 2014–2025. The catalyst for these changes was the Russian Federation, whose actions led to a hybrid war (2014–2021) and a full-scale war (from 2022 to the present) against a sovereign and independent Ukraine.</w:t>
      </w:r>
    </w:p>
    <w:p w14:paraId="4B66DF93"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In the general training system of the Armed Forces of Ukraine, the establishment of training centers based on the branch-specific principle was introduced. Among the first were the 142nd Training Center of the Special Operations Forces (SOF), the 198th Training Center of the Naval Forces, and the 199th Training Center of the Air Assault Forces. The purpose of such centers was retraining and professional development within the framework of collective training for tactical-level units.</w:t>
      </w:r>
    </w:p>
    <w:p w14:paraId="449BD674"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lastRenderedPageBreak/>
        <w:t xml:space="preserve">Concurrently, during combat operations in the Donetsk and Luhansk regions of Ukraine, the use of UAVs and specific (non-military/commercial) drones became widespread. This significantly increased the efficiency of tactical-level units regarding reconnaissance and terrain scouting (ISR). At the same time, active cooperation began with the Ukrainian volunteer organization </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Army SOS</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 xml:space="preserve"> regarding the implementation of the </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Kropyva</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 xml:space="preserve"> (Nettle) software at the tactical level. Its integration into the tactical command and control system subsequently proved effective and essential for the Armed Forces of Ukraine.</w:t>
      </w:r>
    </w:p>
    <w:p w14:paraId="297F07FE"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However, inherent shortcomings that affected the efficiency of implementing new forms and methods of training in the educational process must also be highlighted. Primarily, this concerns the insufficient integration of combat experience into academic curricula. Changes to programs were made unsystematically and independently by each higher military educational institution. Training curricula included only those changes acquired by academic staff members in combat conditions. Furthermore, the deficit of modern simulation systems and training fields for implementing acquired combat experience hindered the realization of these plans in the educational process.</w:t>
      </w:r>
    </w:p>
    <w:p w14:paraId="09626BAD"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In 2014, the transformation of military education took place within the framework of a shift from Soviet standards to NATO principles (STANAG). Furthermore, taking into account the specifics of combat task execution by units of the Armed Forces of Ukraine during the Anti-Terrorist Operation (ATO) in the Donetsk and Luhansk regions, training curricula were adjusted. This was preceded by the engagement of tactical-level units in actions that had not been practiced during tactical exercises and unit coordination prior to 2014. Examples include convoy escort, ensuring the breakout of other units from encirclement, organizing the evacuation of the civilian population, and participating in stabilization, search-and-strike, and raid operations. Therefore, since 2014, the emphasis in the training of tactical-level officers has been focused on changes that can be categorized into three clusters:</w:t>
      </w:r>
    </w:p>
    <w:p w14:paraId="1FC97B81"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b/>
          <w:bCs/>
          <w:spacing w:val="-4"/>
          <w:kern w:val="0"/>
          <w:sz w:val="28"/>
          <w:szCs w:val="28"/>
          <w:lang w:eastAsia="uk-UA"/>
          <w14:ligatures w14:val="none"/>
        </w:rPr>
        <w:t xml:space="preserve">Survivability </w:t>
      </w:r>
      <w:r w:rsidRPr="00B44B71">
        <w:rPr>
          <w:rFonts w:ascii="Times New Roman" w:eastAsia="Times New Roman" w:hAnsi="Times New Roman" w:cs="Times New Roman"/>
          <w:spacing w:val="-4"/>
          <w:kern w:val="0"/>
          <w:sz w:val="28"/>
          <w:szCs w:val="28"/>
          <w:lang w:eastAsia="uk-UA"/>
          <w14:ligatures w14:val="none"/>
        </w:rPr>
        <w:t>&amp;</w:t>
      </w:r>
      <w:r w:rsidRPr="00B44B71">
        <w:rPr>
          <w:rFonts w:ascii="Times New Roman" w:eastAsia="Times New Roman" w:hAnsi="Times New Roman" w:cs="Times New Roman"/>
          <w:b/>
          <w:bCs/>
          <w:spacing w:val="-4"/>
          <w:kern w:val="0"/>
          <w:sz w:val="28"/>
          <w:szCs w:val="28"/>
          <w:lang w:eastAsia="uk-UA"/>
          <w14:ligatures w14:val="none"/>
        </w:rPr>
        <w:t xml:space="preserve"> Sustainability</w:t>
      </w:r>
      <w:r w:rsidRPr="00B44B71">
        <w:rPr>
          <w:rFonts w:ascii="Times New Roman" w:eastAsia="Times New Roman" w:hAnsi="Times New Roman" w:cs="Times New Roman"/>
          <w:spacing w:val="-4"/>
          <w:kern w:val="0"/>
          <w:sz w:val="28"/>
          <w:szCs w:val="28"/>
          <w:lang w:eastAsia="uk-UA"/>
          <w14:ligatures w14:val="none"/>
        </w:rPr>
        <w:t>. This was realized through the introduction of personnel cross-training elements and tactical medicine, as well as the specifics of its provision in combat conditions. As a result, the basic requirements for officers became the ability to organize and ensure unit adaptability to combat conditions and the implementation of TCCC survival protocols, which constitute the basis of unit combat readiness according to STANAG 2122.</w:t>
      </w:r>
    </w:p>
    <w:p w14:paraId="0F93CB6C"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b/>
          <w:bCs/>
          <w:spacing w:val="-4"/>
          <w:kern w:val="0"/>
          <w:sz w:val="28"/>
          <w:szCs w:val="28"/>
          <w:lang w:eastAsia="uk-UA"/>
          <w14:ligatures w14:val="none"/>
        </w:rPr>
        <w:t>Lethality</w:t>
      </w:r>
      <w:r w:rsidRPr="00B44B71">
        <w:rPr>
          <w:rFonts w:ascii="Times New Roman" w:eastAsia="Times New Roman" w:hAnsi="Times New Roman" w:cs="Times New Roman"/>
          <w:spacing w:val="-4"/>
          <w:kern w:val="0"/>
          <w:sz w:val="28"/>
          <w:szCs w:val="28"/>
          <w:lang w:eastAsia="uk-UA"/>
          <w14:ligatures w14:val="none"/>
        </w:rPr>
        <w:t xml:space="preserve"> &amp; </w:t>
      </w:r>
      <w:r w:rsidRPr="00B44B71">
        <w:rPr>
          <w:rFonts w:ascii="Times New Roman" w:eastAsia="Times New Roman" w:hAnsi="Times New Roman" w:cs="Times New Roman"/>
          <w:b/>
          <w:bCs/>
          <w:spacing w:val="-4"/>
          <w:kern w:val="0"/>
          <w:sz w:val="28"/>
          <w:szCs w:val="28"/>
          <w:lang w:eastAsia="uk-UA"/>
          <w14:ligatures w14:val="none"/>
        </w:rPr>
        <w:t>Maneuver</w:t>
      </w:r>
      <w:r w:rsidRPr="00B44B71">
        <w:rPr>
          <w:rFonts w:ascii="Times New Roman" w:eastAsia="Times New Roman" w:hAnsi="Times New Roman" w:cs="Times New Roman"/>
          <w:spacing w:val="-4"/>
          <w:kern w:val="0"/>
          <w:sz w:val="28"/>
          <w:szCs w:val="28"/>
          <w:lang w:eastAsia="uk-UA"/>
          <w14:ligatures w14:val="none"/>
        </w:rPr>
        <w:t>. Officer training took into account the specifics of dividing a unit into a fire element, a support element, and an assault element. Considering the possibility of interacting with artillery units or a separate gun (mortar) during the execution of combat tasks, the ability to adjust their fire became a necessity. Additionally, it became necessary to provide target designation and organize air guidance for Army Aviation airplanes and helicopters. Consequently, the emphasis shifted from individual firearms training for officers to Fire and Maneuver management. Requirements for a platoon commander evolved to include the ability to organize and coordinate joint fire support (JFO/JTAC), considering the engagement of artillery and aviation in combat conditions.</w:t>
      </w:r>
    </w:p>
    <w:p w14:paraId="33EFB39E"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b/>
          <w:bCs/>
          <w:spacing w:val="-4"/>
          <w:kern w:val="0"/>
          <w:sz w:val="28"/>
          <w:szCs w:val="28"/>
          <w:lang w:eastAsia="uk-UA"/>
          <w14:ligatures w14:val="none"/>
        </w:rPr>
        <w:lastRenderedPageBreak/>
        <w:t>Command</w:t>
      </w:r>
      <w:r w:rsidRPr="00B44B71">
        <w:rPr>
          <w:rFonts w:ascii="Times New Roman" w:eastAsia="Times New Roman" w:hAnsi="Times New Roman" w:cs="Times New Roman"/>
          <w:spacing w:val="-4"/>
          <w:kern w:val="0"/>
          <w:sz w:val="28"/>
          <w:szCs w:val="28"/>
          <w:lang w:eastAsia="uk-UA"/>
          <w14:ligatures w14:val="none"/>
        </w:rPr>
        <w:t xml:space="preserve"> &amp; </w:t>
      </w:r>
      <w:r w:rsidRPr="00B44B71">
        <w:rPr>
          <w:rFonts w:ascii="Times New Roman" w:eastAsia="Times New Roman" w:hAnsi="Times New Roman" w:cs="Times New Roman"/>
          <w:b/>
          <w:bCs/>
          <w:spacing w:val="-4"/>
          <w:kern w:val="0"/>
          <w:sz w:val="28"/>
          <w:szCs w:val="28"/>
          <w:lang w:eastAsia="uk-UA"/>
          <w14:ligatures w14:val="none"/>
        </w:rPr>
        <w:t>Control</w:t>
      </w:r>
      <w:r w:rsidRPr="00B44B71">
        <w:rPr>
          <w:rFonts w:ascii="Times New Roman" w:eastAsia="Times New Roman" w:hAnsi="Times New Roman" w:cs="Times New Roman"/>
          <w:spacing w:val="-4"/>
          <w:kern w:val="0"/>
          <w:sz w:val="28"/>
          <w:szCs w:val="28"/>
          <w:lang w:eastAsia="uk-UA"/>
          <w14:ligatures w14:val="none"/>
        </w:rPr>
        <w:t xml:space="preserve">. Attention in officer training was concentrated on the ability to utilize rangefinders, weather stations, GPS applications, and software designed to increase the efficiency of tactical-level units, such as </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Kropyva</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 xml:space="preserve"> (Nettle). Practicing templated tactical tasks became irrelevant. As a result, the introduction of the technological component into officer training transformed into skills for operating within a unified information environment (C4ISR), while the </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no templates</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 xml:space="preserve"> training methodology enabled the formation of officer readiness to implement Mission Command principles.</w:t>
      </w:r>
    </w:p>
    <w:p w14:paraId="2FE4BEA4" w14:textId="46C9A956" w:rsidR="00B44B71" w:rsidRPr="00891EE1" w:rsidRDefault="00B44B71" w:rsidP="00891EE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val="uk-UA" w:eastAsia="uk-UA"/>
          <w14:ligatures w14:val="none"/>
        </w:rPr>
      </w:pPr>
      <w:r w:rsidRPr="00B44B71">
        <w:rPr>
          <w:rFonts w:ascii="Times New Roman" w:eastAsia="Times New Roman" w:hAnsi="Times New Roman" w:cs="Times New Roman"/>
          <w:spacing w:val="-4"/>
          <w:kern w:val="0"/>
          <w:sz w:val="28"/>
          <w:szCs w:val="28"/>
          <w:lang w:eastAsia="uk-UA"/>
          <w14:ligatures w14:val="none"/>
        </w:rPr>
        <w:t>Based on the analysis of the impact of the hybrid war since 2014, we were able to project the correlation of the transition within the educational process of the Armed Forces of Ukraine toward NATO standard requirements (table 1).</w:t>
      </w:r>
    </w:p>
    <w:p w14:paraId="7572749D" w14:textId="77777777" w:rsidR="00B44B71" w:rsidRPr="00B44B71" w:rsidRDefault="00B44B71" w:rsidP="00023291">
      <w:pPr>
        <w:tabs>
          <w:tab w:val="left" w:pos="9638"/>
        </w:tabs>
        <w:suppressAutoHyphens/>
        <w:spacing w:after="0" w:line="240" w:lineRule="auto"/>
        <w:ind w:firstLine="709"/>
        <w:jc w:val="right"/>
        <w:rPr>
          <w:rFonts w:ascii="Times New Roman" w:eastAsia="Times New Roman" w:hAnsi="Times New Roman" w:cs="Times New Roman"/>
          <w:kern w:val="0"/>
          <w:sz w:val="28"/>
          <w:szCs w:val="28"/>
          <w:lang w:eastAsia="uk-UA"/>
          <w14:ligatures w14:val="none"/>
        </w:rPr>
      </w:pPr>
      <w:r w:rsidRPr="00B44B71">
        <w:rPr>
          <w:rFonts w:ascii="Times New Roman" w:eastAsia="Times New Roman" w:hAnsi="Times New Roman" w:cs="Times New Roman"/>
          <w:kern w:val="0"/>
          <w:sz w:val="28"/>
          <w:szCs w:val="28"/>
          <w:lang w:eastAsia="uk-UA"/>
          <w14:ligatures w14:val="none"/>
        </w:rPr>
        <w:t>Table 1</w:t>
      </w:r>
    </w:p>
    <w:p w14:paraId="42F09F79" w14:textId="77777777" w:rsidR="00B44B71" w:rsidRPr="00B44B71" w:rsidRDefault="00B44B71" w:rsidP="00023291">
      <w:pPr>
        <w:tabs>
          <w:tab w:val="left" w:pos="9638"/>
        </w:tabs>
        <w:suppressAutoHyphens/>
        <w:spacing w:after="0" w:line="240" w:lineRule="auto"/>
        <w:ind w:firstLine="709"/>
        <w:jc w:val="center"/>
        <w:rPr>
          <w:rFonts w:ascii="Times New Roman" w:eastAsia="Times New Roman" w:hAnsi="Times New Roman" w:cs="Times New Roman"/>
          <w:b/>
          <w:bCs/>
          <w:kern w:val="0"/>
          <w:sz w:val="28"/>
          <w:szCs w:val="28"/>
          <w:lang w:eastAsia="uk-UA"/>
          <w14:ligatures w14:val="none"/>
        </w:rPr>
      </w:pPr>
      <w:bookmarkStart w:id="27" w:name="_Hlk221228143"/>
      <w:r w:rsidRPr="00B44B71">
        <w:rPr>
          <w:rFonts w:ascii="Times New Roman" w:eastAsia="Times New Roman" w:hAnsi="Times New Roman" w:cs="Times New Roman"/>
          <w:b/>
          <w:bCs/>
          <w:kern w:val="0"/>
          <w:sz w:val="28"/>
          <w:szCs w:val="28"/>
          <w:lang w:eastAsia="uk-UA"/>
          <w14:ligatures w14:val="none"/>
        </w:rPr>
        <w:t>The correlation of changes in the educational process of the Armed Forces of Ukraine with NATO standard requirements during in the Period 2014–2021</w:t>
      </w:r>
    </w:p>
    <w:tbl>
      <w:tblPr>
        <w:tblStyle w:val="4"/>
        <w:tblW w:w="9391" w:type="dxa"/>
        <w:tblInd w:w="137" w:type="dxa"/>
        <w:tblLayout w:type="fixed"/>
        <w:tblLook w:val="04A0" w:firstRow="1" w:lastRow="0" w:firstColumn="1" w:lastColumn="0" w:noHBand="0" w:noVBand="1"/>
      </w:tblPr>
      <w:tblGrid>
        <w:gridCol w:w="2267"/>
        <w:gridCol w:w="4962"/>
        <w:gridCol w:w="2162"/>
      </w:tblGrid>
      <w:tr w:rsidR="00B44B71" w:rsidRPr="00B44B71" w14:paraId="4FCA31F9" w14:textId="77777777" w:rsidTr="00F918EC">
        <w:tc>
          <w:tcPr>
            <w:tcW w:w="2267" w:type="dxa"/>
            <w:vAlign w:val="center"/>
          </w:tcPr>
          <w:bookmarkEnd w:id="27"/>
          <w:p w14:paraId="2422C94A" w14:textId="77777777" w:rsidR="00B44B71" w:rsidRPr="00B44B71" w:rsidRDefault="00B44B71" w:rsidP="00023291">
            <w:pPr>
              <w:tabs>
                <w:tab w:val="left" w:pos="1591"/>
                <w:tab w:val="left" w:pos="9638"/>
              </w:tabs>
              <w:ind w:right="-110"/>
              <w:rPr>
                <w:color w:val="000000"/>
                <w:sz w:val="24"/>
                <w:szCs w:val="24"/>
              </w:rPr>
            </w:pPr>
            <w:r w:rsidRPr="00B44B71">
              <w:rPr>
                <w:color w:val="000000"/>
                <w:sz w:val="24"/>
                <w:szCs w:val="24"/>
              </w:rPr>
              <w:t>Implemented practice in officer training</w:t>
            </w:r>
          </w:p>
        </w:tc>
        <w:tc>
          <w:tcPr>
            <w:tcW w:w="4962" w:type="dxa"/>
            <w:vAlign w:val="center"/>
          </w:tcPr>
          <w:p w14:paraId="6590D7AC" w14:textId="77777777" w:rsidR="00B44B71" w:rsidRPr="00B44B71" w:rsidRDefault="00B44B71" w:rsidP="00023291">
            <w:pPr>
              <w:tabs>
                <w:tab w:val="left" w:pos="9638"/>
              </w:tabs>
              <w:ind w:firstLine="709"/>
              <w:jc w:val="center"/>
              <w:rPr>
                <w:color w:val="000000"/>
                <w:sz w:val="24"/>
                <w:szCs w:val="24"/>
              </w:rPr>
            </w:pPr>
            <w:r w:rsidRPr="00B44B71">
              <w:rPr>
                <w:color w:val="000000"/>
                <w:sz w:val="24"/>
                <w:szCs w:val="24"/>
              </w:rPr>
              <w:t>Result of changes in officer training</w:t>
            </w:r>
          </w:p>
        </w:tc>
        <w:tc>
          <w:tcPr>
            <w:tcW w:w="2162" w:type="dxa"/>
            <w:vAlign w:val="center"/>
          </w:tcPr>
          <w:p w14:paraId="00AEDFBE" w14:textId="77777777" w:rsidR="00B44B71" w:rsidRPr="00B44B71" w:rsidRDefault="00B44B71" w:rsidP="00023291">
            <w:pPr>
              <w:tabs>
                <w:tab w:val="left" w:pos="9638"/>
              </w:tabs>
              <w:rPr>
                <w:color w:val="000000"/>
                <w:sz w:val="24"/>
                <w:szCs w:val="24"/>
              </w:rPr>
            </w:pPr>
            <w:r w:rsidRPr="00B44B71">
              <w:rPr>
                <w:color w:val="000000"/>
                <w:sz w:val="24"/>
                <w:szCs w:val="24"/>
              </w:rPr>
              <w:t>NATO standard requirements</w:t>
            </w:r>
          </w:p>
        </w:tc>
      </w:tr>
      <w:tr w:rsidR="00B44B71" w:rsidRPr="00B44B71" w14:paraId="1052A2A6" w14:textId="77777777" w:rsidTr="00F918EC">
        <w:tc>
          <w:tcPr>
            <w:tcW w:w="2267" w:type="dxa"/>
            <w:vAlign w:val="center"/>
          </w:tcPr>
          <w:p w14:paraId="1AEBEEE8" w14:textId="77777777" w:rsidR="00B44B71" w:rsidRPr="00B44B71" w:rsidRDefault="00B44B71" w:rsidP="00023291">
            <w:pPr>
              <w:tabs>
                <w:tab w:val="left" w:pos="1591"/>
                <w:tab w:val="left" w:pos="9638"/>
              </w:tabs>
              <w:ind w:right="-110"/>
              <w:rPr>
                <w:color w:val="000000"/>
                <w:sz w:val="24"/>
                <w:szCs w:val="24"/>
              </w:rPr>
            </w:pPr>
            <w:r w:rsidRPr="00B44B71">
              <w:rPr>
                <w:color w:val="000000"/>
                <w:sz w:val="24"/>
                <w:szCs w:val="24"/>
              </w:rPr>
              <w:t>Tactical medicine and support specifics</w:t>
            </w:r>
          </w:p>
        </w:tc>
        <w:tc>
          <w:tcPr>
            <w:tcW w:w="4962" w:type="dxa"/>
            <w:vAlign w:val="center"/>
          </w:tcPr>
          <w:p w14:paraId="68390A3A" w14:textId="77777777" w:rsidR="00B44B71" w:rsidRPr="00B44B71" w:rsidRDefault="00B44B71" w:rsidP="00023291">
            <w:pPr>
              <w:tabs>
                <w:tab w:val="left" w:pos="9638"/>
              </w:tabs>
              <w:jc w:val="both"/>
              <w:rPr>
                <w:color w:val="000000"/>
                <w:sz w:val="24"/>
                <w:szCs w:val="24"/>
              </w:rPr>
            </w:pPr>
            <w:r w:rsidRPr="00B44B71">
              <w:rPr>
                <w:color w:val="000000"/>
                <w:sz w:val="24"/>
                <w:szCs w:val="24"/>
              </w:rPr>
              <w:t>Transition from general medical training to TCCC protocols (MARCH algorithm) and organization of MEDEVAC/CASEVAC (STANAG 2122). Emphasis on Care Under Fire.</w:t>
            </w:r>
          </w:p>
        </w:tc>
        <w:tc>
          <w:tcPr>
            <w:tcW w:w="2162" w:type="dxa"/>
            <w:vAlign w:val="center"/>
          </w:tcPr>
          <w:p w14:paraId="6F4A4C01" w14:textId="77777777" w:rsidR="00B44B71" w:rsidRPr="00B44B71" w:rsidRDefault="00B44B71" w:rsidP="00023291">
            <w:pPr>
              <w:tabs>
                <w:tab w:val="left" w:pos="9638"/>
              </w:tabs>
              <w:rPr>
                <w:color w:val="000000"/>
                <w:sz w:val="24"/>
                <w:szCs w:val="24"/>
              </w:rPr>
            </w:pPr>
            <w:r w:rsidRPr="00B44B71">
              <w:rPr>
                <w:color w:val="000000"/>
                <w:sz w:val="24"/>
                <w:szCs w:val="24"/>
              </w:rPr>
              <w:t>TCCC (Tactical Combat Casualty Care) &amp; Force Health Protection</w:t>
            </w:r>
          </w:p>
        </w:tc>
      </w:tr>
      <w:tr w:rsidR="00B44B71" w:rsidRPr="00B44B71" w14:paraId="6E736B16" w14:textId="77777777" w:rsidTr="00F918EC">
        <w:tc>
          <w:tcPr>
            <w:tcW w:w="2267" w:type="dxa"/>
            <w:vAlign w:val="center"/>
          </w:tcPr>
          <w:p w14:paraId="4D367D84" w14:textId="77777777" w:rsidR="00B44B71" w:rsidRPr="00B44B71" w:rsidRDefault="00B44B71" w:rsidP="00023291">
            <w:pPr>
              <w:tabs>
                <w:tab w:val="left" w:pos="1591"/>
                <w:tab w:val="left" w:pos="9638"/>
              </w:tabs>
              <w:ind w:right="-110"/>
              <w:rPr>
                <w:color w:val="000000"/>
                <w:sz w:val="24"/>
                <w:szCs w:val="24"/>
              </w:rPr>
            </w:pPr>
            <w:r w:rsidRPr="00B44B71">
              <w:rPr>
                <w:color w:val="000000"/>
                <w:sz w:val="24"/>
                <w:szCs w:val="24"/>
              </w:rPr>
              <w:t>Firearms training (division into groups: assault, support, security)</w:t>
            </w:r>
          </w:p>
        </w:tc>
        <w:tc>
          <w:tcPr>
            <w:tcW w:w="4962" w:type="dxa"/>
            <w:vAlign w:val="center"/>
          </w:tcPr>
          <w:p w14:paraId="3E7A082C" w14:textId="77777777" w:rsidR="00B44B71" w:rsidRPr="00B44B71" w:rsidRDefault="00B44B71" w:rsidP="00023291">
            <w:pPr>
              <w:tabs>
                <w:tab w:val="left" w:pos="9638"/>
              </w:tabs>
              <w:jc w:val="both"/>
              <w:rPr>
                <w:color w:val="000000"/>
                <w:sz w:val="24"/>
                <w:szCs w:val="24"/>
              </w:rPr>
            </w:pPr>
            <w:r w:rsidRPr="00B44B71">
              <w:rPr>
                <w:color w:val="000000"/>
                <w:sz w:val="24"/>
                <w:szCs w:val="24"/>
              </w:rPr>
              <w:t xml:space="preserve">Implementation of Small Unit Tactics corresponding to the NATO squad structure: Assault Element, Support Element, and Security Element. </w:t>
            </w:r>
          </w:p>
        </w:tc>
        <w:tc>
          <w:tcPr>
            <w:tcW w:w="2162" w:type="dxa"/>
            <w:vAlign w:val="center"/>
          </w:tcPr>
          <w:p w14:paraId="6A9843F1" w14:textId="77777777" w:rsidR="00B44B71" w:rsidRPr="00B44B71" w:rsidRDefault="00B44B71" w:rsidP="00023291">
            <w:pPr>
              <w:tabs>
                <w:tab w:val="left" w:pos="9638"/>
              </w:tabs>
              <w:rPr>
                <w:color w:val="000000"/>
                <w:sz w:val="24"/>
                <w:szCs w:val="24"/>
              </w:rPr>
            </w:pPr>
            <w:r w:rsidRPr="00B44B71">
              <w:rPr>
                <w:color w:val="000000"/>
                <w:sz w:val="24"/>
                <w:szCs w:val="24"/>
              </w:rPr>
              <w:t>Small Unit Tactics (SUT) &amp; Fire and Maneuver</w:t>
            </w:r>
          </w:p>
        </w:tc>
      </w:tr>
      <w:tr w:rsidR="00B44B71" w:rsidRPr="00B44B71" w14:paraId="686A2A8D" w14:textId="77777777" w:rsidTr="00F918EC">
        <w:tc>
          <w:tcPr>
            <w:tcW w:w="2267" w:type="dxa"/>
            <w:vAlign w:val="center"/>
          </w:tcPr>
          <w:p w14:paraId="5CE01277" w14:textId="77777777" w:rsidR="00B44B71" w:rsidRPr="00B44B71" w:rsidRDefault="00B44B71" w:rsidP="00023291">
            <w:pPr>
              <w:tabs>
                <w:tab w:val="left" w:pos="1591"/>
                <w:tab w:val="left" w:pos="9638"/>
              </w:tabs>
              <w:ind w:right="-110"/>
              <w:rPr>
                <w:color w:val="000000"/>
                <w:sz w:val="24"/>
                <w:szCs w:val="24"/>
              </w:rPr>
            </w:pPr>
            <w:r w:rsidRPr="00B44B71">
              <w:rPr>
                <w:color w:val="000000"/>
                <w:sz w:val="24"/>
                <w:szCs w:val="24"/>
              </w:rPr>
              <w:t>Cross-training</w:t>
            </w:r>
          </w:p>
        </w:tc>
        <w:tc>
          <w:tcPr>
            <w:tcW w:w="4962" w:type="dxa"/>
            <w:vAlign w:val="center"/>
          </w:tcPr>
          <w:p w14:paraId="1B315997" w14:textId="77777777" w:rsidR="00B44B71" w:rsidRPr="00B44B71" w:rsidRDefault="00B44B71" w:rsidP="00023291">
            <w:pPr>
              <w:tabs>
                <w:tab w:val="left" w:pos="9638"/>
              </w:tabs>
              <w:jc w:val="both"/>
              <w:rPr>
                <w:color w:val="000000"/>
                <w:sz w:val="24"/>
                <w:szCs w:val="24"/>
              </w:rPr>
            </w:pPr>
            <w:r w:rsidRPr="00B44B71">
              <w:rPr>
                <w:color w:val="000000"/>
                <w:sz w:val="24"/>
                <w:szCs w:val="24"/>
              </w:rPr>
              <w:t>Increasing fire capabilities of the tactical-level unit, ensuring unit functionality support (Redundancy). The loss of a machine gunner does not stop the unit’s operation, as a rifleman can replace him.</w:t>
            </w:r>
          </w:p>
        </w:tc>
        <w:tc>
          <w:tcPr>
            <w:tcW w:w="2162" w:type="dxa"/>
            <w:vAlign w:val="center"/>
          </w:tcPr>
          <w:p w14:paraId="4F46C115" w14:textId="77777777" w:rsidR="00B44B71" w:rsidRPr="00B44B71" w:rsidRDefault="00B44B71" w:rsidP="00023291">
            <w:pPr>
              <w:tabs>
                <w:tab w:val="left" w:pos="9638"/>
              </w:tabs>
              <w:rPr>
                <w:color w:val="000000"/>
                <w:sz w:val="24"/>
                <w:szCs w:val="24"/>
              </w:rPr>
            </w:pPr>
            <w:r w:rsidRPr="00B44B71">
              <w:rPr>
                <w:color w:val="000000"/>
                <w:sz w:val="24"/>
                <w:szCs w:val="24"/>
              </w:rPr>
              <w:t>Cross-Training &amp; Functional Redundancy</w:t>
            </w:r>
          </w:p>
        </w:tc>
      </w:tr>
      <w:tr w:rsidR="00B44B71" w:rsidRPr="00B44B71" w14:paraId="7987FE09" w14:textId="77777777" w:rsidTr="00F918EC">
        <w:tc>
          <w:tcPr>
            <w:tcW w:w="2267" w:type="dxa"/>
            <w:vAlign w:val="center"/>
          </w:tcPr>
          <w:p w14:paraId="4BEF60F4" w14:textId="77777777" w:rsidR="00B44B71" w:rsidRPr="00B44B71" w:rsidRDefault="00B44B71" w:rsidP="00023291">
            <w:pPr>
              <w:tabs>
                <w:tab w:val="left" w:pos="1591"/>
                <w:tab w:val="left" w:pos="9638"/>
              </w:tabs>
              <w:ind w:right="-110"/>
              <w:rPr>
                <w:color w:val="000000"/>
                <w:sz w:val="24"/>
                <w:szCs w:val="24"/>
              </w:rPr>
            </w:pPr>
            <w:r w:rsidRPr="00B44B71">
              <w:rPr>
                <w:color w:val="000000"/>
                <w:sz w:val="24"/>
                <w:szCs w:val="24"/>
              </w:rPr>
              <w:t>Artillery/mortar fire adjustment</w:t>
            </w:r>
          </w:p>
        </w:tc>
        <w:tc>
          <w:tcPr>
            <w:tcW w:w="4962" w:type="dxa"/>
            <w:vAlign w:val="center"/>
          </w:tcPr>
          <w:p w14:paraId="3967428A" w14:textId="77777777" w:rsidR="00B44B71" w:rsidRPr="00B44B71" w:rsidRDefault="00B44B71" w:rsidP="00023291">
            <w:pPr>
              <w:tabs>
                <w:tab w:val="left" w:pos="9638"/>
              </w:tabs>
              <w:jc w:val="both"/>
              <w:rPr>
                <w:color w:val="000000"/>
                <w:sz w:val="24"/>
                <w:szCs w:val="24"/>
              </w:rPr>
            </w:pPr>
            <w:r w:rsidRPr="00B44B71">
              <w:rPr>
                <w:color w:val="000000"/>
                <w:sz w:val="24"/>
                <w:szCs w:val="24"/>
              </w:rPr>
              <w:t>The officer became a Joint Fires Observer (JFO). This enabled acting according to the CFF procedure and executing a «Call for Fire»</w:t>
            </w:r>
          </w:p>
        </w:tc>
        <w:tc>
          <w:tcPr>
            <w:tcW w:w="2162" w:type="dxa"/>
            <w:vAlign w:val="center"/>
          </w:tcPr>
          <w:p w14:paraId="49707010" w14:textId="77777777" w:rsidR="00B44B71" w:rsidRPr="00B44B71" w:rsidRDefault="00B44B71" w:rsidP="00023291">
            <w:pPr>
              <w:tabs>
                <w:tab w:val="left" w:pos="9638"/>
              </w:tabs>
              <w:rPr>
                <w:color w:val="000000"/>
                <w:sz w:val="24"/>
                <w:szCs w:val="24"/>
              </w:rPr>
            </w:pPr>
            <w:r w:rsidRPr="00B44B71">
              <w:rPr>
                <w:color w:val="000000"/>
                <w:sz w:val="24"/>
                <w:szCs w:val="24"/>
              </w:rPr>
              <w:t>Call For Fire (CFF) &amp; Joint Fires Integration</w:t>
            </w:r>
          </w:p>
        </w:tc>
      </w:tr>
      <w:tr w:rsidR="00B44B71" w:rsidRPr="00B44B71" w14:paraId="4F4C6189" w14:textId="77777777" w:rsidTr="00F918EC">
        <w:tc>
          <w:tcPr>
            <w:tcW w:w="2267" w:type="dxa"/>
            <w:vAlign w:val="center"/>
          </w:tcPr>
          <w:p w14:paraId="71299282" w14:textId="77777777" w:rsidR="00B44B71" w:rsidRPr="00B44B71" w:rsidRDefault="00B44B71" w:rsidP="00023291">
            <w:pPr>
              <w:tabs>
                <w:tab w:val="left" w:pos="1591"/>
                <w:tab w:val="left" w:pos="9638"/>
              </w:tabs>
              <w:ind w:right="-110"/>
              <w:rPr>
                <w:color w:val="000000"/>
                <w:sz w:val="24"/>
                <w:szCs w:val="24"/>
              </w:rPr>
            </w:pPr>
            <w:r w:rsidRPr="00B44B71">
              <w:rPr>
                <w:color w:val="000000"/>
                <w:sz w:val="24"/>
                <w:szCs w:val="24"/>
              </w:rPr>
              <w:t>Target designation and air guidance (fixed/rotary wing)</w:t>
            </w:r>
          </w:p>
        </w:tc>
        <w:tc>
          <w:tcPr>
            <w:tcW w:w="4962" w:type="dxa"/>
            <w:vAlign w:val="center"/>
          </w:tcPr>
          <w:p w14:paraId="62E66D26" w14:textId="77777777" w:rsidR="00B44B71" w:rsidRPr="00B44B71" w:rsidRDefault="00B44B71" w:rsidP="00023291">
            <w:pPr>
              <w:tabs>
                <w:tab w:val="left" w:pos="9638"/>
              </w:tabs>
              <w:jc w:val="both"/>
              <w:rPr>
                <w:color w:val="000000"/>
                <w:sz w:val="24"/>
                <w:szCs w:val="24"/>
              </w:rPr>
            </w:pPr>
            <w:r w:rsidRPr="00B44B71">
              <w:rPr>
                <w:color w:val="000000"/>
                <w:sz w:val="24"/>
                <w:szCs w:val="24"/>
              </w:rPr>
              <w:t>Training under simplified Joint Terminal Attack Controller (JTAC) protocols. Introduction of standardized reports for calling in air support.</w:t>
            </w:r>
          </w:p>
        </w:tc>
        <w:tc>
          <w:tcPr>
            <w:tcW w:w="2162" w:type="dxa"/>
            <w:vAlign w:val="center"/>
          </w:tcPr>
          <w:p w14:paraId="3CF6489C" w14:textId="77777777" w:rsidR="00B44B71" w:rsidRPr="00B44B71" w:rsidRDefault="00B44B71" w:rsidP="00023291">
            <w:pPr>
              <w:tabs>
                <w:tab w:val="left" w:pos="9638"/>
              </w:tabs>
              <w:rPr>
                <w:color w:val="000000"/>
                <w:sz w:val="24"/>
                <w:szCs w:val="24"/>
              </w:rPr>
            </w:pPr>
            <w:r w:rsidRPr="00B44B71">
              <w:rPr>
                <w:color w:val="000000"/>
                <w:sz w:val="24"/>
                <w:szCs w:val="24"/>
              </w:rPr>
              <w:t>Close Air Support (CAS) &amp; Air-Ground Integration</w:t>
            </w:r>
          </w:p>
        </w:tc>
      </w:tr>
      <w:tr w:rsidR="00B44B71" w:rsidRPr="00B44B71" w14:paraId="1D0880ED" w14:textId="77777777" w:rsidTr="00F918EC">
        <w:tc>
          <w:tcPr>
            <w:tcW w:w="2267" w:type="dxa"/>
            <w:vAlign w:val="center"/>
          </w:tcPr>
          <w:p w14:paraId="4046AEF1" w14:textId="77777777" w:rsidR="00B44B71" w:rsidRPr="00B44B71" w:rsidRDefault="00B44B71" w:rsidP="00023291">
            <w:pPr>
              <w:tabs>
                <w:tab w:val="left" w:pos="1591"/>
                <w:tab w:val="left" w:pos="9638"/>
              </w:tabs>
              <w:ind w:right="-110"/>
              <w:rPr>
                <w:color w:val="000000"/>
                <w:sz w:val="24"/>
                <w:szCs w:val="24"/>
              </w:rPr>
            </w:pPr>
            <w:r w:rsidRPr="00B44B71">
              <w:rPr>
                <w:color w:val="000000"/>
                <w:sz w:val="24"/>
                <w:szCs w:val="24"/>
              </w:rPr>
              <w:t>Use of rangefinders, GPS, software («Kropyva»)</w:t>
            </w:r>
          </w:p>
        </w:tc>
        <w:tc>
          <w:tcPr>
            <w:tcW w:w="4962" w:type="dxa"/>
            <w:vAlign w:val="center"/>
          </w:tcPr>
          <w:p w14:paraId="72B23C26" w14:textId="77777777" w:rsidR="00B44B71" w:rsidRPr="00B44B71" w:rsidRDefault="00B44B71" w:rsidP="00023291">
            <w:pPr>
              <w:tabs>
                <w:tab w:val="left" w:pos="9638"/>
              </w:tabs>
              <w:ind w:firstLine="709"/>
              <w:jc w:val="both"/>
              <w:rPr>
                <w:b/>
                <w:bCs/>
                <w:color w:val="000000"/>
                <w:sz w:val="24"/>
                <w:szCs w:val="24"/>
              </w:rPr>
            </w:pPr>
            <w:r w:rsidRPr="00B44B71">
              <w:rPr>
                <w:color w:val="000000"/>
                <w:sz w:val="24"/>
                <w:szCs w:val="24"/>
              </w:rPr>
              <w:t>Integration into the C4ISR system (Command, Control, Communications, Computers, Intelligence, Surveillance and Reconnaissance). Officers began working with Battle Management Systems (BMS) to ensure situational awareness.</w:t>
            </w:r>
          </w:p>
        </w:tc>
        <w:tc>
          <w:tcPr>
            <w:tcW w:w="2162" w:type="dxa"/>
            <w:vAlign w:val="center"/>
          </w:tcPr>
          <w:p w14:paraId="3ABA6D86" w14:textId="77777777" w:rsidR="00B44B71" w:rsidRPr="00B44B71" w:rsidRDefault="00B44B71" w:rsidP="00023291">
            <w:pPr>
              <w:tabs>
                <w:tab w:val="left" w:pos="9638"/>
              </w:tabs>
              <w:rPr>
                <w:color w:val="000000"/>
                <w:sz w:val="24"/>
                <w:szCs w:val="24"/>
              </w:rPr>
            </w:pPr>
            <w:r w:rsidRPr="00B44B71">
              <w:rPr>
                <w:color w:val="000000"/>
                <w:sz w:val="24"/>
                <w:szCs w:val="24"/>
              </w:rPr>
              <w:t>C4ISR Operations &amp; Digital Literacy</w:t>
            </w:r>
          </w:p>
        </w:tc>
      </w:tr>
      <w:tr w:rsidR="00B44B71" w:rsidRPr="00B44B71" w14:paraId="26A76CCF" w14:textId="77777777" w:rsidTr="00F918EC">
        <w:tc>
          <w:tcPr>
            <w:tcW w:w="2267" w:type="dxa"/>
            <w:vAlign w:val="center"/>
          </w:tcPr>
          <w:p w14:paraId="6A46D65E" w14:textId="77777777" w:rsidR="00B44B71" w:rsidRPr="00B44B71" w:rsidRDefault="00B44B71" w:rsidP="00023291">
            <w:pPr>
              <w:tabs>
                <w:tab w:val="left" w:pos="1591"/>
                <w:tab w:val="left" w:pos="9638"/>
              </w:tabs>
              <w:ind w:right="-110"/>
              <w:rPr>
                <w:color w:val="000000"/>
                <w:sz w:val="24"/>
                <w:szCs w:val="24"/>
              </w:rPr>
            </w:pPr>
            <w:r w:rsidRPr="00B44B71">
              <w:rPr>
                <w:color w:val="000000"/>
                <w:sz w:val="24"/>
                <w:szCs w:val="24"/>
              </w:rPr>
              <w:t>Practicing maneuvers without templated scenarios</w:t>
            </w:r>
          </w:p>
        </w:tc>
        <w:tc>
          <w:tcPr>
            <w:tcW w:w="4962" w:type="dxa"/>
            <w:vAlign w:val="center"/>
          </w:tcPr>
          <w:p w14:paraId="3A9ABEEC" w14:textId="77777777" w:rsidR="00B44B71" w:rsidRPr="00B44B71" w:rsidRDefault="00B44B71" w:rsidP="00023291">
            <w:pPr>
              <w:tabs>
                <w:tab w:val="left" w:pos="9638"/>
              </w:tabs>
              <w:jc w:val="both"/>
              <w:rPr>
                <w:b/>
                <w:bCs/>
                <w:color w:val="000000"/>
                <w:sz w:val="24"/>
                <w:szCs w:val="24"/>
              </w:rPr>
            </w:pPr>
            <w:r w:rsidRPr="00B44B71">
              <w:rPr>
                <w:color w:val="000000"/>
                <w:sz w:val="24"/>
                <w:szCs w:val="24"/>
              </w:rPr>
              <w:t>Abandoning templated exercises in favor of Free-play exercises (decision-making actions). Development of critical thinking for operations in VUCA conditions (volatility, uncertainty, complexity, and ambiguity) became a priority for tactical-level officers.</w:t>
            </w:r>
          </w:p>
        </w:tc>
        <w:tc>
          <w:tcPr>
            <w:tcW w:w="2162" w:type="dxa"/>
            <w:vAlign w:val="center"/>
          </w:tcPr>
          <w:p w14:paraId="5D9B375A" w14:textId="77777777" w:rsidR="00B44B71" w:rsidRPr="00B44B71" w:rsidRDefault="00B44B71" w:rsidP="00023291">
            <w:pPr>
              <w:tabs>
                <w:tab w:val="left" w:pos="9638"/>
              </w:tabs>
              <w:rPr>
                <w:color w:val="000000"/>
                <w:sz w:val="24"/>
                <w:szCs w:val="24"/>
              </w:rPr>
            </w:pPr>
            <w:r w:rsidRPr="00B44B71">
              <w:rPr>
                <w:color w:val="000000"/>
                <w:sz w:val="24"/>
                <w:szCs w:val="24"/>
              </w:rPr>
              <w:t>Mission Command &amp; Adaptive Decision Making</w:t>
            </w:r>
          </w:p>
        </w:tc>
      </w:tr>
    </w:tbl>
    <w:p w14:paraId="04BB46A5" w14:textId="77777777" w:rsidR="00B44B71" w:rsidRPr="00B44B71" w:rsidRDefault="00B44B71" w:rsidP="00891EE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lastRenderedPageBreak/>
        <w:t xml:space="preserve">However, the start of the full-scale invasion by the Russian Federation’s troops into Ukraine in February 2022, which shook the whole world, became a new challenge for the Armed Forces of Ukraine. </w:t>
      </w:r>
    </w:p>
    <w:p w14:paraId="1F91E516"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While in the 2014–2021 period, UAVs in the Armed Forces of Ukraine were viewed as an auxiliary means of reconnaissance (ISTAR), since 2022 they have become a basic element of fire engagement. This provoked changes in the educational curricula for training future officers. Against this background, the training process for future officers currently focuses on adapting them to professional activity under conditions of mass employment of reconnaissance and strike UAVs, as well as FPV drones, by the enemy. In turn, officer training correlates with a combination of theory and the acquisition of practical skills regarding countering enemy reconnaissance and electronic warfare assets.</w:t>
      </w:r>
    </w:p>
    <w:p w14:paraId="3B0E4684"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color w:val="000000"/>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A positive development in the system of preparation for battlefield operations of AFU units was the creation of the Combat Simulation Center (</w:t>
      </w:r>
      <w:bookmarkStart w:id="28" w:name="_Hlk221611628"/>
      <w:r w:rsidRPr="00B44B71">
        <w:rPr>
          <w:rFonts w:ascii="Times New Roman" w:eastAsia="Times New Roman" w:hAnsi="Times New Roman" w:cs="Times New Roman"/>
          <w:spacing w:val="-4"/>
          <w:kern w:val="0"/>
          <w:sz w:val="28"/>
          <w:szCs w:val="28"/>
          <w:lang w:eastAsia="uk-UA"/>
          <w14:ligatures w14:val="none"/>
        </w:rPr>
        <w:t>ArmyInform</w:t>
      </w:r>
      <w:bookmarkEnd w:id="28"/>
      <w:r w:rsidRPr="00B44B71">
        <w:rPr>
          <w:rFonts w:ascii="Times New Roman" w:eastAsia="Times New Roman" w:hAnsi="Times New Roman" w:cs="Times New Roman"/>
          <w:spacing w:val="-4"/>
          <w:kern w:val="0"/>
          <w:sz w:val="28"/>
          <w:szCs w:val="28"/>
          <w:lang w:eastAsia="uk-UA"/>
          <w14:ligatures w14:val="none"/>
        </w:rPr>
        <w:t xml:space="preserve">, 2022). Training of combat pilots and drone operators is conducted using weapon simulators, wargaming, and by modeling tactical-level battlefield conditions. </w:t>
      </w:r>
    </w:p>
    <w:p w14:paraId="2DB40F32"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In 2025 alone, Ukraine trained over 5,000 operators of unmanned systems. A key achievement of 2025 was the deployment of a network of certified training centers in Ukraine. This became possible thanks to the successful implementation of the Resolution of the Cabinet of Ministers of Ukraine dated October 1, 2024, No. 1129, which introduced an experimental project on the certification of unmanned systems operator schools (</w:t>
      </w:r>
      <w:bookmarkStart w:id="29" w:name="_Hlk221224574"/>
      <w:r w:rsidRPr="00B44B71">
        <w:rPr>
          <w:rFonts w:ascii="Times New Roman" w:eastAsia="Times New Roman" w:hAnsi="Times New Roman" w:cs="Times New Roman"/>
          <w:spacing w:val="-4"/>
          <w:kern w:val="0"/>
          <w:sz w:val="28"/>
          <w:szCs w:val="28"/>
          <w:lang w:eastAsia="uk-UA"/>
          <w14:ligatures w14:val="none"/>
        </w:rPr>
        <w:t>Ministry of Defence of Ukraine, 2026</w:t>
      </w:r>
      <w:bookmarkEnd w:id="29"/>
      <w:r w:rsidRPr="00B44B71">
        <w:rPr>
          <w:rFonts w:ascii="Times New Roman" w:eastAsia="Times New Roman" w:hAnsi="Times New Roman" w:cs="Times New Roman"/>
          <w:spacing w:val="-4"/>
          <w:kern w:val="0"/>
          <w:sz w:val="28"/>
          <w:szCs w:val="28"/>
          <w:lang w:eastAsia="uk-UA"/>
          <w14:ligatures w14:val="none"/>
        </w:rPr>
        <w:t>). Eight leading educational institutions received certified status, and the total number of organizations that received permits to train specialists for the needs of the Defen</w:t>
      </w:r>
      <w:r w:rsidRPr="00B44B71">
        <w:rPr>
          <w:rFonts w:ascii="Times New Roman" w:eastAsia="Times New Roman" w:hAnsi="Times New Roman" w:cs="Times New Roman"/>
          <w:spacing w:val="-4"/>
          <w:kern w:val="0"/>
          <w:sz w:val="28"/>
          <w:szCs w:val="28"/>
          <w:lang w:val="uk-UA" w:eastAsia="uk-UA"/>
          <w14:ligatures w14:val="none"/>
        </w:rPr>
        <w:t>с</w:t>
      </w:r>
      <w:r w:rsidRPr="00B44B71">
        <w:rPr>
          <w:rFonts w:ascii="Times New Roman" w:eastAsia="Times New Roman" w:hAnsi="Times New Roman" w:cs="Times New Roman"/>
          <w:spacing w:val="-4"/>
          <w:kern w:val="0"/>
          <w:sz w:val="28"/>
          <w:szCs w:val="28"/>
          <w:lang w:eastAsia="uk-UA"/>
          <w14:ligatures w14:val="none"/>
        </w:rPr>
        <w:t>e Forces of Ukraine reached 34, including 19 centers specializing in UAVs. Taking into account the number of already trained UAV operators, the question arises regarding the study and practical application of their integration into the general command and control system of troops. We view the next step as a review of tactics at the tactical and operational levels of command. For this purpose, the most appropriate approach is the employment of UAV operators in conjunction with the actions of infantry, support units, and fire support. Within the scope of training officers of tactical and operational command levels, there is a necessity to revise educational curricula. Specifically, issues of interaction and comprehensive employment of infantry, mechanized, air assault, and artillery units with high-tech strike assets and troop support means must be studied and practically practiced by officers of the Armed Forces of Ukraine</w:t>
      </w:r>
    </w:p>
    <w:p w14:paraId="6FB7B173"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 xml:space="preserve">In the context of drone warfare, which strikingly distinguishes the full-scale invasion by the Russian Federation into Ukraine from other armed conflicts, technologies and warfare tactics change at breakneck speed. In this context, officer training focuses on general requirements, specifics, and conditions for executing combat tasks at the tactical level. Despite this, to remain relevant and maintain a tactical advantage in the technological domain and operational awareness, a separate direction for training instructors of UAVs and UGVs (Unmanned Ground Vehicles) has been singled out. These instructors, in turn, regularly deploy to execute combat tasks to maintain their proficiency. Furthermore, training center instructors maintain direct contact with former </w:t>
      </w:r>
      <w:r w:rsidRPr="00B44B71">
        <w:rPr>
          <w:rFonts w:ascii="Times New Roman" w:eastAsia="Times New Roman" w:hAnsi="Times New Roman" w:cs="Times New Roman"/>
          <w:spacing w:val="-4"/>
          <w:kern w:val="0"/>
          <w:sz w:val="28"/>
          <w:szCs w:val="28"/>
          <w:lang w:eastAsia="uk-UA"/>
          <w14:ligatures w14:val="none"/>
        </w:rPr>
        <w:lastRenderedPageBreak/>
        <w:t>graduates and test new technologies, on the basis of which they update and shape educational curricula (Baker, 2025).</w:t>
      </w:r>
    </w:p>
    <w:p w14:paraId="751F8322"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In addition, attention should be paid to the specifics of training AFU officer personnel. Training in higher military educational institutions has not stopped since the beginning of the full-scale invasion; on the contrary, it has gained momentum, and the number of those studying for a military specialty has increased. While retraining, both individual and collective, is occasionally conducted on the territories of European Union countries at the expense of international partners, the direct training of future tactical-level officers continues on the territory of Ukraine. However, massive missile and drone attacks by the Russian Federation on the territory of Ukraine, and especially on critical infrastructure elements, AFU training grounds, and training centers, have forced a review of the officer professional training process. As a result, in order to increase the survivability of personnel, and especially of academic staff with combat experience, measures of dispersion, camouflage, and the application of deception elements have been introduced into the educational process of educational institutions and training centers. This is already a requirement of the present day and a specific feature of AFU officer training under the conditions of the full-scale invasion by the russian federation.</w:t>
      </w:r>
    </w:p>
    <w:p w14:paraId="54F6A104"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color w:val="000000"/>
          <w:spacing w:val="-4"/>
          <w:kern w:val="0"/>
          <w:sz w:val="28"/>
          <w:szCs w:val="28"/>
          <w:lang w:eastAsia="uk-UA"/>
          <w14:ligatures w14:val="none"/>
        </w:rPr>
        <w:t>An important example of rapid adaptation to the challenges of war was the «Captains’ Course» project. The Captains’ Course was established within the Territorial Defen</w:t>
      </w:r>
      <w:r w:rsidRPr="00B44B71">
        <w:rPr>
          <w:rFonts w:ascii="Times New Roman" w:eastAsia="Times New Roman" w:hAnsi="Times New Roman" w:cs="Times New Roman"/>
          <w:color w:val="000000"/>
          <w:spacing w:val="-4"/>
          <w:kern w:val="0"/>
          <w:sz w:val="28"/>
          <w:szCs w:val="28"/>
          <w:lang w:val="uk-UA" w:eastAsia="uk-UA"/>
          <w14:ligatures w14:val="none"/>
        </w:rPr>
        <w:t>с</w:t>
      </w:r>
      <w:r w:rsidRPr="00B44B71">
        <w:rPr>
          <w:rFonts w:ascii="Times New Roman" w:eastAsia="Times New Roman" w:hAnsi="Times New Roman" w:cs="Times New Roman"/>
          <w:color w:val="000000"/>
          <w:spacing w:val="-4"/>
          <w:kern w:val="0"/>
          <w:sz w:val="28"/>
          <w:szCs w:val="28"/>
          <w:lang w:eastAsia="uk-UA"/>
          <w14:ligatures w14:val="none"/>
        </w:rPr>
        <w:t>e Forces (TDF) of the Armed Forces of Ukraine in 2022. It was developed based on NATO combat planning standards, taking into account the latest combat experience from the russo-Ukrainian war. The course is designed for company and platoon commanders, as well as battalion staff officers</w:t>
      </w:r>
      <w:r w:rsidRPr="00B44B71">
        <w:rPr>
          <w:rFonts w:ascii="Times New Roman" w:eastAsia="Times New Roman" w:hAnsi="Times New Roman" w:cs="Times New Roman"/>
          <w:spacing w:val="-4"/>
          <w:kern w:val="0"/>
          <w:sz w:val="28"/>
          <w:szCs w:val="28"/>
          <w:lang w:eastAsia="uk-UA"/>
          <w14:ligatures w14:val="none"/>
        </w:rPr>
        <w:t>. The project itself was implemented with the support of the «Come Back Alive» charity organization and companies such as Genesis, SKELAR, Headway, appflame, AMO, and Universe. In 2024, the «Captains’ Course» became a Professional Military Education (PME) course and was included in the unified catalog of certified courses of the Armed Forces of Ukraine (Come Back Alive, 2024).</w:t>
      </w:r>
    </w:p>
    <w:p w14:paraId="148C056D"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color w:val="000000"/>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 xml:space="preserve">It is also worth noting that under full-scale war conditions, daily training time was increased from 6 to 10–12 hours. Weekly training increased to 72 hours instead of 40 hours. Of the total training time, 70% is allocated to practical sessions, specifically for practicing skills on military equipment and in tactical-level unit command and control </w:t>
      </w:r>
      <w:r w:rsidRPr="00B44B71">
        <w:rPr>
          <w:rFonts w:ascii="Times New Roman" w:eastAsia="Times New Roman" w:hAnsi="Times New Roman" w:cs="Times New Roman"/>
          <w:color w:val="000000"/>
          <w:spacing w:val="-4"/>
          <w:kern w:val="0"/>
          <w:sz w:val="28"/>
          <w:szCs w:val="28"/>
          <w:lang w:eastAsia="uk-UA"/>
          <w14:ligatures w14:val="none"/>
        </w:rPr>
        <w:t>(</w:t>
      </w:r>
      <w:bookmarkStart w:id="30" w:name="_Hlk221224675"/>
      <w:r w:rsidRPr="00B44B71">
        <w:rPr>
          <w:rFonts w:ascii="Times New Roman" w:eastAsia="Times New Roman" w:hAnsi="Times New Roman" w:cs="Times New Roman"/>
          <w:color w:val="000000"/>
          <w:spacing w:val="-4"/>
          <w:kern w:val="0"/>
          <w:sz w:val="28"/>
          <w:szCs w:val="28"/>
          <w:lang w:eastAsia="uk-UA"/>
          <w14:ligatures w14:val="none"/>
        </w:rPr>
        <w:t>Ukrinform</w:t>
      </w:r>
      <w:r w:rsidRPr="00B44B71">
        <w:rPr>
          <w:rFonts w:ascii="Times New Roman" w:eastAsia="Times New Roman" w:hAnsi="Times New Roman" w:cs="Times New Roman"/>
          <w:color w:val="000000"/>
          <w:spacing w:val="-4"/>
          <w:kern w:val="0"/>
          <w:sz w:val="28"/>
          <w:szCs w:val="28"/>
          <w:lang w:val="uk-UA" w:eastAsia="uk-UA"/>
          <w14:ligatures w14:val="none"/>
        </w:rPr>
        <w:t xml:space="preserve">, </w:t>
      </w:r>
      <w:bookmarkEnd w:id="30"/>
      <w:r w:rsidRPr="00B44B71">
        <w:rPr>
          <w:rFonts w:ascii="Times New Roman" w:eastAsia="Times New Roman" w:hAnsi="Times New Roman" w:cs="Times New Roman"/>
          <w:color w:val="000000"/>
          <w:spacing w:val="-4"/>
          <w:kern w:val="0"/>
          <w:sz w:val="28"/>
          <w:szCs w:val="28"/>
          <w:lang w:val="uk-UA" w:eastAsia="uk-UA"/>
          <w14:ligatures w14:val="none"/>
        </w:rPr>
        <w:t>2024</w:t>
      </w:r>
      <w:r w:rsidRPr="00B44B71">
        <w:rPr>
          <w:rFonts w:ascii="Times New Roman" w:eastAsia="Times New Roman" w:hAnsi="Times New Roman" w:cs="Times New Roman"/>
          <w:color w:val="000000"/>
          <w:spacing w:val="-4"/>
          <w:kern w:val="0"/>
          <w:sz w:val="28"/>
          <w:szCs w:val="28"/>
          <w:lang w:eastAsia="uk-UA"/>
          <w14:ligatures w14:val="none"/>
        </w:rPr>
        <w:t xml:space="preserve">). </w:t>
      </w:r>
    </w:p>
    <w:p w14:paraId="5AB8DA72"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The most notable trend in the 2024–2025 period became the full integration of autonomous systems into the educational process. The Armed Forces of Ukraine were the first in the world to distinguish the Unmanned Systems Forces as a separate branch of troops. Operator training now includes not only piloting but also an engineering component, such as field repair and modification of UAVs, as well as the ability to operate and execute combat tasks under conditions of dense signal suppression by enemy Electronic Warfare (EW) assets. In this context, new challenges have arisen in the training of tactical-level officers</w:t>
      </w:r>
    </w:p>
    <w:p w14:paraId="00A13BEF"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color w:val="000000"/>
          <w:spacing w:val="-4"/>
          <w:kern w:val="0"/>
          <w:sz w:val="28"/>
          <w:szCs w:val="28"/>
          <w:lang w:eastAsia="uk-UA"/>
          <w14:ligatures w14:val="none"/>
        </w:rPr>
      </w:pPr>
      <w:r w:rsidRPr="00B44B71">
        <w:rPr>
          <w:rFonts w:ascii="Times New Roman" w:eastAsia="Times New Roman" w:hAnsi="Times New Roman" w:cs="Times New Roman"/>
          <w:color w:val="000000"/>
          <w:spacing w:val="-4"/>
          <w:kern w:val="0"/>
          <w:sz w:val="28"/>
          <w:szCs w:val="28"/>
          <w:lang w:eastAsia="uk-UA"/>
          <w14:ligatures w14:val="none"/>
        </w:rPr>
        <w:lastRenderedPageBreak/>
        <w:t xml:space="preserve">Based on the analysis of empirical data from the full-scale invasion period, we identify key vectors of change in the officer training system, which are projected in figure 1. </w:t>
      </w:r>
    </w:p>
    <w:p w14:paraId="4484DE3F"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color w:val="000000"/>
          <w:spacing w:val="-4"/>
          <w:kern w:val="0"/>
          <w:sz w:val="28"/>
          <w:szCs w:val="28"/>
          <w:lang w:eastAsia="uk-UA"/>
          <w14:ligatures w14:val="none"/>
        </w:rPr>
      </w:pPr>
    </w:p>
    <w:p w14:paraId="384EE6FD" w14:textId="77777777" w:rsidR="00B44B71" w:rsidRPr="00B44B71" w:rsidRDefault="00B44B71" w:rsidP="00891EE1">
      <w:pPr>
        <w:tabs>
          <w:tab w:val="left" w:pos="9638"/>
        </w:tabs>
        <w:suppressAutoHyphens/>
        <w:spacing w:after="0" w:line="240" w:lineRule="auto"/>
        <w:jc w:val="both"/>
        <w:rPr>
          <w:rFonts w:ascii="Times New Roman" w:eastAsia="Times New Roman" w:hAnsi="Times New Roman" w:cs="Times New Roman"/>
          <w:color w:val="000000"/>
          <w:kern w:val="0"/>
          <w:sz w:val="28"/>
          <w:szCs w:val="28"/>
          <w:lang w:eastAsia="uk-UA"/>
          <w14:ligatures w14:val="none"/>
        </w:rPr>
      </w:pPr>
      <w:r w:rsidRPr="00B44B71">
        <w:rPr>
          <w:rFonts w:ascii="Times New Roman" w:eastAsia="Times New Roman" w:hAnsi="Times New Roman" w:cs="Times New Roman"/>
          <w:noProof/>
          <w:kern w:val="0"/>
          <w:sz w:val="28"/>
          <w:szCs w:val="28"/>
          <w:lang w:val="uk-UA" w:eastAsia="uk-UA"/>
          <w14:ligatures w14:val="none"/>
        </w:rPr>
        <w:drawing>
          <wp:inline distT="0" distB="0" distL="0" distR="0" wp14:anchorId="351C3406" wp14:editId="1604AAEA">
            <wp:extent cx="6105525" cy="335280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43">
                      <a:extLst>
                        <a:ext uri="{28A0092B-C50C-407E-A947-70E740481C1C}">
                          <a14:useLocalDpi xmlns:a14="http://schemas.microsoft.com/office/drawing/2010/main" val="0"/>
                        </a:ext>
                      </a:extLst>
                    </a:blip>
                    <a:srcRect t="5048" r="1044"/>
                    <a:stretch>
                      <a:fillRect/>
                    </a:stretch>
                  </pic:blipFill>
                  <pic:spPr bwMode="auto">
                    <a:xfrm>
                      <a:off x="0" y="0"/>
                      <a:ext cx="6105525" cy="3352800"/>
                    </a:xfrm>
                    <a:prstGeom prst="rect">
                      <a:avLst/>
                    </a:prstGeom>
                    <a:noFill/>
                    <a:ln>
                      <a:noFill/>
                    </a:ln>
                  </pic:spPr>
                </pic:pic>
              </a:graphicData>
            </a:graphic>
          </wp:inline>
        </w:drawing>
      </w:r>
    </w:p>
    <w:p w14:paraId="46003D85" w14:textId="77777777" w:rsidR="00B44B71" w:rsidRPr="00B44B71" w:rsidRDefault="00B44B71" w:rsidP="00023291">
      <w:pPr>
        <w:tabs>
          <w:tab w:val="left" w:pos="9638"/>
        </w:tabs>
        <w:suppressAutoHyphens/>
        <w:spacing w:after="0" w:line="240" w:lineRule="auto"/>
        <w:ind w:firstLine="709"/>
        <w:jc w:val="center"/>
        <w:rPr>
          <w:rFonts w:ascii="Times New Roman" w:eastAsia="Times New Roman" w:hAnsi="Times New Roman" w:cs="Times New Roman"/>
          <w:color w:val="000000"/>
          <w:kern w:val="0"/>
          <w:sz w:val="28"/>
          <w:szCs w:val="28"/>
          <w:lang w:eastAsia="uk-UA"/>
          <w14:ligatures w14:val="none"/>
        </w:rPr>
      </w:pPr>
      <w:r w:rsidRPr="00B44B71">
        <w:rPr>
          <w:rFonts w:ascii="Times New Roman" w:eastAsia="Times New Roman" w:hAnsi="Times New Roman" w:cs="Times New Roman"/>
          <w:color w:val="000000"/>
          <w:kern w:val="0"/>
          <w:sz w:val="28"/>
          <w:szCs w:val="28"/>
          <w:lang w:eastAsia="uk-UA"/>
          <w14:ligatures w14:val="none"/>
        </w:rPr>
        <w:t xml:space="preserve">Figure 1. </w:t>
      </w:r>
      <w:r w:rsidRPr="00B44B71">
        <w:rPr>
          <w:rFonts w:ascii="Times New Roman" w:eastAsia="Times New Roman" w:hAnsi="Times New Roman" w:cs="Times New Roman"/>
          <w:kern w:val="0"/>
          <w:sz w:val="28"/>
          <w:szCs w:val="28"/>
          <w:lang w:eastAsia="uk-UA"/>
          <w14:ligatures w14:val="none"/>
        </w:rPr>
        <w:t xml:space="preserve">Correlation between Battlefield Requirements and Military Educational Transformation in </w:t>
      </w:r>
      <w:r w:rsidRPr="00B44B71">
        <w:rPr>
          <w:rFonts w:ascii="Times New Roman" w:eastAsia="Times New Roman" w:hAnsi="Times New Roman" w:cs="Times New Roman"/>
          <w:color w:val="000000"/>
          <w:kern w:val="0"/>
          <w:sz w:val="28"/>
          <w:szCs w:val="28"/>
          <w:lang w:eastAsia="uk-UA"/>
          <w14:ligatures w14:val="none"/>
        </w:rPr>
        <w:t xml:space="preserve">Ukraine </w:t>
      </w:r>
      <w:r w:rsidRPr="00B44B71">
        <w:rPr>
          <w:rFonts w:ascii="Times New Roman" w:eastAsia="Times New Roman" w:hAnsi="Times New Roman" w:cs="Times New Roman"/>
          <w:kern w:val="0"/>
          <w:sz w:val="28"/>
          <w:szCs w:val="28"/>
          <w:lang w:eastAsia="uk-UA"/>
          <w14:ligatures w14:val="none"/>
        </w:rPr>
        <w:t>(2014–2025)</w:t>
      </w:r>
    </w:p>
    <w:p w14:paraId="1244E758"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color w:val="000000"/>
          <w:kern w:val="0"/>
          <w:sz w:val="28"/>
          <w:szCs w:val="28"/>
          <w:lang w:eastAsia="uk-UA"/>
          <w14:ligatures w14:val="none"/>
        </w:rPr>
      </w:pPr>
    </w:p>
    <w:p w14:paraId="786BCE24"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The analysis of the constructed Correlation Model representing the relationship between Battlefield Requirements and the Educational Response allows us to state the following:</w:t>
      </w:r>
    </w:p>
    <w:p w14:paraId="5AD03D9A"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val="uk-UA" w:eastAsia="uk-UA"/>
          <w14:ligatures w14:val="none"/>
        </w:rPr>
      </w:pPr>
      <w:r w:rsidRPr="00B44B71">
        <w:rPr>
          <w:rFonts w:ascii="Times New Roman" w:eastAsia="Times New Roman" w:hAnsi="Times New Roman" w:cs="Times New Roman"/>
          <w:spacing w:val="-4"/>
          <w:kern w:val="0"/>
          <w:sz w:val="28"/>
          <w:szCs w:val="28"/>
          <w:lang w:eastAsia="uk-UA"/>
          <w14:ligatures w14:val="none"/>
        </w:rPr>
        <w:t xml:space="preserve">during the 2014–2021 period, a </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catch-up modernization</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 xml:space="preserve"> effect was observed, wherein changes in educational curricula lagged behind the evolution of hybrid threat tactics;</w:t>
      </w:r>
    </w:p>
    <w:p w14:paraId="01D826F9"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During the 2024–2025 period, the dynamics of educational transformation demonstrate a tendency toward synchronization with the increasing Technological Saturation of combat operations. This is achieved through a rapid feedback loop (Lessons Learned Process), whereby the experience of employing FPV drones and situational awareness systems (Delta, Kropyva) is implemented into training modules in near real-time.</w:t>
      </w:r>
    </w:p>
    <w:p w14:paraId="5C5BD2C1"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color w:val="000000"/>
          <w:kern w:val="0"/>
          <w:sz w:val="28"/>
          <w:szCs w:val="28"/>
          <w:lang w:eastAsia="uk-UA"/>
          <w14:ligatures w14:val="none"/>
        </w:rPr>
      </w:pPr>
      <w:r w:rsidRPr="00B44B71">
        <w:rPr>
          <w:rFonts w:ascii="Times New Roman" w:eastAsia="Times New Roman" w:hAnsi="Times New Roman" w:cs="Times New Roman"/>
          <w:color w:val="000000"/>
          <w:kern w:val="0"/>
          <w:sz w:val="28"/>
          <w:szCs w:val="28"/>
          <w:lang w:eastAsia="uk-UA"/>
          <w14:ligatures w14:val="none"/>
        </w:rPr>
        <w:t>Furthermore, within the scope of our research, we designed a Matrix of correspondence regarding changes in the officer training system of the Armed Forces of Ukraine to NATO standards during the 2022 – 2025 period (table 2).</w:t>
      </w:r>
    </w:p>
    <w:p w14:paraId="49B12E13" w14:textId="77777777" w:rsidR="00B44B71" w:rsidRDefault="00B44B71" w:rsidP="00023291">
      <w:pPr>
        <w:tabs>
          <w:tab w:val="left" w:pos="9638"/>
        </w:tabs>
        <w:suppressAutoHyphens/>
        <w:spacing w:after="0" w:line="240" w:lineRule="auto"/>
        <w:ind w:firstLine="709"/>
        <w:jc w:val="right"/>
        <w:rPr>
          <w:rFonts w:ascii="Times New Roman" w:eastAsia="Times New Roman" w:hAnsi="Times New Roman" w:cs="Times New Roman"/>
          <w:color w:val="000000"/>
          <w:kern w:val="0"/>
          <w:sz w:val="28"/>
          <w:szCs w:val="28"/>
          <w:lang w:val="uk-UA" w:eastAsia="uk-UA"/>
          <w14:ligatures w14:val="none"/>
        </w:rPr>
      </w:pPr>
    </w:p>
    <w:p w14:paraId="72B17F92" w14:textId="77777777" w:rsidR="00891EE1" w:rsidRDefault="00891EE1" w:rsidP="00023291">
      <w:pPr>
        <w:tabs>
          <w:tab w:val="left" w:pos="9638"/>
        </w:tabs>
        <w:suppressAutoHyphens/>
        <w:spacing w:after="0" w:line="240" w:lineRule="auto"/>
        <w:ind w:firstLine="709"/>
        <w:jc w:val="right"/>
        <w:rPr>
          <w:rFonts w:ascii="Times New Roman" w:eastAsia="Times New Roman" w:hAnsi="Times New Roman" w:cs="Times New Roman"/>
          <w:color w:val="000000"/>
          <w:kern w:val="0"/>
          <w:sz w:val="28"/>
          <w:szCs w:val="28"/>
          <w:lang w:val="uk-UA" w:eastAsia="uk-UA"/>
          <w14:ligatures w14:val="none"/>
        </w:rPr>
      </w:pPr>
    </w:p>
    <w:p w14:paraId="7E7282D1" w14:textId="77777777" w:rsidR="00891EE1" w:rsidRDefault="00891EE1" w:rsidP="00023291">
      <w:pPr>
        <w:tabs>
          <w:tab w:val="left" w:pos="9638"/>
        </w:tabs>
        <w:suppressAutoHyphens/>
        <w:spacing w:after="0" w:line="240" w:lineRule="auto"/>
        <w:ind w:firstLine="709"/>
        <w:jc w:val="right"/>
        <w:rPr>
          <w:rFonts w:ascii="Times New Roman" w:eastAsia="Times New Roman" w:hAnsi="Times New Roman" w:cs="Times New Roman"/>
          <w:color w:val="000000"/>
          <w:kern w:val="0"/>
          <w:sz w:val="28"/>
          <w:szCs w:val="28"/>
          <w:lang w:val="uk-UA" w:eastAsia="uk-UA"/>
          <w14:ligatures w14:val="none"/>
        </w:rPr>
      </w:pPr>
    </w:p>
    <w:p w14:paraId="5E36BFCA" w14:textId="77777777" w:rsidR="00891EE1" w:rsidRPr="00891EE1" w:rsidRDefault="00891EE1" w:rsidP="00023291">
      <w:pPr>
        <w:tabs>
          <w:tab w:val="left" w:pos="9638"/>
        </w:tabs>
        <w:suppressAutoHyphens/>
        <w:spacing w:after="0" w:line="240" w:lineRule="auto"/>
        <w:ind w:firstLine="709"/>
        <w:jc w:val="right"/>
        <w:rPr>
          <w:rFonts w:ascii="Times New Roman" w:eastAsia="Times New Roman" w:hAnsi="Times New Roman" w:cs="Times New Roman"/>
          <w:color w:val="000000"/>
          <w:kern w:val="0"/>
          <w:sz w:val="28"/>
          <w:szCs w:val="28"/>
          <w:lang w:val="uk-UA" w:eastAsia="uk-UA"/>
          <w14:ligatures w14:val="none"/>
        </w:rPr>
      </w:pPr>
    </w:p>
    <w:p w14:paraId="2D417854" w14:textId="77777777" w:rsidR="00B44B71" w:rsidRPr="00B44B71" w:rsidRDefault="00B44B71" w:rsidP="00023291">
      <w:pPr>
        <w:tabs>
          <w:tab w:val="left" w:pos="9638"/>
        </w:tabs>
        <w:suppressAutoHyphens/>
        <w:spacing w:after="0" w:line="240" w:lineRule="auto"/>
        <w:ind w:firstLine="709"/>
        <w:jc w:val="right"/>
        <w:rPr>
          <w:rFonts w:ascii="Times New Roman" w:eastAsia="Times New Roman" w:hAnsi="Times New Roman" w:cs="Times New Roman"/>
          <w:kern w:val="0"/>
          <w:sz w:val="28"/>
          <w:szCs w:val="28"/>
          <w:lang w:eastAsia="uk-UA"/>
          <w14:ligatures w14:val="none"/>
        </w:rPr>
      </w:pPr>
      <w:r w:rsidRPr="00B44B71">
        <w:rPr>
          <w:rFonts w:ascii="Times New Roman" w:eastAsia="Times New Roman" w:hAnsi="Times New Roman" w:cs="Times New Roman"/>
          <w:color w:val="000000"/>
          <w:kern w:val="0"/>
          <w:sz w:val="28"/>
          <w:szCs w:val="28"/>
          <w:lang w:eastAsia="uk-UA"/>
          <w14:ligatures w14:val="none"/>
        </w:rPr>
        <w:lastRenderedPageBreak/>
        <w:t xml:space="preserve">Table </w:t>
      </w:r>
      <w:r w:rsidRPr="00B44B71">
        <w:rPr>
          <w:rFonts w:ascii="Times New Roman" w:eastAsia="Times New Roman" w:hAnsi="Times New Roman" w:cs="Times New Roman"/>
          <w:kern w:val="0"/>
          <w:sz w:val="28"/>
          <w:szCs w:val="28"/>
          <w:lang w:eastAsia="uk-UA"/>
          <w14:ligatures w14:val="none"/>
        </w:rPr>
        <w:t>2</w:t>
      </w:r>
    </w:p>
    <w:p w14:paraId="43B1F7CC" w14:textId="77777777" w:rsidR="00B44B71" w:rsidRPr="00B44B71" w:rsidRDefault="00B44B71" w:rsidP="00023291">
      <w:pPr>
        <w:tabs>
          <w:tab w:val="left" w:pos="9638"/>
        </w:tabs>
        <w:suppressAutoHyphens/>
        <w:spacing w:after="0" w:line="240" w:lineRule="auto"/>
        <w:ind w:firstLine="709"/>
        <w:jc w:val="center"/>
        <w:rPr>
          <w:rFonts w:ascii="Times New Roman" w:eastAsia="Times New Roman" w:hAnsi="Times New Roman" w:cs="Times New Roman"/>
          <w:b/>
          <w:bCs/>
          <w:kern w:val="0"/>
          <w:sz w:val="28"/>
          <w:szCs w:val="28"/>
          <w:lang w:eastAsia="uk-UA"/>
          <w14:ligatures w14:val="none"/>
        </w:rPr>
      </w:pPr>
      <w:r w:rsidRPr="00B44B71">
        <w:rPr>
          <w:rFonts w:ascii="Times New Roman" w:eastAsia="Times New Roman" w:hAnsi="Times New Roman" w:cs="Times New Roman"/>
          <w:b/>
          <w:bCs/>
          <w:kern w:val="0"/>
          <w:sz w:val="28"/>
          <w:szCs w:val="28"/>
          <w:lang w:eastAsia="uk-UA"/>
          <w14:ligatures w14:val="none"/>
        </w:rPr>
        <w:t>Matrix of Correspondence of Changes in the Officer Training System of the Armed Forces of Ukraine to NATO Standards in the Period 2022–2025</w:t>
      </w:r>
    </w:p>
    <w:tbl>
      <w:tblPr>
        <w:tblStyle w:val="4"/>
        <w:tblW w:w="9497" w:type="dxa"/>
        <w:tblInd w:w="137" w:type="dxa"/>
        <w:tblLayout w:type="fixed"/>
        <w:tblLook w:val="04A0" w:firstRow="1" w:lastRow="0" w:firstColumn="1" w:lastColumn="0" w:noHBand="0" w:noVBand="1"/>
      </w:tblPr>
      <w:tblGrid>
        <w:gridCol w:w="2126"/>
        <w:gridCol w:w="5670"/>
        <w:gridCol w:w="1701"/>
      </w:tblGrid>
      <w:tr w:rsidR="00B44B71" w:rsidRPr="00B44B71" w14:paraId="0E0FD172" w14:textId="77777777" w:rsidTr="00F918EC">
        <w:tc>
          <w:tcPr>
            <w:tcW w:w="2126" w:type="dxa"/>
            <w:vAlign w:val="center"/>
          </w:tcPr>
          <w:p w14:paraId="1D7C1950" w14:textId="77777777" w:rsidR="00B44B71" w:rsidRPr="00B44B71" w:rsidRDefault="00B44B71" w:rsidP="00023291">
            <w:pPr>
              <w:tabs>
                <w:tab w:val="left" w:pos="1591"/>
                <w:tab w:val="left" w:pos="9638"/>
              </w:tabs>
              <w:ind w:right="-110"/>
              <w:rPr>
                <w:color w:val="000000"/>
                <w:sz w:val="24"/>
                <w:szCs w:val="24"/>
              </w:rPr>
            </w:pPr>
            <w:r w:rsidRPr="00B44B71">
              <w:rPr>
                <w:color w:val="000000"/>
                <w:sz w:val="24"/>
                <w:szCs w:val="24"/>
              </w:rPr>
              <w:t>Implemented practice in officer training</w:t>
            </w:r>
          </w:p>
        </w:tc>
        <w:tc>
          <w:tcPr>
            <w:tcW w:w="5670" w:type="dxa"/>
            <w:vAlign w:val="center"/>
          </w:tcPr>
          <w:p w14:paraId="3CE3E17D" w14:textId="77777777" w:rsidR="00B44B71" w:rsidRPr="00B44B71" w:rsidRDefault="00B44B71" w:rsidP="00023291">
            <w:pPr>
              <w:tabs>
                <w:tab w:val="left" w:pos="9638"/>
              </w:tabs>
              <w:ind w:firstLine="709"/>
              <w:jc w:val="center"/>
              <w:rPr>
                <w:color w:val="000000"/>
                <w:sz w:val="24"/>
                <w:szCs w:val="24"/>
              </w:rPr>
            </w:pPr>
            <w:r w:rsidRPr="00B44B71">
              <w:rPr>
                <w:color w:val="000000"/>
                <w:sz w:val="24"/>
                <w:szCs w:val="24"/>
              </w:rPr>
              <w:t>Result of changes in officer training</w:t>
            </w:r>
          </w:p>
        </w:tc>
        <w:tc>
          <w:tcPr>
            <w:tcW w:w="1701" w:type="dxa"/>
            <w:vAlign w:val="center"/>
          </w:tcPr>
          <w:p w14:paraId="0D4E4092" w14:textId="77777777" w:rsidR="00B44B71" w:rsidRPr="00B44B71" w:rsidRDefault="00B44B71" w:rsidP="00023291">
            <w:pPr>
              <w:tabs>
                <w:tab w:val="left" w:pos="9638"/>
              </w:tabs>
              <w:ind w:right="-72"/>
              <w:rPr>
                <w:color w:val="000000"/>
                <w:sz w:val="24"/>
                <w:szCs w:val="24"/>
              </w:rPr>
            </w:pPr>
            <w:r w:rsidRPr="00B44B71">
              <w:rPr>
                <w:color w:val="000000"/>
                <w:sz w:val="24"/>
                <w:szCs w:val="24"/>
              </w:rPr>
              <w:t>NATO standard requirements</w:t>
            </w:r>
          </w:p>
        </w:tc>
      </w:tr>
      <w:tr w:rsidR="00B44B71" w:rsidRPr="00B44B71" w14:paraId="1C7F6C56" w14:textId="77777777" w:rsidTr="00F918EC">
        <w:tc>
          <w:tcPr>
            <w:tcW w:w="2126" w:type="dxa"/>
            <w:vAlign w:val="center"/>
          </w:tcPr>
          <w:p w14:paraId="0FE2C2EE" w14:textId="77777777" w:rsidR="00B44B71" w:rsidRPr="00B44B71" w:rsidRDefault="00B44B71" w:rsidP="00023291">
            <w:pPr>
              <w:tabs>
                <w:tab w:val="left" w:pos="1591"/>
                <w:tab w:val="left" w:pos="9638"/>
              </w:tabs>
              <w:ind w:right="-110"/>
              <w:rPr>
                <w:i/>
                <w:iCs/>
                <w:color w:val="000000"/>
                <w:sz w:val="24"/>
                <w:szCs w:val="24"/>
              </w:rPr>
            </w:pPr>
            <w:r w:rsidRPr="00B44B71">
              <w:rPr>
                <w:color w:val="000000"/>
                <w:sz w:val="24"/>
                <w:szCs w:val="24"/>
              </w:rPr>
              <w:t xml:space="preserve">Dominance of Unmanned Systems </w:t>
            </w:r>
          </w:p>
        </w:tc>
        <w:tc>
          <w:tcPr>
            <w:tcW w:w="5670" w:type="dxa"/>
            <w:vAlign w:val="center"/>
          </w:tcPr>
          <w:p w14:paraId="095CE700" w14:textId="77777777" w:rsidR="00B44B71" w:rsidRPr="00B44B71" w:rsidRDefault="00B44B71" w:rsidP="00023291">
            <w:pPr>
              <w:tabs>
                <w:tab w:val="left" w:pos="9638"/>
              </w:tabs>
              <w:jc w:val="both"/>
              <w:rPr>
                <w:color w:val="000000"/>
                <w:spacing w:val="-4"/>
                <w:sz w:val="24"/>
                <w:szCs w:val="24"/>
              </w:rPr>
            </w:pPr>
            <w:r w:rsidRPr="00B44B71">
              <w:rPr>
                <w:color w:val="000000"/>
                <w:spacing w:val="-4"/>
                <w:sz w:val="24"/>
                <w:szCs w:val="24"/>
              </w:rPr>
              <w:t>Transition from UAVs as purely reconnaissance assets to their application in various roles (strike, combat support, logistics, reconnaissance). Tactical-level officers acquire knowledge on organizing and planning operations using available forces and assets simultaneously in air, land and cyber domains</w:t>
            </w:r>
          </w:p>
        </w:tc>
        <w:tc>
          <w:tcPr>
            <w:tcW w:w="1701" w:type="dxa"/>
            <w:vAlign w:val="center"/>
          </w:tcPr>
          <w:p w14:paraId="4C16A9DD" w14:textId="77777777" w:rsidR="00B44B71" w:rsidRPr="00B44B71" w:rsidRDefault="00B44B71" w:rsidP="00023291">
            <w:pPr>
              <w:tabs>
                <w:tab w:val="left" w:pos="9638"/>
              </w:tabs>
              <w:ind w:right="-72"/>
              <w:rPr>
                <w:color w:val="000000"/>
                <w:sz w:val="24"/>
                <w:szCs w:val="24"/>
              </w:rPr>
            </w:pPr>
            <w:r w:rsidRPr="00B44B71">
              <w:rPr>
                <w:color w:val="000000"/>
                <w:sz w:val="24"/>
                <w:szCs w:val="24"/>
              </w:rPr>
              <w:t xml:space="preserve">Multi-Domain Operations (MDO) </w:t>
            </w:r>
          </w:p>
        </w:tc>
      </w:tr>
      <w:tr w:rsidR="00B44B71" w:rsidRPr="00B44B71" w14:paraId="6B017FB9" w14:textId="77777777" w:rsidTr="00F918EC">
        <w:tc>
          <w:tcPr>
            <w:tcW w:w="2126" w:type="dxa"/>
            <w:vAlign w:val="center"/>
          </w:tcPr>
          <w:p w14:paraId="5F6BEC0B" w14:textId="77777777" w:rsidR="00B44B71" w:rsidRPr="00B44B71" w:rsidRDefault="00B44B71" w:rsidP="00023291">
            <w:pPr>
              <w:tabs>
                <w:tab w:val="left" w:pos="1591"/>
                <w:tab w:val="left" w:pos="9638"/>
              </w:tabs>
              <w:ind w:right="-110"/>
              <w:rPr>
                <w:color w:val="000000"/>
                <w:sz w:val="24"/>
                <w:szCs w:val="24"/>
              </w:rPr>
            </w:pPr>
            <w:r w:rsidRPr="00B44B71">
              <w:rPr>
                <w:color w:val="000000"/>
                <w:sz w:val="24"/>
                <w:szCs w:val="24"/>
              </w:rPr>
              <w:t xml:space="preserve">Battle Planning </w:t>
            </w:r>
          </w:p>
        </w:tc>
        <w:tc>
          <w:tcPr>
            <w:tcW w:w="5670" w:type="dxa"/>
            <w:vAlign w:val="center"/>
          </w:tcPr>
          <w:p w14:paraId="4A4B42CE" w14:textId="77777777" w:rsidR="00B44B71" w:rsidRPr="00B44B71" w:rsidRDefault="00B44B71" w:rsidP="00023291">
            <w:pPr>
              <w:tabs>
                <w:tab w:val="left" w:pos="9638"/>
              </w:tabs>
              <w:jc w:val="both"/>
              <w:rPr>
                <w:color w:val="000000"/>
                <w:spacing w:val="-4"/>
                <w:sz w:val="24"/>
                <w:szCs w:val="24"/>
              </w:rPr>
            </w:pPr>
            <w:r w:rsidRPr="00B44B71">
              <w:rPr>
                <w:color w:val="000000"/>
                <w:spacing w:val="-4"/>
                <w:sz w:val="24"/>
                <w:szCs w:val="24"/>
              </w:rPr>
              <w:t>Scaling of the «Captains’ Course» (TDF) and its recognition as Professional Military Education (PME). Abandonment of Soviet directive command. Mobilized officers assigned to battalion staffs undergo retraining on planning according to NATO procedures adapted to war realities.</w:t>
            </w:r>
          </w:p>
        </w:tc>
        <w:tc>
          <w:tcPr>
            <w:tcW w:w="1701" w:type="dxa"/>
            <w:vAlign w:val="center"/>
          </w:tcPr>
          <w:p w14:paraId="444EA663" w14:textId="77777777" w:rsidR="00B44B71" w:rsidRPr="00B44B71" w:rsidRDefault="00B44B71" w:rsidP="00023291">
            <w:pPr>
              <w:tabs>
                <w:tab w:val="left" w:pos="9638"/>
              </w:tabs>
              <w:ind w:right="-72"/>
              <w:rPr>
                <w:color w:val="000000"/>
                <w:sz w:val="24"/>
                <w:szCs w:val="24"/>
              </w:rPr>
            </w:pPr>
            <w:r w:rsidRPr="00B44B71">
              <w:rPr>
                <w:color w:val="000000"/>
                <w:sz w:val="24"/>
                <w:szCs w:val="24"/>
              </w:rPr>
              <w:t>TLP &amp; MDMP</w:t>
            </w:r>
          </w:p>
          <w:p w14:paraId="1851FDBB" w14:textId="77777777" w:rsidR="00B44B71" w:rsidRPr="00B44B71" w:rsidRDefault="00B44B71" w:rsidP="00023291">
            <w:pPr>
              <w:tabs>
                <w:tab w:val="left" w:pos="9638"/>
              </w:tabs>
              <w:ind w:right="-72"/>
              <w:rPr>
                <w:color w:val="000000"/>
                <w:sz w:val="24"/>
                <w:szCs w:val="24"/>
              </w:rPr>
            </w:pPr>
            <w:r w:rsidRPr="00B44B71">
              <w:rPr>
                <w:color w:val="000000"/>
                <w:sz w:val="24"/>
                <w:szCs w:val="24"/>
              </w:rPr>
              <w:t>(STANAG 2199)</w:t>
            </w:r>
          </w:p>
          <w:p w14:paraId="1C7FB9A4" w14:textId="77777777" w:rsidR="00B44B71" w:rsidRPr="00B44B71" w:rsidRDefault="00B44B71" w:rsidP="00023291">
            <w:pPr>
              <w:tabs>
                <w:tab w:val="left" w:pos="9638"/>
              </w:tabs>
              <w:ind w:right="-72" w:firstLine="709"/>
              <w:jc w:val="center"/>
              <w:rPr>
                <w:color w:val="000000"/>
                <w:sz w:val="24"/>
                <w:szCs w:val="24"/>
              </w:rPr>
            </w:pPr>
          </w:p>
        </w:tc>
      </w:tr>
      <w:tr w:rsidR="00B44B71" w:rsidRPr="00B44B71" w14:paraId="43393496" w14:textId="77777777" w:rsidTr="00F918EC">
        <w:tc>
          <w:tcPr>
            <w:tcW w:w="2126" w:type="dxa"/>
            <w:vAlign w:val="center"/>
          </w:tcPr>
          <w:p w14:paraId="338DD06C" w14:textId="77777777" w:rsidR="00B44B71" w:rsidRPr="00B44B71" w:rsidRDefault="00B44B71" w:rsidP="00023291">
            <w:pPr>
              <w:tabs>
                <w:tab w:val="left" w:pos="9638"/>
              </w:tabs>
              <w:rPr>
                <w:color w:val="000000"/>
                <w:sz w:val="24"/>
                <w:szCs w:val="24"/>
              </w:rPr>
            </w:pPr>
            <w:r w:rsidRPr="00B44B71">
              <w:rPr>
                <w:color w:val="000000"/>
                <w:sz w:val="24"/>
                <w:szCs w:val="24"/>
              </w:rPr>
              <w:t>Digital Simulation &amp; Modelling, Wargaming</w:t>
            </w:r>
          </w:p>
        </w:tc>
        <w:tc>
          <w:tcPr>
            <w:tcW w:w="5670" w:type="dxa"/>
          </w:tcPr>
          <w:p w14:paraId="62818E95" w14:textId="77777777" w:rsidR="00B44B71" w:rsidRPr="00B44B71" w:rsidRDefault="00B44B71" w:rsidP="00023291">
            <w:pPr>
              <w:tabs>
                <w:tab w:val="left" w:pos="9638"/>
              </w:tabs>
              <w:jc w:val="both"/>
              <w:rPr>
                <w:color w:val="000000"/>
                <w:spacing w:val="-4"/>
                <w:sz w:val="24"/>
                <w:szCs w:val="24"/>
              </w:rPr>
            </w:pPr>
            <w:r w:rsidRPr="00B44B71">
              <w:rPr>
                <w:color w:val="000000"/>
                <w:spacing w:val="-4"/>
                <w:sz w:val="24"/>
                <w:szCs w:val="24"/>
              </w:rPr>
              <w:t xml:space="preserve">Tactical situation modeling allows for saving resources and practicing scenarios impossible to replicate on training grounds due to high risk. Officers improve their proficiency in practical planning and situation assessment using digital technologies. </w:t>
            </w:r>
          </w:p>
        </w:tc>
        <w:tc>
          <w:tcPr>
            <w:tcW w:w="1701" w:type="dxa"/>
            <w:vAlign w:val="center"/>
          </w:tcPr>
          <w:p w14:paraId="1F47D1AF" w14:textId="77777777" w:rsidR="00B44B71" w:rsidRPr="00B44B71" w:rsidRDefault="00B44B71" w:rsidP="00023291">
            <w:pPr>
              <w:tabs>
                <w:tab w:val="left" w:pos="9638"/>
              </w:tabs>
              <w:ind w:right="-72"/>
              <w:rPr>
                <w:color w:val="000000"/>
                <w:sz w:val="24"/>
                <w:szCs w:val="24"/>
              </w:rPr>
            </w:pPr>
            <w:r w:rsidRPr="00B44B71">
              <w:rPr>
                <w:color w:val="000000"/>
                <w:sz w:val="24"/>
                <w:szCs w:val="24"/>
              </w:rPr>
              <w:t>CAX (Computer Assisted Exercises)</w:t>
            </w:r>
          </w:p>
          <w:p w14:paraId="2143DB1A" w14:textId="77777777" w:rsidR="00B44B71" w:rsidRPr="00B44B71" w:rsidRDefault="00B44B71" w:rsidP="00023291">
            <w:pPr>
              <w:tabs>
                <w:tab w:val="left" w:pos="9638"/>
              </w:tabs>
              <w:ind w:right="-72" w:firstLine="709"/>
              <w:rPr>
                <w:color w:val="000000"/>
                <w:sz w:val="24"/>
                <w:szCs w:val="24"/>
              </w:rPr>
            </w:pPr>
          </w:p>
        </w:tc>
      </w:tr>
      <w:tr w:rsidR="00B44B71" w:rsidRPr="00B44B71" w14:paraId="7D05B609" w14:textId="77777777" w:rsidTr="00F918EC">
        <w:tc>
          <w:tcPr>
            <w:tcW w:w="2126" w:type="dxa"/>
            <w:vAlign w:val="center"/>
          </w:tcPr>
          <w:p w14:paraId="04A3248E" w14:textId="77777777" w:rsidR="00B44B71" w:rsidRPr="00B44B71" w:rsidRDefault="00B44B71" w:rsidP="00023291">
            <w:pPr>
              <w:tabs>
                <w:tab w:val="left" w:pos="9638"/>
              </w:tabs>
              <w:rPr>
                <w:color w:val="000000"/>
                <w:sz w:val="24"/>
                <w:szCs w:val="24"/>
              </w:rPr>
            </w:pPr>
            <w:r w:rsidRPr="00B44B71">
              <w:rPr>
                <w:color w:val="000000"/>
                <w:sz w:val="24"/>
                <w:szCs w:val="24"/>
              </w:rPr>
              <w:t xml:space="preserve">Agile Learning (Program Adaptability) </w:t>
            </w:r>
          </w:p>
        </w:tc>
        <w:tc>
          <w:tcPr>
            <w:tcW w:w="5670" w:type="dxa"/>
          </w:tcPr>
          <w:p w14:paraId="01BE08B2" w14:textId="77777777" w:rsidR="00B44B71" w:rsidRPr="00B44B71" w:rsidRDefault="00B44B71" w:rsidP="00023291">
            <w:pPr>
              <w:tabs>
                <w:tab w:val="left" w:pos="9638"/>
              </w:tabs>
              <w:jc w:val="both"/>
              <w:rPr>
                <w:color w:val="000000"/>
                <w:spacing w:val="-4"/>
                <w:sz w:val="24"/>
                <w:szCs w:val="24"/>
              </w:rPr>
            </w:pPr>
            <w:r w:rsidRPr="00B44B71">
              <w:rPr>
                <w:color w:val="000000"/>
                <w:spacing w:val="-4"/>
                <w:sz w:val="24"/>
                <w:szCs w:val="24"/>
              </w:rPr>
              <w:t xml:space="preserve">Rapid curriculum updates driven by feedback from the front. Continuous cycle of experience analysis considering changes in enemy tactics. Officers learn to organize and maintain constant combat readiness of counter-measures against enemy EW, FPV drones, strike drones, and SIGINT. Tactical-level officers practically practice assault actions within units considering changes in enemy tactics. </w:t>
            </w:r>
          </w:p>
        </w:tc>
        <w:tc>
          <w:tcPr>
            <w:tcW w:w="1701" w:type="dxa"/>
            <w:vAlign w:val="center"/>
          </w:tcPr>
          <w:p w14:paraId="72605579" w14:textId="77777777" w:rsidR="00B44B71" w:rsidRPr="00B44B71" w:rsidRDefault="00B44B71" w:rsidP="00023291">
            <w:pPr>
              <w:tabs>
                <w:tab w:val="left" w:pos="9638"/>
              </w:tabs>
              <w:ind w:right="-72"/>
              <w:rPr>
                <w:color w:val="000000"/>
                <w:sz w:val="24"/>
                <w:szCs w:val="24"/>
              </w:rPr>
            </w:pPr>
            <w:r w:rsidRPr="00B44B71">
              <w:rPr>
                <w:color w:val="000000"/>
                <w:sz w:val="24"/>
                <w:szCs w:val="24"/>
              </w:rPr>
              <w:t>Lessons Learned Process (LL),</w:t>
            </w:r>
          </w:p>
          <w:p w14:paraId="74BC07BB" w14:textId="77777777" w:rsidR="00B44B71" w:rsidRPr="00B44B71" w:rsidRDefault="00B44B71" w:rsidP="00023291">
            <w:pPr>
              <w:tabs>
                <w:tab w:val="left" w:pos="9638"/>
              </w:tabs>
              <w:ind w:right="-72"/>
              <w:rPr>
                <w:color w:val="000000"/>
                <w:sz w:val="24"/>
                <w:szCs w:val="24"/>
              </w:rPr>
            </w:pPr>
            <w:r w:rsidRPr="00B44B71">
              <w:rPr>
                <w:color w:val="000000"/>
                <w:sz w:val="24"/>
                <w:szCs w:val="24"/>
              </w:rPr>
              <w:t>JALLC doctrine,</w:t>
            </w:r>
          </w:p>
          <w:p w14:paraId="6C817CC1" w14:textId="77777777" w:rsidR="00B44B71" w:rsidRPr="00B44B71" w:rsidRDefault="00B44B71" w:rsidP="00023291">
            <w:pPr>
              <w:tabs>
                <w:tab w:val="left" w:pos="9638"/>
              </w:tabs>
              <w:ind w:right="-72"/>
              <w:rPr>
                <w:color w:val="000000"/>
                <w:sz w:val="24"/>
                <w:szCs w:val="24"/>
              </w:rPr>
            </w:pPr>
            <w:r w:rsidRPr="00B44B71">
              <w:rPr>
                <w:color w:val="000000"/>
                <w:sz w:val="24"/>
                <w:szCs w:val="24"/>
              </w:rPr>
              <w:t xml:space="preserve">Observe-Orient-Decide-Act </w:t>
            </w:r>
          </w:p>
          <w:p w14:paraId="3E9BE0A3" w14:textId="77777777" w:rsidR="00B44B71" w:rsidRPr="00B44B71" w:rsidRDefault="00B44B71" w:rsidP="00023291">
            <w:pPr>
              <w:tabs>
                <w:tab w:val="left" w:pos="9638"/>
              </w:tabs>
              <w:ind w:right="-72"/>
              <w:rPr>
                <w:color w:val="000000"/>
                <w:sz w:val="24"/>
                <w:szCs w:val="24"/>
              </w:rPr>
            </w:pPr>
            <w:r w:rsidRPr="00B44B71">
              <w:rPr>
                <w:color w:val="000000"/>
                <w:sz w:val="24"/>
                <w:szCs w:val="24"/>
              </w:rPr>
              <w:t>(OODA Loop)</w:t>
            </w:r>
          </w:p>
        </w:tc>
      </w:tr>
      <w:tr w:rsidR="00B44B71" w:rsidRPr="00B44B71" w14:paraId="3B1D68B5" w14:textId="77777777" w:rsidTr="00F918EC">
        <w:tc>
          <w:tcPr>
            <w:tcW w:w="2126" w:type="dxa"/>
            <w:vAlign w:val="center"/>
          </w:tcPr>
          <w:p w14:paraId="5F257BE4" w14:textId="77777777" w:rsidR="00B44B71" w:rsidRPr="00B44B71" w:rsidRDefault="00B44B71" w:rsidP="00023291">
            <w:pPr>
              <w:tabs>
                <w:tab w:val="left" w:pos="9638"/>
              </w:tabs>
              <w:rPr>
                <w:color w:val="000000"/>
                <w:sz w:val="24"/>
                <w:szCs w:val="24"/>
              </w:rPr>
            </w:pPr>
            <w:r w:rsidRPr="00B44B71">
              <w:rPr>
                <w:color w:val="000000"/>
                <w:sz w:val="24"/>
                <w:szCs w:val="24"/>
              </w:rPr>
              <w:t>System Survivability</w:t>
            </w:r>
          </w:p>
        </w:tc>
        <w:tc>
          <w:tcPr>
            <w:tcW w:w="5670" w:type="dxa"/>
            <w:vAlign w:val="center"/>
          </w:tcPr>
          <w:p w14:paraId="3C0EC726" w14:textId="77777777" w:rsidR="00B44B71" w:rsidRPr="00B44B71" w:rsidRDefault="00B44B71" w:rsidP="00023291">
            <w:pPr>
              <w:tabs>
                <w:tab w:val="left" w:pos="9638"/>
              </w:tabs>
              <w:jc w:val="both"/>
              <w:rPr>
                <w:color w:val="000000"/>
                <w:spacing w:val="-4"/>
                <w:sz w:val="24"/>
                <w:szCs w:val="24"/>
              </w:rPr>
            </w:pPr>
            <w:r w:rsidRPr="00B44B71">
              <w:rPr>
                <w:color w:val="000000"/>
                <w:spacing w:val="-4"/>
                <w:sz w:val="24"/>
                <w:szCs w:val="24"/>
              </w:rPr>
              <w:t>Dispersion of training centers, camouflage, arrangement of protected locations. Forced but effective decentralization of training, increasing the autonomy of higher military educational institutions and training units (centers). Officers acquire practical skills in protecting unit forces and assets and preventing their detection/engagement by enemy high-precision weapons.</w:t>
            </w:r>
          </w:p>
        </w:tc>
        <w:tc>
          <w:tcPr>
            <w:tcW w:w="1701" w:type="dxa"/>
            <w:vAlign w:val="center"/>
          </w:tcPr>
          <w:p w14:paraId="1DFAD72C" w14:textId="77777777" w:rsidR="00B44B71" w:rsidRPr="00B44B71" w:rsidRDefault="00B44B71" w:rsidP="00023291">
            <w:pPr>
              <w:tabs>
                <w:tab w:val="left" w:pos="9638"/>
              </w:tabs>
              <w:ind w:right="-72"/>
              <w:rPr>
                <w:color w:val="000000"/>
                <w:sz w:val="24"/>
                <w:szCs w:val="24"/>
              </w:rPr>
            </w:pPr>
            <w:r w:rsidRPr="00B44B71">
              <w:rPr>
                <w:color w:val="000000"/>
                <w:sz w:val="24"/>
                <w:szCs w:val="24"/>
              </w:rPr>
              <w:t>Force Protection</w:t>
            </w:r>
          </w:p>
        </w:tc>
      </w:tr>
      <w:tr w:rsidR="00B44B71" w:rsidRPr="00B44B71" w14:paraId="182A8BFA" w14:textId="77777777" w:rsidTr="00F918EC">
        <w:tc>
          <w:tcPr>
            <w:tcW w:w="2126" w:type="dxa"/>
            <w:vAlign w:val="center"/>
          </w:tcPr>
          <w:p w14:paraId="7246CAA8" w14:textId="77777777" w:rsidR="00B44B71" w:rsidRPr="00B44B71" w:rsidRDefault="00B44B71" w:rsidP="00023291">
            <w:pPr>
              <w:tabs>
                <w:tab w:val="left" w:pos="9638"/>
              </w:tabs>
              <w:rPr>
                <w:color w:val="000000"/>
                <w:sz w:val="24"/>
                <w:szCs w:val="24"/>
              </w:rPr>
            </w:pPr>
            <w:r w:rsidRPr="00B44B71">
              <w:rPr>
                <w:color w:val="000000"/>
                <w:sz w:val="24"/>
                <w:szCs w:val="24"/>
              </w:rPr>
              <w:t>Intensity</w:t>
            </w:r>
          </w:p>
        </w:tc>
        <w:tc>
          <w:tcPr>
            <w:tcW w:w="5670" w:type="dxa"/>
          </w:tcPr>
          <w:p w14:paraId="20D9863F" w14:textId="77777777" w:rsidR="00B44B71" w:rsidRPr="00B44B71" w:rsidRDefault="00B44B71" w:rsidP="00023291">
            <w:pPr>
              <w:tabs>
                <w:tab w:val="left" w:pos="9638"/>
              </w:tabs>
              <w:jc w:val="both"/>
              <w:rPr>
                <w:color w:val="000000"/>
                <w:spacing w:val="-4"/>
                <w:sz w:val="24"/>
                <w:szCs w:val="24"/>
              </w:rPr>
            </w:pPr>
            <w:r w:rsidRPr="00B44B71">
              <w:rPr>
                <w:color w:val="000000"/>
                <w:spacing w:val="-4"/>
                <w:sz w:val="24"/>
                <w:szCs w:val="24"/>
              </w:rPr>
              <w:t>Increase in training time for practical skills (Hands-on training) considering the knowledge necessary for successful command and combat task execution by the unit. Training focused on results and specific task execution.</w:t>
            </w:r>
          </w:p>
        </w:tc>
        <w:tc>
          <w:tcPr>
            <w:tcW w:w="1701" w:type="dxa"/>
            <w:vAlign w:val="center"/>
          </w:tcPr>
          <w:p w14:paraId="53FFD210" w14:textId="77777777" w:rsidR="00B44B71" w:rsidRPr="00B44B71" w:rsidRDefault="00B44B71" w:rsidP="00023291">
            <w:pPr>
              <w:tabs>
                <w:tab w:val="left" w:pos="9638"/>
              </w:tabs>
              <w:ind w:right="-72"/>
              <w:rPr>
                <w:color w:val="000000"/>
                <w:sz w:val="24"/>
                <w:szCs w:val="24"/>
              </w:rPr>
            </w:pPr>
            <w:r w:rsidRPr="00B44B71">
              <w:rPr>
                <w:color w:val="000000"/>
                <w:sz w:val="24"/>
                <w:szCs w:val="24"/>
              </w:rPr>
              <w:t>Performance Oriented Training</w:t>
            </w:r>
          </w:p>
        </w:tc>
      </w:tr>
    </w:tbl>
    <w:p w14:paraId="3348B955"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8"/>
          <w:szCs w:val="28"/>
          <w:lang w:eastAsia="uk-UA"/>
          <w14:ligatures w14:val="none"/>
        </w:rPr>
      </w:pPr>
    </w:p>
    <w:p w14:paraId="07FABE9C"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 xml:space="preserve">The training of military specialists in Ukraine under the conditions of the russo-Ukrainian war has undergone radical changes: from reforms starting in 2014 to a large-scale overhaul following the full-scale invasion in 2022. In turn, the international </w:t>
      </w:r>
      <w:r w:rsidRPr="00B44B71">
        <w:rPr>
          <w:rFonts w:ascii="Times New Roman" w:eastAsia="Times New Roman" w:hAnsi="Times New Roman" w:cs="Times New Roman"/>
          <w:spacing w:val="-4"/>
          <w:kern w:val="0"/>
          <w:sz w:val="28"/>
          <w:szCs w:val="28"/>
          <w:lang w:eastAsia="uk-UA"/>
          <w14:ligatures w14:val="none"/>
        </w:rPr>
        <w:lastRenderedPageBreak/>
        <w:t xml:space="preserve">experience of partner countries and continuous support played a vital role in shaping updated standards for the training of Armed Forces of Ukraine officers. </w:t>
      </w:r>
    </w:p>
    <w:p w14:paraId="396F1A26"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Analysis by the leadership of the Armed Forces of Ukraine in 2014 enabled the timely identification of a critical shortage of junior officers capable of making decisions under conditions of uncertainty and active combat operations. The centralized Command and Control model in effect at that time proved ineffective against hybrid threats.</w:t>
      </w:r>
    </w:p>
    <w:p w14:paraId="764AF579"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Institutional changes included the introduction of leadership courses (L-courses) based on NATO standards. For the first time, Ukraine adapted L-courses into the general higher military education system simultaneously at the tactical, operational, and strategic levels. This allowed for the designation of Professional Military Education (PME) as a distinct component within the higher military education system and its adaptation to the overall framework of officer professional development. This approach has proven to be novel and universal for NATO member countries.</w:t>
      </w:r>
    </w:p>
    <w:p w14:paraId="34B822B6"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In turn, after 2022, the changes that occurred in the military education system in Ukraine enabled:</w:t>
      </w:r>
    </w:p>
    <w:p w14:paraId="17186E6C"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decentralize the training of military specialists. This led to a transition from large training grounds to dispersed groups and mobile instructors;</w:t>
      </w:r>
    </w:p>
    <w:p w14:paraId="1F50D198"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officer leadership (Mission Command) gained relevance. A new type of officer must possess a high degree of autonomy in decision-making;</w:t>
      </w:r>
    </w:p>
    <w:p w14:paraId="7A857C12"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digital literacy of tactical-level officers. This became a necessary tool in the application of technological strike assets, situational awareness, and combat and comprehensive support;</w:t>
      </w:r>
    </w:p>
    <w:p w14:paraId="6DF5C628"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digitalization of operations for the execution of combat tasks. This enables increased efficiency in working with digital technologies in fire control and countering electronic warfare (EW) and signals intelligence (SIGINT).</w:t>
      </w:r>
    </w:p>
    <w:p w14:paraId="08BFE40C"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The aforementioned indicates that the transformation of military education is not merely an internal reform, but an integrated part of global standards for professional military training.</w:t>
      </w:r>
    </w:p>
    <w:p w14:paraId="449C490C"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b/>
          <w:bCs/>
          <w:spacing w:val="-4"/>
          <w:kern w:val="0"/>
          <w:sz w:val="28"/>
          <w:szCs w:val="28"/>
          <w:lang w:eastAsia="uk-UA"/>
          <w14:ligatures w14:val="none"/>
        </w:rPr>
        <w:t>Conclusions.</w:t>
      </w:r>
      <w:r w:rsidRPr="00B44B71">
        <w:rPr>
          <w:rFonts w:ascii="Times New Roman" w:eastAsia="Times New Roman" w:hAnsi="Times New Roman" w:cs="Times New Roman"/>
          <w:spacing w:val="-4"/>
          <w:kern w:val="0"/>
          <w:sz w:val="28"/>
          <w:szCs w:val="28"/>
          <w:lang w:eastAsia="uk-UA"/>
          <w14:ligatures w14:val="none"/>
        </w:rPr>
        <w:t xml:space="preserve"> Summarizing the results of the research on the transformation of the officer training system of the Armed Forces of Ukraine amidst the evolution of the military conflict (2014–2025), the following concluding provisions can be formulated:</w:t>
      </w:r>
    </w:p>
    <w:p w14:paraId="3AAB1D0A"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b/>
          <w:bCs/>
          <w:spacing w:val="-4"/>
          <w:kern w:val="0"/>
          <w:sz w:val="28"/>
          <w:szCs w:val="28"/>
          <w:lang w:eastAsia="uk-UA"/>
          <w14:ligatures w14:val="none"/>
        </w:rPr>
        <w:t>General Trend of Military Education Transformation (PME Transformation Trend)</w:t>
      </w:r>
      <w:r w:rsidRPr="00B44B71">
        <w:rPr>
          <w:rFonts w:ascii="Times New Roman" w:eastAsia="Times New Roman" w:hAnsi="Times New Roman" w:cs="Times New Roman"/>
          <w:spacing w:val="-4"/>
          <w:kern w:val="0"/>
          <w:sz w:val="28"/>
          <w:szCs w:val="28"/>
          <w:lang w:eastAsia="uk-UA"/>
          <w14:ligatures w14:val="none"/>
        </w:rPr>
        <w:t>. The evolution of military specialist training in Ukraine has progressed from crisis response to a systemic, technologically oriented restructuring. And adapted into the general system of higher military education, which is a unique experience for NATO member countries.</w:t>
      </w:r>
    </w:p>
    <w:p w14:paraId="5185CDA4"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b/>
          <w:bCs/>
          <w:spacing w:val="-4"/>
          <w:kern w:val="0"/>
          <w:sz w:val="28"/>
          <w:szCs w:val="28"/>
          <w:lang w:eastAsia="uk-UA"/>
          <w14:ligatures w14:val="none"/>
        </w:rPr>
        <w:t>Institutional Stage (2014–2021):</w:t>
      </w:r>
      <w:r w:rsidRPr="00B44B71">
        <w:rPr>
          <w:rFonts w:ascii="Times New Roman" w:eastAsia="Times New Roman" w:hAnsi="Times New Roman" w:cs="Times New Roman"/>
          <w:spacing w:val="-4"/>
          <w:kern w:val="0"/>
          <w:sz w:val="28"/>
          <w:szCs w:val="28"/>
          <w:lang w:eastAsia="uk-UA"/>
          <w14:ligatures w14:val="none"/>
        </w:rPr>
        <w:t xml:space="preserve"> Characterized by the abandonment of the Soviet model of rigid centralized </w:t>
      </w:r>
      <w:r w:rsidRPr="00B44B71">
        <w:rPr>
          <w:rFonts w:ascii="Times New Roman" w:eastAsia="Times New Roman" w:hAnsi="Times New Roman" w:cs="Times New Roman"/>
          <w:b/>
          <w:bCs/>
          <w:spacing w:val="-4"/>
          <w:kern w:val="0"/>
          <w:sz w:val="28"/>
          <w:szCs w:val="28"/>
          <w:lang w:eastAsia="uk-UA"/>
          <w14:ligatures w14:val="none"/>
        </w:rPr>
        <w:t>Command and Control</w:t>
      </w:r>
      <w:r w:rsidRPr="00B44B71">
        <w:rPr>
          <w:rFonts w:ascii="Times New Roman" w:eastAsia="Times New Roman" w:hAnsi="Times New Roman" w:cs="Times New Roman"/>
          <w:spacing w:val="-4"/>
          <w:kern w:val="0"/>
          <w:sz w:val="28"/>
          <w:szCs w:val="28"/>
          <w:lang w:eastAsia="uk-UA"/>
          <w14:ligatures w14:val="none"/>
        </w:rPr>
        <w:t xml:space="preserve"> in favor of Euro-Atlantic principles. A key achievement was the creation of a multi-level </w:t>
      </w:r>
      <w:r w:rsidRPr="00B44B71">
        <w:rPr>
          <w:rFonts w:ascii="Times New Roman" w:eastAsia="Times New Roman" w:hAnsi="Times New Roman" w:cs="Times New Roman"/>
          <w:b/>
          <w:bCs/>
          <w:spacing w:val="-4"/>
          <w:kern w:val="0"/>
          <w:sz w:val="28"/>
          <w:szCs w:val="28"/>
          <w:lang w:eastAsia="uk-UA"/>
          <w14:ligatures w14:val="none"/>
        </w:rPr>
        <w:t>Professional Military Education (PME)</w:t>
      </w:r>
      <w:r w:rsidRPr="00B44B71">
        <w:rPr>
          <w:rFonts w:ascii="Times New Roman" w:eastAsia="Times New Roman" w:hAnsi="Times New Roman" w:cs="Times New Roman"/>
          <w:spacing w:val="-4"/>
          <w:kern w:val="0"/>
          <w:sz w:val="28"/>
          <w:szCs w:val="28"/>
          <w:lang w:eastAsia="uk-UA"/>
          <w14:ligatures w14:val="none"/>
        </w:rPr>
        <w:t xml:space="preserve"> system through the introduction of L-courses. This allowed for the unification of planning procedures (</w:t>
      </w:r>
      <w:r w:rsidRPr="00B44B71">
        <w:rPr>
          <w:rFonts w:ascii="Times New Roman" w:eastAsia="Times New Roman" w:hAnsi="Times New Roman" w:cs="Times New Roman"/>
          <w:b/>
          <w:bCs/>
          <w:spacing w:val="-4"/>
          <w:kern w:val="0"/>
          <w:sz w:val="28"/>
          <w:szCs w:val="28"/>
          <w:lang w:eastAsia="uk-UA"/>
          <w14:ligatures w14:val="none"/>
        </w:rPr>
        <w:t>TLP, MDMP</w:t>
      </w:r>
      <w:r w:rsidRPr="00B44B71">
        <w:rPr>
          <w:rFonts w:ascii="Times New Roman" w:eastAsia="Times New Roman" w:hAnsi="Times New Roman" w:cs="Times New Roman"/>
          <w:spacing w:val="-4"/>
          <w:kern w:val="0"/>
          <w:sz w:val="28"/>
          <w:szCs w:val="28"/>
          <w:lang w:eastAsia="uk-UA"/>
          <w14:ligatures w14:val="none"/>
        </w:rPr>
        <w:t xml:space="preserve">) and the formation of a personnel reserve </w:t>
      </w:r>
      <w:r w:rsidRPr="00B44B71">
        <w:rPr>
          <w:rFonts w:ascii="Times New Roman" w:eastAsia="Times New Roman" w:hAnsi="Times New Roman" w:cs="Times New Roman"/>
          <w:b/>
          <w:bCs/>
          <w:spacing w:val="-4"/>
          <w:kern w:val="0"/>
          <w:sz w:val="28"/>
          <w:szCs w:val="28"/>
          <w:lang w:eastAsia="uk-UA"/>
          <w14:ligatures w14:val="none"/>
        </w:rPr>
        <w:t>interoperable</w:t>
      </w:r>
      <w:r w:rsidRPr="00B44B71">
        <w:rPr>
          <w:rFonts w:ascii="Times New Roman" w:eastAsia="Times New Roman" w:hAnsi="Times New Roman" w:cs="Times New Roman"/>
          <w:spacing w:val="-4"/>
          <w:kern w:val="0"/>
          <w:sz w:val="28"/>
          <w:szCs w:val="28"/>
          <w:lang w:eastAsia="uk-UA"/>
          <w14:ligatures w14:val="none"/>
        </w:rPr>
        <w:t xml:space="preserve"> with NATO partners.</w:t>
      </w:r>
    </w:p>
    <w:p w14:paraId="152EF196"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b/>
          <w:bCs/>
          <w:spacing w:val="-4"/>
          <w:kern w:val="0"/>
          <w:sz w:val="28"/>
          <w:szCs w:val="28"/>
          <w:lang w:eastAsia="uk-UA"/>
          <w14:ligatures w14:val="none"/>
        </w:rPr>
        <w:lastRenderedPageBreak/>
        <w:t>Adaptive Stage (2022–2023):</w:t>
      </w:r>
      <w:r w:rsidRPr="00B44B71">
        <w:rPr>
          <w:rFonts w:ascii="Times New Roman" w:eastAsia="Times New Roman" w:hAnsi="Times New Roman" w:cs="Times New Roman"/>
          <w:spacing w:val="-4"/>
          <w:kern w:val="0"/>
          <w:sz w:val="28"/>
          <w:szCs w:val="28"/>
          <w:lang w:eastAsia="uk-UA"/>
          <w14:ligatures w14:val="none"/>
        </w:rPr>
        <w:t xml:space="preserve"> The full-scale invasion provoked a transition to a </w:t>
      </w:r>
      <w:r w:rsidRPr="00B44B71">
        <w:rPr>
          <w:rFonts w:ascii="Times New Roman" w:eastAsia="Times New Roman" w:hAnsi="Times New Roman" w:cs="Times New Roman"/>
          <w:b/>
          <w:bCs/>
          <w:spacing w:val="-4"/>
          <w:kern w:val="0"/>
          <w:sz w:val="28"/>
          <w:szCs w:val="28"/>
          <w:lang w:eastAsia="uk-UA"/>
          <w14:ligatures w14:val="none"/>
        </w:rPr>
        <w:t>Distributed Learning</w:t>
      </w:r>
      <w:r w:rsidRPr="00B44B71">
        <w:rPr>
          <w:rFonts w:ascii="Times New Roman" w:eastAsia="Times New Roman" w:hAnsi="Times New Roman" w:cs="Times New Roman"/>
          <w:spacing w:val="-4"/>
          <w:kern w:val="0"/>
          <w:sz w:val="28"/>
          <w:szCs w:val="28"/>
          <w:lang w:eastAsia="uk-UA"/>
          <w14:ligatures w14:val="none"/>
        </w:rPr>
        <w:t xml:space="preserve"> model. Emergency mobilization and the phenomenon of </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express officers</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 xml:space="preserve"> required shortening training terms without losing quality, which was achieved thanks to international training missions (</w:t>
      </w:r>
      <w:r w:rsidRPr="00B44B71">
        <w:rPr>
          <w:rFonts w:ascii="Times New Roman" w:eastAsia="Times New Roman" w:hAnsi="Times New Roman" w:cs="Times New Roman"/>
          <w:b/>
          <w:bCs/>
          <w:spacing w:val="-4"/>
          <w:kern w:val="0"/>
          <w:sz w:val="28"/>
          <w:szCs w:val="28"/>
          <w:lang w:eastAsia="uk-UA"/>
          <w14:ligatures w14:val="none"/>
        </w:rPr>
        <w:t>Operation Interflex, EUMAM</w:t>
      </w:r>
      <w:r w:rsidRPr="00B44B71">
        <w:rPr>
          <w:rFonts w:ascii="Times New Roman" w:eastAsia="Times New Roman" w:hAnsi="Times New Roman" w:cs="Times New Roman"/>
          <w:spacing w:val="-4"/>
          <w:kern w:val="0"/>
          <w:sz w:val="28"/>
          <w:szCs w:val="28"/>
          <w:lang w:eastAsia="uk-UA"/>
          <w14:ligatures w14:val="none"/>
        </w:rPr>
        <w:t>) and the intensification of the practical component.</w:t>
      </w:r>
    </w:p>
    <w:p w14:paraId="44F6B546"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b/>
          <w:bCs/>
          <w:spacing w:val="-4"/>
          <w:kern w:val="0"/>
          <w:sz w:val="28"/>
          <w:szCs w:val="28"/>
          <w:lang w:eastAsia="uk-UA"/>
          <w14:ligatures w14:val="none"/>
        </w:rPr>
        <w:t>Technological Stage (2024–2025):</w:t>
      </w:r>
      <w:r w:rsidRPr="00B44B71">
        <w:rPr>
          <w:rFonts w:ascii="Times New Roman" w:eastAsia="Times New Roman" w:hAnsi="Times New Roman" w:cs="Times New Roman"/>
          <w:spacing w:val="-4"/>
          <w:kern w:val="0"/>
          <w:sz w:val="28"/>
          <w:szCs w:val="28"/>
          <w:lang w:eastAsia="uk-UA"/>
          <w14:ligatures w14:val="none"/>
        </w:rPr>
        <w:t xml:space="preserve"> The defining trend became the integration of unmanned systems and </w:t>
      </w:r>
      <w:r w:rsidRPr="00B44B71">
        <w:rPr>
          <w:rFonts w:ascii="Times New Roman" w:eastAsia="Times New Roman" w:hAnsi="Times New Roman" w:cs="Times New Roman"/>
          <w:b/>
          <w:bCs/>
          <w:spacing w:val="-4"/>
          <w:kern w:val="0"/>
          <w:sz w:val="28"/>
          <w:szCs w:val="28"/>
          <w:lang w:eastAsia="uk-UA"/>
          <w14:ligatures w14:val="none"/>
        </w:rPr>
        <w:t>EW</w:t>
      </w:r>
      <w:r w:rsidRPr="00B44B71">
        <w:rPr>
          <w:rFonts w:ascii="Times New Roman" w:eastAsia="Times New Roman" w:hAnsi="Times New Roman" w:cs="Times New Roman"/>
          <w:spacing w:val="-4"/>
          <w:kern w:val="0"/>
          <w:sz w:val="28"/>
          <w:szCs w:val="28"/>
          <w:lang w:eastAsia="uk-UA"/>
          <w14:ligatures w14:val="none"/>
        </w:rPr>
        <w:t xml:space="preserve"> assets into the tactical level. The officer transformed from a </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unit commander</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 xml:space="preserve"> into a </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manager of complex technical systems</w:t>
      </w:r>
      <w:r w:rsidRPr="00B44B71">
        <w:rPr>
          <w:rFonts w:ascii="Times New Roman" w:eastAsia="Times New Roman" w:hAnsi="Times New Roman" w:cs="Times New Roman"/>
          <w:spacing w:val="-4"/>
          <w:kern w:val="0"/>
          <w:sz w:val="28"/>
          <w:szCs w:val="28"/>
          <w:lang w:val="uk-UA" w:eastAsia="uk-UA"/>
          <w14:ligatures w14:val="none"/>
        </w:rPr>
        <w:t>»</w:t>
      </w:r>
      <w:r w:rsidRPr="00B44B71">
        <w:rPr>
          <w:rFonts w:ascii="Times New Roman" w:eastAsia="Times New Roman" w:hAnsi="Times New Roman" w:cs="Times New Roman"/>
          <w:spacing w:val="-4"/>
          <w:kern w:val="0"/>
          <w:sz w:val="28"/>
          <w:szCs w:val="28"/>
          <w:lang w:eastAsia="uk-UA"/>
          <w14:ligatures w14:val="none"/>
        </w:rPr>
        <w:t xml:space="preserve"> operating under conditions of </w:t>
      </w:r>
      <w:r w:rsidRPr="00B44B71">
        <w:rPr>
          <w:rFonts w:ascii="Times New Roman" w:eastAsia="Times New Roman" w:hAnsi="Times New Roman" w:cs="Times New Roman"/>
          <w:b/>
          <w:bCs/>
          <w:spacing w:val="-4"/>
          <w:kern w:val="0"/>
          <w:sz w:val="28"/>
          <w:szCs w:val="28"/>
          <w:lang w:eastAsia="uk-UA"/>
          <w14:ligatures w14:val="none"/>
        </w:rPr>
        <w:t>Net-centric warfare</w:t>
      </w:r>
      <w:r w:rsidRPr="00B44B71">
        <w:rPr>
          <w:rFonts w:ascii="Times New Roman" w:eastAsia="Times New Roman" w:hAnsi="Times New Roman" w:cs="Times New Roman"/>
          <w:spacing w:val="-4"/>
          <w:kern w:val="0"/>
          <w:sz w:val="28"/>
          <w:szCs w:val="28"/>
          <w:lang w:eastAsia="uk-UA"/>
          <w14:ligatures w14:val="none"/>
        </w:rPr>
        <w:t>.</w:t>
      </w:r>
    </w:p>
    <w:p w14:paraId="47951798"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spacing w:val="-4"/>
          <w:kern w:val="0"/>
          <w:sz w:val="28"/>
          <w:szCs w:val="28"/>
          <w:lang w:eastAsia="uk-UA"/>
          <w14:ligatures w14:val="none"/>
        </w:rPr>
        <w:t>Furthermore, a transformation of the officer’s authority occurred, based not on the importance of military rank, but on professional competencies, the ability to preserve the lives of subordinates (</w:t>
      </w:r>
      <w:r w:rsidRPr="00B44B71">
        <w:rPr>
          <w:rFonts w:ascii="Times New Roman" w:eastAsia="Times New Roman" w:hAnsi="Times New Roman" w:cs="Times New Roman"/>
          <w:b/>
          <w:bCs/>
          <w:spacing w:val="-4"/>
          <w:kern w:val="0"/>
          <w:sz w:val="28"/>
          <w:szCs w:val="28"/>
          <w:lang w:eastAsia="uk-UA"/>
          <w14:ligatures w14:val="none"/>
        </w:rPr>
        <w:t>Risk Management</w:t>
      </w:r>
      <w:r w:rsidRPr="00B44B71">
        <w:rPr>
          <w:rFonts w:ascii="Times New Roman" w:eastAsia="Times New Roman" w:hAnsi="Times New Roman" w:cs="Times New Roman"/>
          <w:spacing w:val="-4"/>
          <w:kern w:val="0"/>
          <w:sz w:val="28"/>
          <w:szCs w:val="28"/>
          <w:lang w:eastAsia="uk-UA"/>
          <w14:ligatures w14:val="none"/>
        </w:rPr>
        <w:t>), and adaptation to battlefield challenges. This constitutes a modern challenge for the educational process and the revision of officer training curricula.</w:t>
      </w:r>
    </w:p>
    <w:p w14:paraId="3DB701E7"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spacing w:val="-4"/>
          <w:kern w:val="0"/>
          <w:sz w:val="28"/>
          <w:szCs w:val="28"/>
          <w:lang w:eastAsia="uk-UA"/>
          <w14:ligatures w14:val="none"/>
        </w:rPr>
      </w:pPr>
      <w:r w:rsidRPr="00B44B71">
        <w:rPr>
          <w:rFonts w:ascii="Times New Roman" w:eastAsia="Times New Roman" w:hAnsi="Times New Roman" w:cs="Times New Roman"/>
          <w:b/>
          <w:bCs/>
          <w:spacing w:val="-4"/>
          <w:kern w:val="0"/>
          <w:sz w:val="28"/>
          <w:szCs w:val="28"/>
          <w:lang w:eastAsia="uk-UA"/>
          <w14:ligatures w14:val="none"/>
        </w:rPr>
        <w:t xml:space="preserve">Prospects for Further Research. </w:t>
      </w:r>
      <w:r w:rsidRPr="00B44B71">
        <w:rPr>
          <w:rFonts w:ascii="Times New Roman" w:eastAsia="Times New Roman" w:hAnsi="Times New Roman" w:cs="Times New Roman"/>
          <w:spacing w:val="-4"/>
          <w:kern w:val="0"/>
          <w:sz w:val="28"/>
          <w:szCs w:val="28"/>
          <w:lang w:eastAsia="uk-UA"/>
          <w14:ligatures w14:val="none"/>
        </w:rPr>
        <w:t>Further scientific elaboration is required regarding the issues of using artificial intelligence in military decision-making processes and developing a methodology for training officers for cognitive warfare.</w:t>
      </w:r>
    </w:p>
    <w:p w14:paraId="30D0D309"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8"/>
          <w:szCs w:val="28"/>
          <w:lang w:eastAsia="uk-UA"/>
          <w14:ligatures w14:val="none"/>
        </w:rPr>
      </w:pPr>
    </w:p>
    <w:p w14:paraId="563CCB1F" w14:textId="77777777" w:rsidR="00B44B71" w:rsidRPr="00B44B71" w:rsidRDefault="00B44B71" w:rsidP="00023291">
      <w:pPr>
        <w:tabs>
          <w:tab w:val="left" w:pos="9638"/>
        </w:tabs>
        <w:suppressAutoHyphens/>
        <w:spacing w:after="0" w:line="240" w:lineRule="auto"/>
        <w:ind w:firstLine="709"/>
        <w:jc w:val="center"/>
        <w:rPr>
          <w:rFonts w:ascii="Times New Roman" w:eastAsia="Times New Roman" w:hAnsi="Times New Roman" w:cs="Times New Roman"/>
          <w:b/>
          <w:bCs/>
          <w:color w:val="000000"/>
          <w:kern w:val="0"/>
          <w:sz w:val="28"/>
          <w:szCs w:val="28"/>
          <w:lang w:eastAsia="uk-UA"/>
          <w14:ligatures w14:val="none"/>
        </w:rPr>
      </w:pPr>
      <w:r w:rsidRPr="00B44B71">
        <w:rPr>
          <w:rFonts w:ascii="Times New Roman" w:eastAsia="Times New Roman" w:hAnsi="Times New Roman" w:cs="Times New Roman"/>
          <w:b/>
          <w:bCs/>
          <w:color w:val="000000"/>
          <w:kern w:val="0"/>
          <w:sz w:val="28"/>
          <w:szCs w:val="28"/>
          <w:lang w:eastAsia="uk-UA"/>
          <w14:ligatures w14:val="none"/>
        </w:rPr>
        <w:t>References</w:t>
      </w:r>
    </w:p>
    <w:p w14:paraId="75494FB5"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bookmarkStart w:id="31" w:name="_Hlk221623456"/>
      <w:r w:rsidRPr="00B44B71">
        <w:rPr>
          <w:rFonts w:ascii="Times New Roman" w:eastAsia="Times New Roman" w:hAnsi="Times New Roman" w:cs="Times New Roman"/>
          <w:kern w:val="0"/>
          <w:sz w:val="24"/>
          <w:szCs w:val="24"/>
          <w:lang w:eastAsia="uk-UA"/>
          <w14:ligatures w14:val="none"/>
        </w:rPr>
        <w:t xml:space="preserve">Anishchenko, V., Morozov, S. (2022). Formuvannya hotovnosti ofitseriv do viyskovo-profesiynoyi diyalnosti: tsinnisno-smyslovyy aspect [Developing Officers’ Readiness for Military-Professional Activity: The Value-Semantic Aspect]. </w:t>
      </w:r>
      <w:r w:rsidRPr="00B44B71">
        <w:rPr>
          <w:rFonts w:ascii="Times New Roman" w:eastAsia="Times New Roman" w:hAnsi="Times New Roman" w:cs="Times New Roman"/>
          <w:i/>
          <w:iCs/>
          <w:kern w:val="0"/>
          <w:sz w:val="24"/>
          <w:szCs w:val="24"/>
          <w:lang w:eastAsia="uk-UA"/>
          <w14:ligatures w14:val="none"/>
        </w:rPr>
        <w:t>Collection of Scientific Works of the National Academy of the State Border Guard Service of Ukraine</w:t>
      </w:r>
      <w:r w:rsidRPr="00B44B71">
        <w:rPr>
          <w:rFonts w:ascii="Times New Roman" w:eastAsia="Times New Roman" w:hAnsi="Times New Roman" w:cs="Times New Roman"/>
          <w:kern w:val="0"/>
          <w:sz w:val="24"/>
          <w:szCs w:val="24"/>
          <w:lang w:eastAsia="uk-UA"/>
          <w14:ligatures w14:val="none"/>
        </w:rPr>
        <w:t xml:space="preserve">. Series: Pedagogical Sciences, 30(3), 6–21. DOI: </w:t>
      </w:r>
      <w:hyperlink r:id="rId244">
        <w:r w:rsidRPr="00B44B71">
          <w:rPr>
            <w:rFonts w:ascii="Times New Roman" w:eastAsia="Times New Roman" w:hAnsi="Times New Roman" w:cs="Times New Roman"/>
            <w:color w:val="0000FF"/>
            <w:kern w:val="0"/>
            <w:sz w:val="24"/>
            <w:szCs w:val="24"/>
            <w:u w:val="single"/>
            <w:lang w:val="uk-UA" w:eastAsia="uk-UA"/>
            <w14:ligatures w14:val="none"/>
          </w:rPr>
          <w:t>https://doi.org/10.32453/pedzbirnyk.v30i3.1170</w:t>
        </w:r>
      </w:hyperlink>
      <w:r w:rsidRPr="00B44B71">
        <w:rPr>
          <w:rFonts w:ascii="Times New Roman" w:eastAsia="Times New Roman" w:hAnsi="Times New Roman" w:cs="Times New Roman"/>
          <w:kern w:val="0"/>
          <w:sz w:val="24"/>
          <w:szCs w:val="24"/>
          <w:lang w:eastAsia="uk-UA"/>
          <w14:ligatures w14:val="none"/>
        </w:rPr>
        <w:t>.</w:t>
      </w:r>
    </w:p>
    <w:p w14:paraId="1883BEBA"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t xml:space="preserve">ArmyInform. (2022). U Kyievi stvoryly unikalnyi Tsentr symuliatsii boiovykh dii [A unique Combat Simulation Center was created in Kyiv]. Retrieved from: </w:t>
      </w:r>
      <w:hyperlink r:id="rId245" w:history="1">
        <w:r w:rsidRPr="00B44B71">
          <w:rPr>
            <w:rFonts w:ascii="Times New Roman" w:eastAsia="Times New Roman" w:hAnsi="Times New Roman" w:cs="Times New Roman"/>
            <w:color w:val="0000FF"/>
            <w:kern w:val="0"/>
            <w:sz w:val="24"/>
            <w:szCs w:val="24"/>
            <w:u w:val="single"/>
            <w:lang w:val="uk-UA" w:eastAsia="uk-UA"/>
            <w14:ligatures w14:val="none"/>
          </w:rPr>
          <w:t>https://armyinform.com.ua/2022/10/02/u-kyyevi-stvoryly-unikalnyj-czentr-symulyacziyi-bojovyh-dij</w:t>
        </w:r>
      </w:hyperlink>
      <w:r w:rsidRPr="00B44B71">
        <w:rPr>
          <w:rFonts w:ascii="Times New Roman" w:eastAsia="Times New Roman" w:hAnsi="Times New Roman" w:cs="Times New Roman"/>
          <w:color w:val="0000FF"/>
          <w:kern w:val="0"/>
          <w:sz w:val="24"/>
          <w:szCs w:val="24"/>
          <w:lang w:val="uk-UA" w:eastAsia="uk-UA"/>
          <w14:ligatures w14:val="none"/>
        </w:rPr>
        <w:t xml:space="preserve"> </w:t>
      </w:r>
      <w:r w:rsidRPr="00B44B71">
        <w:rPr>
          <w:rFonts w:ascii="Times New Roman" w:eastAsia="Times New Roman" w:hAnsi="Times New Roman" w:cs="Times New Roman"/>
          <w:kern w:val="0"/>
          <w:sz w:val="24"/>
          <w:szCs w:val="24"/>
          <w:lang w:eastAsia="uk-UA"/>
          <w14:ligatures w14:val="none"/>
        </w:rPr>
        <w:t>[in Ukrainian].</w:t>
      </w:r>
    </w:p>
    <w:p w14:paraId="1138B5AC"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t xml:space="preserve">Baker, S. (2025). Ukraine’s drone schools are rewriting their lessons constantly, sometimes every other week as front-line fighting evolves. </w:t>
      </w:r>
      <w:r w:rsidRPr="00B44B71">
        <w:rPr>
          <w:rFonts w:ascii="Times New Roman" w:eastAsia="Times New Roman" w:hAnsi="Times New Roman" w:cs="Times New Roman"/>
          <w:i/>
          <w:iCs/>
          <w:kern w:val="0"/>
          <w:sz w:val="24"/>
          <w:szCs w:val="24"/>
          <w:lang w:eastAsia="uk-UA"/>
          <w14:ligatures w14:val="none"/>
        </w:rPr>
        <w:t>Business Insider</w:t>
      </w:r>
      <w:r w:rsidRPr="00B44B71">
        <w:rPr>
          <w:rFonts w:ascii="Times New Roman" w:eastAsia="Times New Roman" w:hAnsi="Times New Roman" w:cs="Times New Roman"/>
          <w:kern w:val="0"/>
          <w:sz w:val="24"/>
          <w:szCs w:val="24"/>
          <w:lang w:eastAsia="uk-UA"/>
          <w14:ligatures w14:val="none"/>
        </w:rPr>
        <w:t xml:space="preserve">. Retrieved from: </w:t>
      </w:r>
      <w:hyperlink r:id="rId246" w:history="1">
        <w:r w:rsidRPr="00B44B71">
          <w:rPr>
            <w:rFonts w:ascii="Times New Roman" w:eastAsia="Times New Roman" w:hAnsi="Times New Roman" w:cs="Times New Roman"/>
            <w:color w:val="0000FF"/>
            <w:kern w:val="0"/>
            <w:sz w:val="24"/>
            <w:szCs w:val="24"/>
            <w:u w:val="single"/>
            <w:lang w:val="uk-UA" w:eastAsia="uk-UA"/>
            <w14:ligatures w14:val="none"/>
          </w:rPr>
          <w:t>https://www.businessinsider.com/ukraine-drone-schools-always-updating-training-fight-rapidly-changes-2025-12</w:t>
        </w:r>
      </w:hyperlink>
      <w:r w:rsidRPr="00B44B71">
        <w:rPr>
          <w:rFonts w:ascii="Times New Roman" w:eastAsia="Times New Roman" w:hAnsi="Times New Roman" w:cs="Times New Roman"/>
          <w:kern w:val="0"/>
          <w:sz w:val="24"/>
          <w:szCs w:val="24"/>
          <w:lang w:eastAsia="uk-UA"/>
          <w14:ligatures w14:val="none"/>
        </w:rPr>
        <w:t>.</w:t>
      </w:r>
    </w:p>
    <w:p w14:paraId="479E41A1"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bookmarkStart w:id="32" w:name="_Hlk221607260"/>
      <w:r w:rsidRPr="00B44B71">
        <w:rPr>
          <w:rFonts w:ascii="Times New Roman" w:eastAsia="Times New Roman" w:hAnsi="Times New Roman" w:cs="Times New Roman"/>
          <w:kern w:val="0"/>
          <w:sz w:val="24"/>
          <w:szCs w:val="24"/>
          <w:lang w:eastAsia="uk-UA"/>
          <w14:ligatures w14:val="none"/>
        </w:rPr>
        <w:t>Cabinet of Ministers of Ukraine</w:t>
      </w:r>
      <w:bookmarkEnd w:id="32"/>
      <w:r w:rsidRPr="00B44B71">
        <w:rPr>
          <w:rFonts w:ascii="Times New Roman" w:eastAsia="Times New Roman" w:hAnsi="Times New Roman" w:cs="Times New Roman"/>
          <w:kern w:val="0"/>
          <w:sz w:val="24"/>
          <w:szCs w:val="24"/>
          <w:lang w:eastAsia="uk-UA"/>
          <w14:ligatures w14:val="none"/>
        </w:rPr>
        <w:t xml:space="preserve">. (2015). Pro reorhanizatsiiu ta utvorennia viiskovykh navchalnykh pidrozdiliv vyshchykh navchalnykh zakladiv [On the reorganization and establishment of military training units of higher educational institutions]. Retrieved from: </w:t>
      </w:r>
      <w:hyperlink r:id="rId247" w:tgtFrame="_blank" w:history="1">
        <w:r w:rsidRPr="00B44B71">
          <w:rPr>
            <w:rFonts w:ascii="Times New Roman" w:eastAsia="Times New Roman" w:hAnsi="Times New Roman" w:cs="Times New Roman"/>
            <w:color w:val="0000FF"/>
            <w:kern w:val="0"/>
            <w:sz w:val="24"/>
            <w:szCs w:val="24"/>
            <w:u w:val="single"/>
            <w:lang w:val="uk-UA" w:eastAsia="uk-UA"/>
            <w14:ligatures w14:val="none"/>
          </w:rPr>
          <w:t>https://zakon.rada.gov.ua/laws/show/94-2015-%D0%BF</w:t>
        </w:r>
      </w:hyperlink>
      <w:r w:rsidRPr="00B44B71">
        <w:rPr>
          <w:rFonts w:ascii="Times New Roman" w:eastAsia="Times New Roman" w:hAnsi="Times New Roman" w:cs="Times New Roman"/>
          <w:kern w:val="0"/>
          <w:sz w:val="24"/>
          <w:szCs w:val="24"/>
          <w:lang w:eastAsia="uk-UA"/>
          <w14:ligatures w14:val="none"/>
        </w:rPr>
        <w:t xml:space="preserve"> [in Ukrainian].</w:t>
      </w:r>
    </w:p>
    <w:p w14:paraId="1D489588"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t>Cabinet of Ministers of Ukraine. (2022). Pro vnesennia zmin do postanovy Kabinetu Ministriv Ukrainy vid 15 hrudnia 1997 r. No. 1410 [On amendments to the Resolution of the Cabinet of Ministers of Ukraine dated December 15, 1997 No. 1410]. Retrieved from: </w:t>
      </w:r>
      <w:hyperlink r:id="rId248" w:tgtFrame="_blank" w:history="1">
        <w:r w:rsidRPr="00B44B71">
          <w:rPr>
            <w:rFonts w:ascii="Times New Roman" w:eastAsia="Times New Roman" w:hAnsi="Times New Roman" w:cs="Times New Roman"/>
            <w:color w:val="0000FF"/>
            <w:kern w:val="0"/>
            <w:sz w:val="24"/>
            <w:szCs w:val="24"/>
            <w:u w:val="single"/>
            <w:lang w:val="uk-UA" w:eastAsia="uk-UA"/>
            <w14:ligatures w14:val="none"/>
          </w:rPr>
          <w:t>https://zakon.rada.gov.ua/laws/show/1490-2022-п</w:t>
        </w:r>
      </w:hyperlink>
      <w:r w:rsidRPr="00B44B71">
        <w:rPr>
          <w:rFonts w:ascii="Times New Roman" w:eastAsia="Times New Roman" w:hAnsi="Times New Roman" w:cs="Times New Roman"/>
          <w:kern w:val="0"/>
          <w:sz w:val="24"/>
          <w:szCs w:val="24"/>
          <w:lang w:eastAsia="uk-UA"/>
          <w14:ligatures w14:val="none"/>
        </w:rPr>
        <w:t xml:space="preserve"> [in Ukrainian].</w:t>
      </w:r>
    </w:p>
    <w:p w14:paraId="049D464C"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t xml:space="preserve">Chernovol, Ye., Slyvenko, P. (2023). Shchodo pidvyshchennya efektyvnosti profesiynoyi pidhotovky maybutnikh ofitseriv u realiyakh viyny (ukrayinska vidpovid na vyklyky chasu) [On improving the effectiveness of professional training of future officers in the realities of war (Ukrainian response to the challenges of the times)]. </w:t>
      </w:r>
      <w:r w:rsidRPr="00B44B71">
        <w:rPr>
          <w:rFonts w:ascii="Times New Roman" w:eastAsia="Times New Roman" w:hAnsi="Times New Roman" w:cs="Times New Roman"/>
          <w:i/>
          <w:iCs/>
          <w:kern w:val="0"/>
          <w:sz w:val="24"/>
          <w:szCs w:val="24"/>
          <w:lang w:eastAsia="uk-UA"/>
          <w14:ligatures w14:val="none"/>
        </w:rPr>
        <w:t>Academic Visions</w:t>
      </w:r>
      <w:r w:rsidRPr="00B44B71">
        <w:rPr>
          <w:rFonts w:ascii="Times New Roman" w:eastAsia="Times New Roman" w:hAnsi="Times New Roman" w:cs="Times New Roman"/>
          <w:kern w:val="0"/>
          <w:sz w:val="24"/>
          <w:szCs w:val="24"/>
          <w:lang w:eastAsia="uk-UA"/>
          <w14:ligatures w14:val="none"/>
        </w:rPr>
        <w:t xml:space="preserve">, Issue 17. DOI: </w:t>
      </w:r>
      <w:hyperlink r:id="rId249">
        <w:r w:rsidRPr="00B44B71">
          <w:rPr>
            <w:rFonts w:ascii="Times New Roman" w:eastAsia="Times New Roman" w:hAnsi="Times New Roman" w:cs="Times New Roman"/>
            <w:color w:val="0000FF"/>
            <w:kern w:val="0"/>
            <w:sz w:val="24"/>
            <w:szCs w:val="24"/>
            <w:u w:val="single"/>
            <w:lang w:val="uk-UA" w:eastAsia="uk-UA"/>
            <w14:ligatures w14:val="none"/>
          </w:rPr>
          <w:t>http://dx.doi.org/10.5281/zenodo.7739419</w:t>
        </w:r>
      </w:hyperlink>
      <w:r w:rsidRPr="00B44B71">
        <w:rPr>
          <w:rFonts w:ascii="Times New Roman" w:eastAsia="Times New Roman" w:hAnsi="Times New Roman" w:cs="Times New Roman"/>
          <w:kern w:val="0"/>
          <w:sz w:val="24"/>
          <w:szCs w:val="24"/>
          <w:lang w:eastAsia="uk-UA"/>
          <w14:ligatures w14:val="none"/>
        </w:rPr>
        <w:t>.</w:t>
      </w:r>
    </w:p>
    <w:p w14:paraId="209E7474"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t xml:space="preserve">Come Back Alive. (2024). Vyshkil kapitaniv [Captains’ Course]. Retrieved from: </w:t>
      </w:r>
      <w:hyperlink r:id="rId250" w:tgtFrame="_blank" w:history="1">
        <w:r w:rsidRPr="00B44B71">
          <w:rPr>
            <w:rFonts w:ascii="Times New Roman" w:eastAsia="Times New Roman" w:hAnsi="Times New Roman" w:cs="Times New Roman"/>
            <w:color w:val="0000FF"/>
            <w:kern w:val="0"/>
            <w:sz w:val="24"/>
            <w:szCs w:val="24"/>
            <w:u w:val="single"/>
            <w:lang w:val="uk-UA" w:eastAsia="uk-UA"/>
            <w14:ligatures w14:val="none"/>
          </w:rPr>
          <w:t>https://savelife.in.ua/projects-vyshkil-kapitaniv</w:t>
        </w:r>
      </w:hyperlink>
      <w:r w:rsidRPr="00B44B71">
        <w:rPr>
          <w:rFonts w:ascii="Times New Roman" w:eastAsia="Times New Roman" w:hAnsi="Times New Roman" w:cs="Times New Roman"/>
          <w:kern w:val="0"/>
          <w:sz w:val="24"/>
          <w:szCs w:val="24"/>
          <w:lang w:eastAsia="uk-UA"/>
          <w14:ligatures w14:val="none"/>
        </w:rPr>
        <w:t xml:space="preserve"> [in Ukrainian].</w:t>
      </w:r>
    </w:p>
    <w:p w14:paraId="79E64B5F"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lastRenderedPageBreak/>
        <w:t xml:space="preserve">Karpenko, V., Kolesnyk, O., Hromenko, V. (2025). Suchasnyy stan ta problemni pytannya vprovadzhennya rezultativ navchannya u profesiyniy viyskoviy osviti [The modern state and problematic issues of implementing the learning outcomes of professional military education]. </w:t>
      </w:r>
      <w:r w:rsidRPr="00B44B71">
        <w:rPr>
          <w:rFonts w:ascii="Times New Roman" w:eastAsia="Times New Roman" w:hAnsi="Times New Roman" w:cs="Times New Roman"/>
          <w:i/>
          <w:iCs/>
          <w:kern w:val="0"/>
          <w:sz w:val="24"/>
          <w:szCs w:val="24"/>
          <w:lang w:eastAsia="uk-UA"/>
          <w14:ligatures w14:val="none"/>
        </w:rPr>
        <w:t>Scientific Bulletin of South Ukrainian National Pedagogical University named after K. D. Ushynsky</w:t>
      </w:r>
      <w:r w:rsidRPr="00B44B71">
        <w:rPr>
          <w:rFonts w:ascii="Times New Roman" w:eastAsia="Times New Roman" w:hAnsi="Times New Roman" w:cs="Times New Roman"/>
          <w:kern w:val="0"/>
          <w:sz w:val="24"/>
          <w:szCs w:val="24"/>
          <w:lang w:eastAsia="uk-UA"/>
          <w14:ligatures w14:val="none"/>
        </w:rPr>
        <w:t>, 3(152). DOI</w:t>
      </w:r>
      <w:r w:rsidRPr="00B44B71">
        <w:rPr>
          <w:rFonts w:ascii="Times New Roman" w:eastAsia="Times New Roman" w:hAnsi="Times New Roman" w:cs="Times New Roman"/>
          <w:kern w:val="0"/>
          <w:sz w:val="24"/>
          <w:szCs w:val="24"/>
          <w:lang w:val="uk-UA" w:eastAsia="uk-UA"/>
          <w14:ligatures w14:val="none"/>
        </w:rPr>
        <w:t>:</w:t>
      </w:r>
      <w:r w:rsidRPr="00B44B71">
        <w:rPr>
          <w:rFonts w:ascii="Times New Roman" w:eastAsia="Times New Roman" w:hAnsi="Times New Roman" w:cs="Times New Roman"/>
          <w:kern w:val="0"/>
          <w:sz w:val="24"/>
          <w:szCs w:val="24"/>
          <w:lang w:eastAsia="uk-UA"/>
          <w14:ligatures w14:val="none"/>
        </w:rPr>
        <w:t xml:space="preserve"> </w:t>
      </w:r>
      <w:hyperlink r:id="rId251" w:tgtFrame="_blank" w:history="1">
        <w:r w:rsidRPr="00B44B71">
          <w:rPr>
            <w:rFonts w:ascii="Times New Roman" w:eastAsia="Times New Roman" w:hAnsi="Times New Roman" w:cs="Times New Roman"/>
            <w:color w:val="0000FF"/>
            <w:kern w:val="0"/>
            <w:sz w:val="24"/>
            <w:szCs w:val="24"/>
            <w:u w:val="single"/>
            <w:lang w:val="uk-UA" w:eastAsia="uk-UA"/>
            <w14:ligatures w14:val="none"/>
          </w:rPr>
          <w:t>https://doi.org/10.24195/2617-6688-2025-3-15</w:t>
        </w:r>
      </w:hyperlink>
      <w:r w:rsidRPr="00B44B71">
        <w:rPr>
          <w:rFonts w:ascii="Times New Roman" w:eastAsia="Times New Roman" w:hAnsi="Times New Roman" w:cs="Times New Roman"/>
          <w:kern w:val="0"/>
          <w:sz w:val="24"/>
          <w:szCs w:val="24"/>
          <w:lang w:eastAsia="uk-UA"/>
          <w14:ligatures w14:val="none"/>
        </w:rPr>
        <w:t>.</w:t>
      </w:r>
    </w:p>
    <w:p w14:paraId="12E6756C"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bookmarkStart w:id="33" w:name="_Hlk221610825"/>
      <w:r w:rsidRPr="00B44B71">
        <w:rPr>
          <w:rFonts w:ascii="Times New Roman" w:eastAsia="Times New Roman" w:hAnsi="Times New Roman" w:cs="Times New Roman"/>
          <w:kern w:val="0"/>
          <w:sz w:val="24"/>
          <w:szCs w:val="24"/>
          <w:lang w:eastAsia="uk-UA"/>
          <w14:ligatures w14:val="none"/>
        </w:rPr>
        <w:t>Ministry of Defence of Ukraine</w:t>
      </w:r>
      <w:bookmarkEnd w:id="33"/>
      <w:r w:rsidRPr="00B44B71">
        <w:rPr>
          <w:rFonts w:ascii="Times New Roman" w:eastAsia="Times New Roman" w:hAnsi="Times New Roman" w:cs="Times New Roman"/>
          <w:kern w:val="0"/>
          <w:sz w:val="24"/>
          <w:szCs w:val="24"/>
          <w:lang w:eastAsia="uk-UA"/>
          <w14:ligatures w14:val="none"/>
        </w:rPr>
        <w:t>. (2022). Pro orhanizatsiiu pidhotovky ofitserskoho, serzhantskoho i starshynskoho skladu v zakladakh fakhovoi peredvyshchoi viiskovoi osvity, vyshchykh viiskovykh navchalnykh zakladakh Ministerstva oborony Ukrainy ta viiskovykh navchalnykh pidrozdilakh zakladiv vyshchoi osvity [On the organization of training of officer, sergeant and non-commissioned officer personnel in institutions of professional pre-higher military education, higher military educational institutions of the Ministry of Defence of Ukraine and military training units of higher education institutions]. Retrieved from: </w:t>
      </w:r>
      <w:hyperlink r:id="rId252" w:anchor="Text" w:tgtFrame="_blank" w:history="1">
        <w:r w:rsidRPr="00B44B71">
          <w:rPr>
            <w:rFonts w:ascii="Times New Roman" w:eastAsia="Times New Roman" w:hAnsi="Times New Roman" w:cs="Times New Roman"/>
            <w:color w:val="0000FF"/>
            <w:kern w:val="0"/>
            <w:sz w:val="24"/>
            <w:szCs w:val="24"/>
            <w:u w:val="single"/>
            <w:lang w:val="uk-UA" w:eastAsia="uk-UA"/>
            <w14:ligatures w14:val="none"/>
          </w:rPr>
          <w:t>https://zakon.rada.gov.ua/rada/show/v0175322-22#Text</w:t>
        </w:r>
      </w:hyperlink>
      <w:r w:rsidRPr="00B44B71">
        <w:rPr>
          <w:rFonts w:ascii="Times New Roman" w:eastAsia="Times New Roman" w:hAnsi="Times New Roman" w:cs="Times New Roman"/>
          <w:color w:val="0000FF"/>
          <w:kern w:val="0"/>
          <w:sz w:val="24"/>
          <w:szCs w:val="24"/>
          <w:lang w:val="uk-UA" w:eastAsia="uk-UA"/>
          <w14:ligatures w14:val="none"/>
        </w:rPr>
        <w:t xml:space="preserve"> </w:t>
      </w:r>
      <w:r w:rsidRPr="00B44B71">
        <w:rPr>
          <w:rFonts w:ascii="Times New Roman" w:eastAsia="Times New Roman" w:hAnsi="Times New Roman" w:cs="Times New Roman"/>
          <w:kern w:val="0"/>
          <w:sz w:val="24"/>
          <w:szCs w:val="24"/>
          <w:lang w:eastAsia="uk-UA"/>
          <w14:ligatures w14:val="none"/>
        </w:rPr>
        <w:t>[in Ukrainian].</w:t>
      </w:r>
    </w:p>
    <w:p w14:paraId="2E337818"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bookmarkStart w:id="34" w:name="_Hlk221611182"/>
      <w:r w:rsidRPr="00B44B71">
        <w:rPr>
          <w:rFonts w:ascii="Times New Roman" w:eastAsia="Times New Roman" w:hAnsi="Times New Roman" w:cs="Times New Roman"/>
          <w:kern w:val="0"/>
          <w:sz w:val="24"/>
          <w:szCs w:val="24"/>
          <w:lang w:eastAsia="uk-UA"/>
          <w14:ligatures w14:val="none"/>
        </w:rPr>
        <w:t>Ministry of Defence of Ukraine</w:t>
      </w:r>
      <w:bookmarkEnd w:id="34"/>
      <w:r w:rsidRPr="00B44B71">
        <w:rPr>
          <w:rFonts w:ascii="Times New Roman" w:eastAsia="Times New Roman" w:hAnsi="Times New Roman" w:cs="Times New Roman"/>
          <w:kern w:val="0"/>
          <w:sz w:val="24"/>
          <w:szCs w:val="24"/>
          <w:lang w:eastAsia="uk-UA"/>
          <w14:ligatures w14:val="none"/>
        </w:rPr>
        <w:t xml:space="preserve">. (2026). Masshtabuvannia systemy pidhotovky aviatsiinoho personalu u 2025 rotsi [Scaling of the aviation personnel training system in 2025]. Retrieved from: </w:t>
      </w:r>
      <w:hyperlink r:id="rId253" w:history="1">
        <w:r w:rsidRPr="00B44B71">
          <w:rPr>
            <w:rFonts w:ascii="Times New Roman" w:eastAsia="Times New Roman" w:hAnsi="Times New Roman" w:cs="Times New Roman"/>
            <w:color w:val="0000FF"/>
            <w:kern w:val="0"/>
            <w:sz w:val="24"/>
            <w:szCs w:val="24"/>
            <w:u w:val="single"/>
            <w:lang w:val="uk-UA" w:eastAsia="uk-UA"/>
            <w14:ligatures w14:val="none"/>
          </w:rPr>
          <w:t>https://mod.gov.ua/news/masshtabuvannya-sistemi-pidgotovki-aviaczijnogo-personalu-u-2025-roczi</w:t>
        </w:r>
      </w:hyperlink>
      <w:r w:rsidRPr="00B44B71">
        <w:rPr>
          <w:rFonts w:ascii="Times New Roman" w:eastAsia="Times New Roman" w:hAnsi="Times New Roman" w:cs="Times New Roman"/>
          <w:kern w:val="0"/>
          <w:sz w:val="24"/>
          <w:szCs w:val="24"/>
          <w:lang w:eastAsia="uk-UA"/>
          <w14:ligatures w14:val="none"/>
        </w:rPr>
        <w:t xml:space="preserve"> [in Ukrainian].</w:t>
      </w:r>
    </w:p>
    <w:p w14:paraId="0792EB9E"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t xml:space="preserve">Mirnenko, V., Viter, D., Oliferuk, V. (2023). Transformatsiya systemy viyskovoyi osvity: osnovni tendentsiyi ta perspektyvy [Transformation of the military education system: main tendencies and perspectives]. </w:t>
      </w:r>
      <w:r w:rsidRPr="00B44B71">
        <w:rPr>
          <w:rFonts w:ascii="Times New Roman" w:eastAsia="Times New Roman" w:hAnsi="Times New Roman" w:cs="Times New Roman"/>
          <w:i/>
          <w:iCs/>
          <w:kern w:val="0"/>
          <w:sz w:val="24"/>
          <w:szCs w:val="24"/>
          <w:lang w:eastAsia="uk-UA"/>
          <w14:ligatures w14:val="none"/>
        </w:rPr>
        <w:t>Military education</w:t>
      </w:r>
      <w:r w:rsidRPr="00B44B71">
        <w:rPr>
          <w:rFonts w:ascii="Times New Roman" w:eastAsia="Times New Roman" w:hAnsi="Times New Roman" w:cs="Times New Roman"/>
          <w:kern w:val="0"/>
          <w:sz w:val="24"/>
          <w:szCs w:val="24"/>
          <w:lang w:eastAsia="uk-UA"/>
          <w14:ligatures w14:val="none"/>
        </w:rPr>
        <w:t xml:space="preserve">, No 2(48), 9–17. DOI: </w:t>
      </w:r>
      <w:r w:rsidRPr="00B44B71">
        <w:rPr>
          <w:rFonts w:ascii="Times New Roman" w:eastAsia="Times New Roman" w:hAnsi="Times New Roman" w:cs="Times New Roman"/>
          <w:color w:val="0000FF"/>
          <w:kern w:val="0"/>
          <w:sz w:val="24"/>
          <w:szCs w:val="24"/>
          <w:u w:val="single"/>
          <w:lang w:val="uk-UA" w:eastAsia="uk-UA"/>
          <w14:ligatures w14:val="none"/>
        </w:rPr>
        <w:t>https://doi.org/ 10.33099/2617-1775/2023-02/9-17</w:t>
      </w:r>
      <w:r w:rsidRPr="00B44B71">
        <w:rPr>
          <w:rFonts w:ascii="Times New Roman" w:eastAsia="Times New Roman" w:hAnsi="Times New Roman" w:cs="Times New Roman"/>
          <w:kern w:val="0"/>
          <w:sz w:val="24"/>
          <w:szCs w:val="24"/>
          <w:lang w:eastAsia="uk-UA"/>
          <w14:ligatures w14:val="none"/>
        </w:rPr>
        <w:t>.</w:t>
      </w:r>
    </w:p>
    <w:p w14:paraId="2A65B709"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t xml:space="preserve">Mitiagin, O., Viter, D., Karpenko, V. (2021). Model profesiynoyi viyskovoyi osvity v Ukrayini, shcho formuyetsya z urakhuvannyam protsedur operatyvnoho planuvannya NATO [The model of the professional military education in Ukraine forming in aspect of NATO’s operational planning procedures]. </w:t>
      </w:r>
      <w:r w:rsidRPr="00B44B71">
        <w:rPr>
          <w:rFonts w:ascii="Times New Roman" w:eastAsia="Times New Roman" w:hAnsi="Times New Roman" w:cs="Times New Roman"/>
          <w:i/>
          <w:iCs/>
          <w:kern w:val="0"/>
          <w:sz w:val="24"/>
          <w:szCs w:val="24"/>
          <w:lang w:eastAsia="uk-UA"/>
          <w14:ligatures w14:val="none"/>
        </w:rPr>
        <w:t>Military education</w:t>
      </w:r>
      <w:r w:rsidRPr="00B44B71">
        <w:rPr>
          <w:rFonts w:ascii="Times New Roman" w:eastAsia="Times New Roman" w:hAnsi="Times New Roman" w:cs="Times New Roman"/>
          <w:kern w:val="0"/>
          <w:sz w:val="24"/>
          <w:szCs w:val="24"/>
          <w:lang w:eastAsia="uk-UA"/>
          <w14:ligatures w14:val="none"/>
        </w:rPr>
        <w:t xml:space="preserve">, 1(43). DOI: </w:t>
      </w:r>
      <w:hyperlink r:id="rId254" w:history="1">
        <w:r w:rsidRPr="00B44B71">
          <w:rPr>
            <w:rFonts w:ascii="Times New Roman" w:eastAsia="Times New Roman" w:hAnsi="Times New Roman" w:cs="Times New Roman"/>
            <w:color w:val="0000FF"/>
            <w:kern w:val="0"/>
            <w:sz w:val="24"/>
            <w:szCs w:val="24"/>
            <w:u w:val="single"/>
            <w:lang w:val="uk-UA" w:eastAsia="uk-UA"/>
            <w14:ligatures w14:val="none"/>
          </w:rPr>
          <w:t>https://doi.org/10.33099/2617-1783/2021-43/64-78</w:t>
        </w:r>
      </w:hyperlink>
      <w:r w:rsidRPr="00B44B71">
        <w:rPr>
          <w:rFonts w:ascii="Times New Roman" w:eastAsia="Times New Roman" w:hAnsi="Times New Roman" w:cs="Times New Roman"/>
          <w:kern w:val="0"/>
          <w:sz w:val="24"/>
          <w:szCs w:val="24"/>
          <w:lang w:eastAsia="uk-UA"/>
          <w14:ligatures w14:val="none"/>
        </w:rPr>
        <w:t>.</w:t>
      </w:r>
    </w:p>
    <w:p w14:paraId="1B2B954F"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t xml:space="preserve">Myronenko, T., Dobrovolska, L., Shevchenko, I., Kordyuk, O. (2024). Vyklyky ta stiikist vprovadzhennia CLIL u zakladakh osvity Ukrainy [Challenges andsustainability of CLIL implementation in Ukrainian educational establishments]. </w:t>
      </w:r>
      <w:r w:rsidRPr="00B44B71">
        <w:rPr>
          <w:rFonts w:ascii="Times New Roman" w:eastAsia="Times New Roman" w:hAnsi="Times New Roman" w:cs="Times New Roman"/>
          <w:i/>
          <w:iCs/>
          <w:kern w:val="0"/>
          <w:sz w:val="24"/>
          <w:szCs w:val="24"/>
          <w:lang w:eastAsia="uk-UA"/>
          <w14:ligatures w14:val="none"/>
        </w:rPr>
        <w:t>Amazonia Investiga</w:t>
      </w:r>
      <w:r w:rsidRPr="00B44B71">
        <w:rPr>
          <w:rFonts w:ascii="Times New Roman" w:eastAsia="Times New Roman" w:hAnsi="Times New Roman" w:cs="Times New Roman"/>
          <w:kern w:val="0"/>
          <w:sz w:val="24"/>
          <w:szCs w:val="24"/>
          <w:lang w:eastAsia="uk-UA"/>
          <w14:ligatures w14:val="none"/>
        </w:rPr>
        <w:t xml:space="preserve">, 13(77), 53–65. DOI: </w:t>
      </w:r>
      <w:hyperlink r:id="rId255" w:history="1">
        <w:r w:rsidRPr="00B44B71">
          <w:rPr>
            <w:rFonts w:ascii="Times New Roman" w:eastAsia="Times New Roman" w:hAnsi="Times New Roman" w:cs="Times New Roman"/>
            <w:color w:val="0000FF"/>
            <w:kern w:val="0"/>
            <w:sz w:val="24"/>
            <w:szCs w:val="24"/>
            <w:u w:val="single"/>
            <w:lang w:val="uk-UA" w:eastAsia="uk-UA"/>
            <w14:ligatures w14:val="none"/>
          </w:rPr>
          <w:t>https://doi.org/10.34069/AI/2024.77.05.4</w:t>
        </w:r>
      </w:hyperlink>
      <w:r w:rsidRPr="00B44B71">
        <w:rPr>
          <w:rFonts w:ascii="Times New Roman" w:eastAsia="Times New Roman" w:hAnsi="Times New Roman" w:cs="Times New Roman"/>
          <w:color w:val="0000FF"/>
          <w:kern w:val="0"/>
          <w:sz w:val="28"/>
          <w:szCs w:val="28"/>
          <w:lang w:val="uk-UA" w:eastAsia="uk-UA"/>
          <w14:ligatures w14:val="none"/>
        </w:rPr>
        <w:t>.</w:t>
      </w:r>
    </w:p>
    <w:p w14:paraId="720BC4A6"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t xml:space="preserve">NATO Standardization Office. (2014). Language proficiency levels (STANAG 6001). Retrieved from: </w:t>
      </w:r>
      <w:r w:rsidRPr="00B44B71">
        <w:rPr>
          <w:rFonts w:ascii="Times New Roman" w:eastAsia="Times New Roman" w:hAnsi="Times New Roman" w:cs="Times New Roman"/>
          <w:color w:val="0000FF"/>
          <w:kern w:val="0"/>
          <w:sz w:val="24"/>
          <w:szCs w:val="24"/>
          <w:u w:val="single"/>
          <w:lang w:val="uk-UA" w:eastAsia="uk-UA"/>
          <w14:ligatures w14:val="none"/>
        </w:rPr>
        <w:t>https://natobilc.org/stanag-6001</w:t>
      </w:r>
      <w:r w:rsidRPr="00B44B71">
        <w:rPr>
          <w:rFonts w:ascii="Times New Roman" w:eastAsia="Times New Roman" w:hAnsi="Times New Roman" w:cs="Times New Roman"/>
          <w:kern w:val="0"/>
          <w:sz w:val="24"/>
          <w:szCs w:val="24"/>
          <w:lang w:eastAsia="uk-UA"/>
          <w14:ligatures w14:val="none"/>
        </w:rPr>
        <w:t>.</w:t>
      </w:r>
    </w:p>
    <w:p w14:paraId="4884030C"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t xml:space="preserve">Order of the Ministry of Defense of Ukraine (2022). Pro zatverdzhennya Kontseptsiyi rozvytku profesiynoho serzhants’koho korpusu Zbroynykh Syl Ukrayiny [On the approval of the Concept for the development of the professional sergeant corps of the Armed Forces of Ukraine]. Retrieved from: </w:t>
      </w:r>
      <w:hyperlink r:id="rId256" w:anchor="Text" w:history="1">
        <w:r w:rsidRPr="00B44B71">
          <w:rPr>
            <w:rFonts w:ascii="Times New Roman" w:eastAsia="Times New Roman" w:hAnsi="Times New Roman" w:cs="Times New Roman"/>
            <w:color w:val="0000FF"/>
            <w:kern w:val="0"/>
            <w:sz w:val="24"/>
            <w:szCs w:val="24"/>
            <w:u w:val="single"/>
            <w:lang w:val="uk-UA" w:eastAsia="uk-UA"/>
            <w14:ligatures w14:val="none"/>
          </w:rPr>
          <w:t>https://zakon.rada.gov.ua/rada/show/v0044322-22#Text</w:t>
        </w:r>
      </w:hyperlink>
      <w:r w:rsidRPr="00B44B71">
        <w:rPr>
          <w:rFonts w:ascii="Times New Roman" w:eastAsia="Times New Roman" w:hAnsi="Times New Roman" w:cs="Times New Roman"/>
          <w:kern w:val="0"/>
          <w:sz w:val="24"/>
          <w:szCs w:val="24"/>
          <w:lang w:eastAsia="uk-UA"/>
          <w14:ligatures w14:val="none"/>
        </w:rPr>
        <w:t xml:space="preserve"> [in Ukrainian].</w:t>
      </w:r>
    </w:p>
    <w:p w14:paraId="0B75CF2F"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bookmarkStart w:id="35" w:name="_Hlk221612203"/>
      <w:r w:rsidRPr="00B44B71">
        <w:rPr>
          <w:rFonts w:ascii="Times New Roman" w:eastAsia="Times New Roman" w:hAnsi="Times New Roman" w:cs="Times New Roman"/>
          <w:kern w:val="0"/>
          <w:sz w:val="24"/>
          <w:szCs w:val="24"/>
          <w:lang w:eastAsia="uk-UA"/>
          <w14:ligatures w14:val="none"/>
        </w:rPr>
        <w:t>Presіdent of Ukraine</w:t>
      </w:r>
      <w:bookmarkEnd w:id="35"/>
      <w:r w:rsidRPr="00B44B71">
        <w:rPr>
          <w:rFonts w:ascii="Times New Roman" w:eastAsia="Times New Roman" w:hAnsi="Times New Roman" w:cs="Times New Roman"/>
          <w:kern w:val="0"/>
          <w:sz w:val="24"/>
          <w:szCs w:val="24"/>
          <w:lang w:eastAsia="uk-UA"/>
          <w14:ligatures w14:val="none"/>
        </w:rPr>
        <w:t xml:space="preserve">. (2016). Pro Stratehichnyi oboronnyi biuleten Ukrainy [On the Strategic Defence Bulletin of Ukraine]. Retrieved from: </w:t>
      </w:r>
      <w:r w:rsidRPr="00B44B71">
        <w:rPr>
          <w:rFonts w:ascii="Times New Roman" w:eastAsia="Times New Roman" w:hAnsi="Times New Roman" w:cs="Times New Roman"/>
          <w:color w:val="0000FF"/>
          <w:kern w:val="0"/>
          <w:sz w:val="24"/>
          <w:szCs w:val="24"/>
          <w:u w:val="single"/>
          <w:lang w:val="uk-UA" w:eastAsia="uk-UA"/>
          <w14:ligatures w14:val="none"/>
        </w:rPr>
        <w:t>https://zakon.rada.gov.ua/laws/show/240/2016</w:t>
      </w:r>
      <w:r w:rsidRPr="00B44B71">
        <w:rPr>
          <w:rFonts w:ascii="Times New Roman" w:eastAsia="Times New Roman" w:hAnsi="Times New Roman" w:cs="Times New Roman"/>
          <w:kern w:val="0"/>
          <w:sz w:val="24"/>
          <w:szCs w:val="24"/>
          <w:lang w:eastAsia="uk-UA"/>
          <w14:ligatures w14:val="none"/>
        </w:rPr>
        <w:t xml:space="preserve"> [in Ukrainian].</w:t>
      </w:r>
    </w:p>
    <w:p w14:paraId="419A0029"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t xml:space="preserve">President of Ukraine. (2017). Rishennya Rady natsionalnoyi bezpeky i oborony Ukrayiny «Pro Derzhavnu prohramu rozvytku Zbroinykh Syl Ukrainy na period do 2020 roku» [Decision of the National Security and Defense Council of Ukraine “On the State Program for the Development of the Armed Forces of Ukraine for the Period up to 2020”]. Retrieved from: </w:t>
      </w:r>
      <w:hyperlink r:id="rId257" w:anchor="Text" w:history="1">
        <w:r w:rsidRPr="00B44B71">
          <w:rPr>
            <w:rFonts w:ascii="Times New Roman" w:eastAsia="Times New Roman" w:hAnsi="Times New Roman" w:cs="Times New Roman"/>
            <w:color w:val="0000FF"/>
            <w:kern w:val="0"/>
            <w:sz w:val="24"/>
            <w:szCs w:val="24"/>
            <w:u w:val="single"/>
            <w:lang w:val="uk-UA" w:eastAsia="uk-UA"/>
            <w14:ligatures w14:val="none"/>
          </w:rPr>
          <w:t>https://zakon.rada.gov.ua/laws/show/n0017525-16/ed20161229#Text</w:t>
        </w:r>
      </w:hyperlink>
      <w:r w:rsidRPr="00B44B71">
        <w:rPr>
          <w:rFonts w:ascii="Times New Roman" w:eastAsia="Times New Roman" w:hAnsi="Times New Roman" w:cs="Times New Roman"/>
          <w:kern w:val="0"/>
          <w:sz w:val="24"/>
          <w:szCs w:val="24"/>
          <w:lang w:eastAsia="uk-UA"/>
          <w14:ligatures w14:val="none"/>
        </w:rPr>
        <w:t xml:space="preserve"> [in Ukrainian].</w:t>
      </w:r>
    </w:p>
    <w:p w14:paraId="4C0506AD"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t xml:space="preserve">Salkutsan, S., Stolberg, A. (2022). Vplyv viyny na ukrayinsku systemu viyskovoyi osvity: yty vpered u voyennyy ta u myrnyy chas [The impact of the war on the Ukrainian military education system: moving forward in wartime and peacetime]. </w:t>
      </w:r>
      <w:r w:rsidRPr="00B44B71">
        <w:rPr>
          <w:rFonts w:ascii="Times New Roman" w:eastAsia="Times New Roman" w:hAnsi="Times New Roman" w:cs="Times New Roman"/>
          <w:iCs/>
          <w:kern w:val="0"/>
          <w:sz w:val="24"/>
          <w:szCs w:val="24"/>
          <w:lang w:eastAsia="uk-UA"/>
          <w14:ligatures w14:val="none"/>
        </w:rPr>
        <w:t>The Quarterly Journal</w:t>
      </w:r>
      <w:r w:rsidRPr="00B44B71">
        <w:rPr>
          <w:rFonts w:ascii="Times New Roman" w:eastAsia="Times New Roman" w:hAnsi="Times New Roman" w:cs="Times New Roman"/>
          <w:kern w:val="0"/>
          <w:sz w:val="24"/>
          <w:szCs w:val="24"/>
          <w:lang w:eastAsia="uk-UA"/>
          <w14:ligatures w14:val="none"/>
        </w:rPr>
        <w:t xml:space="preserve">, 3(21). Retrieved from: </w:t>
      </w:r>
      <w:hyperlink r:id="rId258">
        <w:r w:rsidRPr="00B44B71">
          <w:rPr>
            <w:rFonts w:ascii="Times New Roman" w:eastAsia="Times New Roman" w:hAnsi="Times New Roman" w:cs="Times New Roman"/>
            <w:color w:val="0000FF"/>
            <w:kern w:val="0"/>
            <w:sz w:val="24"/>
            <w:szCs w:val="24"/>
            <w:u w:val="single"/>
            <w:lang w:val="uk-UA" w:eastAsia="uk-UA"/>
            <w14:ligatures w14:val="none"/>
          </w:rPr>
          <w:t>https://connections-qj.org/system/files/21.3.41_Ukraine_PME_in_Ukrainian.pdf</w:t>
        </w:r>
      </w:hyperlink>
      <w:r w:rsidRPr="00B44B71">
        <w:rPr>
          <w:rFonts w:ascii="Times New Roman" w:eastAsia="Times New Roman" w:hAnsi="Times New Roman" w:cs="Times New Roman"/>
          <w:kern w:val="0"/>
          <w:sz w:val="24"/>
          <w:szCs w:val="24"/>
          <w:lang w:eastAsia="uk-UA"/>
          <w14:ligatures w14:val="none"/>
        </w:rPr>
        <w:t>.</w:t>
      </w:r>
    </w:p>
    <w:p w14:paraId="77DDF642"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t xml:space="preserve">Sobchenko, T., Vasylieva, S. (2024). Suchasni vymohy do pidhotovky viyskovykh fakhivtsiv u konteksti transformatsiyi viyskovoyi osvity [Modern requirements for the training of military </w:t>
      </w:r>
      <w:r w:rsidRPr="00B44B71">
        <w:rPr>
          <w:rFonts w:ascii="Times New Roman" w:eastAsia="Times New Roman" w:hAnsi="Times New Roman" w:cs="Times New Roman"/>
          <w:kern w:val="0"/>
          <w:sz w:val="24"/>
          <w:szCs w:val="24"/>
          <w:lang w:eastAsia="uk-UA"/>
          <w14:ligatures w14:val="none"/>
        </w:rPr>
        <w:lastRenderedPageBreak/>
        <w:t xml:space="preserve">specialists in the context of transformation of military education]. </w:t>
      </w:r>
      <w:r w:rsidRPr="00B44B71">
        <w:rPr>
          <w:rFonts w:ascii="Times New Roman" w:eastAsia="Times New Roman" w:hAnsi="Times New Roman" w:cs="Times New Roman"/>
          <w:iCs/>
          <w:kern w:val="0"/>
          <w:sz w:val="24"/>
          <w:szCs w:val="24"/>
          <w:lang w:eastAsia="uk-UA"/>
          <w14:ligatures w14:val="none"/>
        </w:rPr>
        <w:t>Education and Development of Gifted Personality</w:t>
      </w:r>
      <w:r w:rsidRPr="00B44B71">
        <w:rPr>
          <w:rFonts w:ascii="Times New Roman" w:eastAsia="Times New Roman" w:hAnsi="Times New Roman" w:cs="Times New Roman"/>
          <w:kern w:val="0"/>
          <w:sz w:val="24"/>
          <w:szCs w:val="24"/>
          <w:lang w:eastAsia="uk-UA"/>
          <w14:ligatures w14:val="none"/>
        </w:rPr>
        <w:t xml:space="preserve">, 4(95). DOI: </w:t>
      </w:r>
      <w:hyperlink r:id="rId259" w:history="1">
        <w:r w:rsidRPr="00B44B71">
          <w:rPr>
            <w:rFonts w:ascii="Times New Roman" w:eastAsia="Times New Roman" w:hAnsi="Times New Roman" w:cs="Times New Roman"/>
            <w:color w:val="0000FF"/>
            <w:kern w:val="0"/>
            <w:sz w:val="24"/>
            <w:szCs w:val="24"/>
            <w:u w:val="single"/>
            <w:lang w:val="uk-UA" w:eastAsia="uk-UA"/>
            <w14:ligatures w14:val="none"/>
          </w:rPr>
          <w:t>https://doi.org/10.32405/2309-3935-2024-4(95)-65-69</w:t>
        </w:r>
      </w:hyperlink>
      <w:r w:rsidRPr="00B44B71">
        <w:rPr>
          <w:rFonts w:ascii="Times New Roman" w:eastAsia="Times New Roman" w:hAnsi="Times New Roman" w:cs="Times New Roman"/>
          <w:kern w:val="0"/>
          <w:sz w:val="24"/>
          <w:szCs w:val="24"/>
          <w:lang w:eastAsia="uk-UA"/>
          <w14:ligatures w14:val="none"/>
        </w:rPr>
        <w:t>.</w:t>
      </w:r>
    </w:p>
    <w:p w14:paraId="193D32E5"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t xml:space="preserve">Suslov, V. (2025). Intehrovane vprovadzhennya CLIL i TBLT u pidhotovtsi viyskovykh fakhivtsiv: zakordonnyy dosvid ta mozhlyvosti dlya natsionalnoyi viyskovoyi osvity [Integrated implementation of CLIL and TBLT in the training of military professionals: international experience and prospects for national military education]. </w:t>
      </w:r>
      <w:r w:rsidRPr="00B44B71">
        <w:rPr>
          <w:rFonts w:ascii="Times New Roman" w:eastAsia="Times New Roman" w:hAnsi="Times New Roman" w:cs="Times New Roman"/>
          <w:iCs/>
          <w:kern w:val="0"/>
          <w:sz w:val="24"/>
          <w:szCs w:val="24"/>
          <w:lang w:eastAsia="uk-UA"/>
          <w14:ligatures w14:val="none"/>
        </w:rPr>
        <w:t>Military education,</w:t>
      </w:r>
      <w:r w:rsidRPr="00B44B71">
        <w:rPr>
          <w:rFonts w:ascii="Times New Roman" w:eastAsia="Times New Roman" w:hAnsi="Times New Roman" w:cs="Times New Roman"/>
          <w:kern w:val="0"/>
          <w:sz w:val="24"/>
          <w:szCs w:val="24"/>
          <w:lang w:eastAsia="uk-UA"/>
          <w14:ligatures w14:val="none"/>
        </w:rPr>
        <w:t xml:space="preserve"> 1(51). 196–210. DOI: </w:t>
      </w:r>
      <w:hyperlink r:id="rId260" w:history="1">
        <w:r w:rsidRPr="00B44B71">
          <w:rPr>
            <w:rFonts w:ascii="Times New Roman" w:eastAsia="Times New Roman" w:hAnsi="Times New Roman" w:cs="Times New Roman"/>
            <w:color w:val="0000FF"/>
            <w:kern w:val="0"/>
            <w:sz w:val="24"/>
            <w:szCs w:val="24"/>
            <w:u w:val="single"/>
            <w:lang w:val="uk-UA" w:eastAsia="uk-UA"/>
            <w14:ligatures w14:val="none"/>
          </w:rPr>
          <w:t>https://doi.org/10.33099/2617-1783/2025-51/196-210</w:t>
        </w:r>
      </w:hyperlink>
      <w:bookmarkStart w:id="36" w:name="_Hlk221608304"/>
      <w:r w:rsidRPr="00B44B71">
        <w:rPr>
          <w:rFonts w:ascii="Times New Roman" w:eastAsia="Times New Roman" w:hAnsi="Times New Roman" w:cs="Times New Roman"/>
          <w:kern w:val="0"/>
          <w:sz w:val="24"/>
          <w:szCs w:val="24"/>
          <w:lang w:eastAsia="uk-UA"/>
          <w14:ligatures w14:val="none"/>
        </w:rPr>
        <w:t>.</w:t>
      </w:r>
    </w:p>
    <w:bookmarkEnd w:id="36"/>
    <w:p w14:paraId="5BD64AD7"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t xml:space="preserve">Suslov, V., Tsurlui, I. (2023). The CLIL method: a promising approach to teaching English to military cadets. Spilni dii viiskovykh formuvan i pravookhoronnykh orhaniv derzhavy: problemy ta shliakhy vyrishennia v umovakh voiennoho stanu [Joint actions of military formations and law enforcement agencies of the state: Problems and ways of solution under martial law]. </w:t>
      </w:r>
      <w:r w:rsidRPr="00B44B71">
        <w:rPr>
          <w:rFonts w:ascii="Times New Roman" w:eastAsia="Times New Roman" w:hAnsi="Times New Roman" w:cs="Times New Roman"/>
          <w:iCs/>
          <w:kern w:val="0"/>
          <w:sz w:val="24"/>
          <w:szCs w:val="24"/>
          <w:lang w:eastAsia="uk-UA"/>
          <w14:ligatures w14:val="none"/>
        </w:rPr>
        <w:t>Military academy (Odesa)</w:t>
      </w:r>
      <w:r w:rsidRPr="00B44B71">
        <w:rPr>
          <w:rFonts w:ascii="Times New Roman" w:eastAsia="Times New Roman" w:hAnsi="Times New Roman" w:cs="Times New Roman"/>
          <w:kern w:val="0"/>
          <w:sz w:val="24"/>
          <w:szCs w:val="24"/>
          <w:lang w:eastAsia="uk-UA"/>
          <w14:ligatures w14:val="none"/>
        </w:rPr>
        <w:t xml:space="preserve">, 266–267. DOI: </w:t>
      </w:r>
      <w:hyperlink r:id="rId261">
        <w:r w:rsidRPr="00B44B71">
          <w:rPr>
            <w:rFonts w:ascii="Times New Roman" w:eastAsia="Times New Roman" w:hAnsi="Times New Roman" w:cs="Times New Roman"/>
            <w:color w:val="0000FF"/>
            <w:kern w:val="0"/>
            <w:sz w:val="24"/>
            <w:szCs w:val="24"/>
            <w:u w:val="single"/>
            <w:lang w:val="uk-UA" w:eastAsia="uk-UA"/>
            <w14:ligatures w14:val="none"/>
          </w:rPr>
          <w:t>https://doi.org/10.5281/zenodo.15318764</w:t>
        </w:r>
      </w:hyperlink>
      <w:r w:rsidRPr="00B44B71">
        <w:rPr>
          <w:rFonts w:ascii="Times New Roman" w:eastAsia="Times New Roman" w:hAnsi="Times New Roman" w:cs="Times New Roman"/>
          <w:kern w:val="0"/>
          <w:sz w:val="24"/>
          <w:szCs w:val="24"/>
          <w:lang w:eastAsia="uk-UA"/>
          <w14:ligatures w14:val="none"/>
        </w:rPr>
        <w:t>.</w:t>
      </w:r>
    </w:p>
    <w:p w14:paraId="4701F72B"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t xml:space="preserve">Tarasenkova, N., Akulenko, I., Kulish, I., Nekoz, I. (2021). Problemy ta vyklyky vprovadzhennya CLIL u vyshchiy osviti: pohlyady vykladachiv u ukrayinskomu konteksti [The issues and challenges of CLIL implementation in higher education: teachers’ beliefs in the Ukrainian context]. </w:t>
      </w:r>
      <w:r w:rsidRPr="00B44B71">
        <w:rPr>
          <w:rFonts w:ascii="Times New Roman" w:eastAsia="Times New Roman" w:hAnsi="Times New Roman" w:cs="Times New Roman"/>
          <w:i/>
          <w:iCs/>
          <w:kern w:val="0"/>
          <w:sz w:val="24"/>
          <w:szCs w:val="24"/>
          <w:lang w:eastAsia="uk-UA"/>
          <w14:ligatures w14:val="none"/>
        </w:rPr>
        <w:t>Journal for Educators, Teachers and Trainers,</w:t>
      </w:r>
      <w:r w:rsidRPr="00B44B71">
        <w:rPr>
          <w:rFonts w:ascii="Times New Roman" w:eastAsia="Times New Roman" w:hAnsi="Times New Roman" w:cs="Times New Roman"/>
          <w:kern w:val="0"/>
          <w:sz w:val="24"/>
          <w:szCs w:val="24"/>
          <w:lang w:eastAsia="uk-UA"/>
          <w14:ligatures w14:val="none"/>
        </w:rPr>
        <w:t xml:space="preserve"> Vol. 13(1). 249–261. DOI: </w:t>
      </w:r>
      <w:hyperlink r:id="rId262" w:history="1">
        <w:r w:rsidRPr="00B44B71">
          <w:rPr>
            <w:rFonts w:ascii="Times New Roman" w:eastAsia="Times New Roman" w:hAnsi="Times New Roman" w:cs="Times New Roman"/>
            <w:color w:val="0000FF"/>
            <w:kern w:val="0"/>
            <w:sz w:val="24"/>
            <w:szCs w:val="24"/>
            <w:u w:val="single"/>
            <w:lang w:val="uk-UA" w:eastAsia="uk-UA"/>
            <w14:ligatures w14:val="none"/>
          </w:rPr>
          <w:t>https://doi.org/10.47750/jett.2022.13.01.027</w:t>
        </w:r>
      </w:hyperlink>
      <w:r w:rsidRPr="00B44B71">
        <w:rPr>
          <w:rFonts w:ascii="Times New Roman" w:eastAsia="Times New Roman" w:hAnsi="Times New Roman" w:cs="Times New Roman"/>
          <w:kern w:val="0"/>
          <w:sz w:val="24"/>
          <w:szCs w:val="24"/>
          <w:lang w:eastAsia="uk-UA"/>
          <w14:ligatures w14:val="none"/>
        </w:rPr>
        <w:t>.</w:t>
      </w:r>
    </w:p>
    <w:p w14:paraId="3173F707"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t>Ukrainian Military Pages. (2020). Zamist «akademii» 6-misiachni kursy liderstva za zrazkom NATO [Instead of an “academy” 6-month leadership courses based on the NATO model]. Retrieved from: </w:t>
      </w:r>
      <w:hyperlink r:id="rId263" w:history="1">
        <w:r w:rsidRPr="00B44B71">
          <w:rPr>
            <w:rFonts w:ascii="Times New Roman" w:eastAsia="Times New Roman" w:hAnsi="Times New Roman" w:cs="Times New Roman"/>
            <w:color w:val="0000FF"/>
            <w:kern w:val="0"/>
            <w:sz w:val="24"/>
            <w:szCs w:val="24"/>
            <w:u w:val="single"/>
            <w:lang w:val="uk-UA" w:eastAsia="uk-UA"/>
            <w14:ligatures w14:val="none"/>
          </w:rPr>
          <w:t>https://www.ukrmilitary.com/2020/01/osvita.html</w:t>
        </w:r>
      </w:hyperlink>
      <w:r w:rsidRPr="00B44B71">
        <w:rPr>
          <w:rFonts w:ascii="Times New Roman" w:eastAsia="Times New Roman" w:hAnsi="Times New Roman" w:cs="Times New Roman"/>
          <w:color w:val="0000FF"/>
          <w:kern w:val="0"/>
          <w:sz w:val="24"/>
          <w:szCs w:val="24"/>
          <w:lang w:val="uk-UA" w:eastAsia="uk-UA"/>
          <w14:ligatures w14:val="none"/>
        </w:rPr>
        <w:t xml:space="preserve"> </w:t>
      </w:r>
      <w:r w:rsidRPr="00B44B71">
        <w:rPr>
          <w:rFonts w:ascii="Times New Roman" w:eastAsia="Times New Roman" w:hAnsi="Times New Roman" w:cs="Times New Roman"/>
          <w:kern w:val="0"/>
          <w:sz w:val="24"/>
          <w:szCs w:val="24"/>
          <w:lang w:eastAsia="uk-UA"/>
          <w14:ligatures w14:val="none"/>
        </w:rPr>
        <w:t>[in Ukrainian].</w:t>
      </w:r>
    </w:p>
    <w:p w14:paraId="48D8892E"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t xml:space="preserve">Ukrinform. (2023). U mezhakh prohramy DEEP za standartamy NATO proishly pidhotovku ponad 12 tysiach ukraintsiv [As part of the DEEP program under NATO standards, over 12,000 Ukrainians have been trained]. Retrieved </w:t>
      </w:r>
      <w:r w:rsidRPr="00B44B71">
        <w:rPr>
          <w:rFonts w:ascii="Times New Roman" w:eastAsia="Times New Roman" w:hAnsi="Times New Roman" w:cs="Times New Roman"/>
          <w:color w:val="0000FF"/>
          <w:kern w:val="0"/>
          <w:sz w:val="24"/>
          <w:szCs w:val="24"/>
          <w:u w:val="single"/>
          <w:lang w:val="uk-UA" w:eastAsia="uk-UA"/>
          <w14:ligatures w14:val="none"/>
        </w:rPr>
        <w:t>from: </w:t>
      </w:r>
      <w:hyperlink r:id="rId264" w:history="1">
        <w:r w:rsidRPr="00B44B71">
          <w:rPr>
            <w:rFonts w:ascii="Times New Roman" w:eastAsia="Times New Roman" w:hAnsi="Times New Roman" w:cs="Times New Roman"/>
            <w:color w:val="0000FF"/>
            <w:kern w:val="0"/>
            <w:sz w:val="24"/>
            <w:szCs w:val="24"/>
            <w:u w:val="single"/>
            <w:lang w:eastAsia="uk-UA"/>
            <w14:ligatures w14:val="none"/>
          </w:rPr>
          <w:t>https://www.ukrinform.ua/rubric-ato/3787425-u-mezah-programi-deep-za-standartami-nato-projsli-pidgotovku-12-tisac-ukrainskih-vijskovih.html</w:t>
        </w:r>
      </w:hyperlink>
      <w:r w:rsidRPr="00B44B71">
        <w:rPr>
          <w:rFonts w:ascii="Times New Roman" w:eastAsia="Times New Roman" w:hAnsi="Times New Roman" w:cs="Times New Roman"/>
          <w:kern w:val="0"/>
          <w:sz w:val="24"/>
          <w:szCs w:val="24"/>
          <w:lang w:eastAsia="uk-UA"/>
          <w14:ligatures w14:val="none"/>
        </w:rPr>
        <w:t xml:space="preserve"> [in Ukrainian].</w:t>
      </w:r>
    </w:p>
    <w:p w14:paraId="3613880C"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bookmarkStart w:id="37" w:name="_Hlk221611802"/>
      <w:r w:rsidRPr="00B44B71">
        <w:rPr>
          <w:rFonts w:ascii="Times New Roman" w:eastAsia="Times New Roman" w:hAnsi="Times New Roman" w:cs="Times New Roman"/>
          <w:kern w:val="0"/>
          <w:sz w:val="24"/>
          <w:szCs w:val="24"/>
          <w:lang w:eastAsia="uk-UA"/>
          <w14:ligatures w14:val="none"/>
        </w:rPr>
        <w:t>Ukrinform</w:t>
      </w:r>
      <w:bookmarkEnd w:id="37"/>
      <w:r w:rsidRPr="00B44B71">
        <w:rPr>
          <w:rFonts w:ascii="Times New Roman" w:eastAsia="Times New Roman" w:hAnsi="Times New Roman" w:cs="Times New Roman"/>
          <w:kern w:val="0"/>
          <w:sz w:val="24"/>
          <w:szCs w:val="24"/>
          <w:lang w:eastAsia="uk-UA"/>
          <w14:ligatures w14:val="none"/>
        </w:rPr>
        <w:t>. (2024). Standarty NATO: bezperervna osvita vid leytenantiv do heneraliv [NATO Standards: Continuous Education from Lieutenants to Generals]. Retrieved from: </w:t>
      </w:r>
      <w:hyperlink r:id="rId265" w:history="1">
        <w:r w:rsidRPr="00B44B71">
          <w:rPr>
            <w:rFonts w:ascii="Times New Roman" w:eastAsia="Times New Roman" w:hAnsi="Times New Roman" w:cs="Times New Roman"/>
            <w:color w:val="0000FF"/>
            <w:kern w:val="0"/>
            <w:sz w:val="24"/>
            <w:szCs w:val="24"/>
            <w:u w:val="single"/>
            <w:lang w:eastAsia="uk-UA"/>
            <w14:ligatures w14:val="none"/>
          </w:rPr>
          <w:t>https://www.ukrinform.ua/rubric-ato/3816702-standarti-nato-bezperervna-osvita-vid-lejtenantiv-do-generaliv.html</w:t>
        </w:r>
      </w:hyperlink>
      <w:r w:rsidRPr="00B44B71">
        <w:rPr>
          <w:rFonts w:ascii="Times New Roman" w:eastAsia="Times New Roman" w:hAnsi="Times New Roman" w:cs="Times New Roman"/>
          <w:kern w:val="0"/>
          <w:sz w:val="24"/>
          <w:szCs w:val="24"/>
          <w:lang w:eastAsia="uk-UA"/>
          <w14:ligatures w14:val="none"/>
        </w:rPr>
        <w:t xml:space="preserve"> [in Ukrainian].</w:t>
      </w:r>
    </w:p>
    <w:p w14:paraId="26570223"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bookmarkStart w:id="38" w:name="_Hlk221609904"/>
      <w:r w:rsidRPr="00B44B71">
        <w:rPr>
          <w:rFonts w:ascii="Times New Roman" w:eastAsia="Times New Roman" w:hAnsi="Times New Roman" w:cs="Times New Roman"/>
          <w:kern w:val="0"/>
          <w:sz w:val="24"/>
          <w:szCs w:val="24"/>
          <w:lang w:eastAsia="uk-UA"/>
          <w14:ligatures w14:val="none"/>
        </w:rPr>
        <w:t>Verkhovna Rada of Ukraine</w:t>
      </w:r>
      <w:bookmarkEnd w:id="38"/>
      <w:r w:rsidRPr="00B44B71">
        <w:rPr>
          <w:rFonts w:ascii="Times New Roman" w:eastAsia="Times New Roman" w:hAnsi="Times New Roman" w:cs="Times New Roman"/>
          <w:kern w:val="0"/>
          <w:sz w:val="24"/>
          <w:szCs w:val="24"/>
          <w:lang w:eastAsia="uk-UA"/>
          <w14:ligatures w14:val="none"/>
        </w:rPr>
        <w:t xml:space="preserve">. (2019). Pro vnesennia zmin do deiakykh zakonodavchykh aktiv Ukrainy shchodo vykonannia viiskovoho oboviazku ta prokhodzhennia viiskovoi sluzhby [On amendments to certain legislative acts of Ukraine regarding the performance of military duty and military service]. Retrieved from: </w:t>
      </w:r>
      <w:r w:rsidRPr="00B44B71">
        <w:rPr>
          <w:rFonts w:ascii="Times New Roman" w:eastAsia="Times New Roman" w:hAnsi="Times New Roman" w:cs="Times New Roman"/>
          <w:color w:val="0000FF"/>
          <w:kern w:val="0"/>
          <w:sz w:val="24"/>
          <w:szCs w:val="24"/>
          <w:u w:val="single"/>
          <w:lang w:eastAsia="uk-UA"/>
          <w14:ligatures w14:val="none"/>
        </w:rPr>
        <w:t>https://zakon.rada.gov.ua/laws/show/205-20</w:t>
      </w:r>
      <w:r w:rsidRPr="00B44B71">
        <w:rPr>
          <w:rFonts w:ascii="Times New Roman" w:eastAsia="Times New Roman" w:hAnsi="Times New Roman" w:cs="Times New Roman"/>
          <w:kern w:val="0"/>
          <w:sz w:val="24"/>
          <w:szCs w:val="24"/>
          <w:lang w:eastAsia="uk-UA"/>
          <w14:ligatures w14:val="none"/>
        </w:rPr>
        <w:t xml:space="preserve"> [in Ukrainian].</w:t>
      </w:r>
    </w:p>
    <w:p w14:paraId="72F9C105"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eastAsia="uk-UA"/>
          <w14:ligatures w14:val="none"/>
        </w:rPr>
      </w:pPr>
      <w:r w:rsidRPr="00B44B71">
        <w:rPr>
          <w:rFonts w:ascii="Times New Roman" w:eastAsia="Times New Roman" w:hAnsi="Times New Roman" w:cs="Times New Roman"/>
          <w:kern w:val="0"/>
          <w:sz w:val="24"/>
          <w:szCs w:val="24"/>
          <w:lang w:eastAsia="uk-UA"/>
          <w14:ligatures w14:val="none"/>
        </w:rPr>
        <w:t xml:space="preserve">Zabrodskyi, M., Watling, J., Danylyuk, O., Reynolds, N. (2022). Preliminary Lessons in Conventional Warfighting from Russia’s Invasion of Ukraine: February–July 2022. Royal United Services Institute (RUSI). Retrieved from: </w:t>
      </w:r>
      <w:hyperlink r:id="rId266" w:history="1">
        <w:r w:rsidRPr="00B44B71">
          <w:rPr>
            <w:rFonts w:ascii="Times New Roman" w:eastAsia="Times New Roman" w:hAnsi="Times New Roman" w:cs="Times New Roman"/>
            <w:color w:val="0000FF"/>
            <w:kern w:val="0"/>
            <w:sz w:val="24"/>
            <w:szCs w:val="24"/>
            <w:u w:val="single"/>
            <w:lang w:eastAsia="uk-UA"/>
            <w14:ligatures w14:val="none"/>
          </w:rPr>
          <w:t>https://static.rusi.org/359-SR-Ukraine-Preliminary-Lessons-Feb-July-2022-web-final.pdf</w:t>
        </w:r>
      </w:hyperlink>
      <w:r w:rsidRPr="00B44B71">
        <w:rPr>
          <w:rFonts w:ascii="Times New Roman" w:eastAsia="Times New Roman" w:hAnsi="Times New Roman" w:cs="Times New Roman"/>
          <w:kern w:val="0"/>
          <w:sz w:val="24"/>
          <w:szCs w:val="24"/>
          <w:lang w:eastAsia="uk-UA"/>
          <w14:ligatures w14:val="none"/>
        </w:rPr>
        <w:t>.</w:t>
      </w:r>
    </w:p>
    <w:p w14:paraId="726EC184"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val="uk-UA" w:eastAsia="uk-UA"/>
          <w14:ligatures w14:val="none"/>
        </w:rPr>
      </w:pPr>
      <w:r w:rsidRPr="00B44B71">
        <w:rPr>
          <w:rFonts w:ascii="Times New Roman" w:eastAsia="Times New Roman" w:hAnsi="Times New Roman" w:cs="Times New Roman"/>
          <w:kern w:val="0"/>
          <w:sz w:val="24"/>
          <w:szCs w:val="24"/>
          <w:lang w:eastAsia="uk-UA"/>
          <w14:ligatures w14:val="none"/>
        </w:rPr>
        <w:t xml:space="preserve">Zelnytskyi, A., Zabolotnyi, O., Vasyliev, O., Palamar, M. (2020). Vyshcha viyskova osvita yak tsilisna systema: kontseptualni zasady yiyi rozvytku ta upravlinnya zminamy [Higher Military Education as an Integrated System: Conceptual Foundations of Its Development and Change Management]. </w:t>
      </w:r>
      <w:r w:rsidRPr="00B44B71">
        <w:rPr>
          <w:rFonts w:ascii="Times New Roman" w:eastAsia="Times New Roman" w:hAnsi="Times New Roman" w:cs="Times New Roman"/>
          <w:i/>
          <w:iCs/>
          <w:kern w:val="0"/>
          <w:sz w:val="24"/>
          <w:szCs w:val="24"/>
          <w:lang w:eastAsia="uk-UA"/>
          <w14:ligatures w14:val="none"/>
        </w:rPr>
        <w:t>Science and Defense</w:t>
      </w:r>
      <w:r w:rsidRPr="00B44B71">
        <w:rPr>
          <w:rFonts w:ascii="Times New Roman" w:eastAsia="Times New Roman" w:hAnsi="Times New Roman" w:cs="Times New Roman"/>
          <w:kern w:val="0"/>
          <w:sz w:val="24"/>
          <w:szCs w:val="24"/>
          <w:lang w:eastAsia="uk-UA"/>
          <w14:ligatures w14:val="none"/>
        </w:rPr>
        <w:t>, №3. DOI</w:t>
      </w:r>
      <w:r w:rsidRPr="00B44B71">
        <w:rPr>
          <w:rFonts w:ascii="Times New Roman" w:eastAsia="Times New Roman" w:hAnsi="Times New Roman" w:cs="Times New Roman"/>
          <w:kern w:val="0"/>
          <w:sz w:val="24"/>
          <w:szCs w:val="24"/>
          <w:lang w:val="uk-UA" w:eastAsia="uk-UA"/>
          <w14:ligatures w14:val="none"/>
        </w:rPr>
        <w:t>:</w:t>
      </w:r>
      <w:r w:rsidRPr="00B44B71">
        <w:rPr>
          <w:rFonts w:ascii="Times New Roman" w:eastAsia="Times New Roman" w:hAnsi="Times New Roman" w:cs="Times New Roman"/>
          <w:kern w:val="0"/>
          <w:sz w:val="24"/>
          <w:szCs w:val="24"/>
          <w:lang w:eastAsia="uk-UA"/>
          <w14:ligatures w14:val="none"/>
        </w:rPr>
        <w:t xml:space="preserve"> </w:t>
      </w:r>
      <w:r w:rsidRPr="00B44B71">
        <w:rPr>
          <w:rFonts w:ascii="Times New Roman" w:eastAsia="Times New Roman" w:hAnsi="Times New Roman" w:cs="Times New Roman"/>
          <w:color w:val="0000FF"/>
          <w:kern w:val="0"/>
          <w:sz w:val="24"/>
          <w:szCs w:val="24"/>
          <w:u w:val="single"/>
          <w:lang w:eastAsia="uk-UA"/>
          <w14:ligatures w14:val="none"/>
        </w:rPr>
        <w:t>10.33099/2618-1614-2020-12-3-46-55</w:t>
      </w:r>
      <w:r w:rsidRPr="00B44B71">
        <w:rPr>
          <w:rFonts w:ascii="Times New Roman" w:eastAsia="Times New Roman" w:hAnsi="Times New Roman" w:cs="Times New Roman"/>
          <w:kern w:val="0"/>
          <w:sz w:val="24"/>
          <w:szCs w:val="24"/>
          <w:lang w:eastAsia="uk-UA"/>
          <w14:ligatures w14:val="none"/>
        </w:rPr>
        <w:t>.</w:t>
      </w:r>
    </w:p>
    <w:p w14:paraId="1E02E9F4" w14:textId="77777777" w:rsidR="00B44B71" w:rsidRPr="00B44B71" w:rsidRDefault="00B44B71" w:rsidP="00023291">
      <w:pPr>
        <w:tabs>
          <w:tab w:val="left" w:pos="9638"/>
        </w:tabs>
        <w:suppressAutoHyphens/>
        <w:spacing w:after="0" w:line="240" w:lineRule="auto"/>
        <w:ind w:firstLine="709"/>
        <w:jc w:val="both"/>
        <w:rPr>
          <w:rFonts w:ascii="Times New Roman" w:eastAsia="Times New Roman" w:hAnsi="Times New Roman" w:cs="Times New Roman"/>
          <w:kern w:val="0"/>
          <w:sz w:val="24"/>
          <w:szCs w:val="24"/>
          <w:lang w:val="uk-UA" w:eastAsia="uk-UA"/>
          <w14:ligatures w14:val="none"/>
        </w:rPr>
      </w:pPr>
    </w:p>
    <w:bookmarkEnd w:id="31"/>
    <w:p w14:paraId="70D5F900"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надійшов до редакції 14.03.2026</w:t>
      </w:r>
    </w:p>
    <w:p w14:paraId="5BBE5A27"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прийнято до друку після рецензування 28.03.2026</w:t>
      </w:r>
    </w:p>
    <w:p w14:paraId="30956C66"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Дата публікації 25.05.2026</w:t>
      </w:r>
    </w:p>
    <w:p w14:paraId="6F6C63E9"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p>
    <w:p w14:paraId="2C41E033"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p>
    <w:p w14:paraId="7642D66C"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p>
    <w:p w14:paraId="199142CB" w14:textId="45E5700B" w:rsidR="001D6A3C" w:rsidRPr="00891EE1" w:rsidRDefault="00891EE1" w:rsidP="00891EE1">
      <w:pPr>
        <w:tabs>
          <w:tab w:val="left" w:pos="9638"/>
        </w:tabs>
        <w:spacing w:after="120" w:line="240" w:lineRule="auto"/>
        <w:rPr>
          <w:rFonts w:ascii="Times New Roman" w:eastAsia="Times New Roman" w:hAnsi="Times New Roman" w:cs="Times New Roman"/>
          <w:b/>
          <w:bCs/>
          <w:kern w:val="0"/>
          <w:sz w:val="24"/>
          <w:szCs w:val="24"/>
          <w:lang w:val="uk-UA" w:eastAsia="ru-RU"/>
          <w14:ligatures w14:val="none"/>
        </w:rPr>
      </w:pPr>
      <w:r>
        <w:rPr>
          <w:rFonts w:ascii="Times New Roman" w:eastAsia="Times New Roman" w:hAnsi="Times New Roman" w:cs="Times New Roman"/>
          <w:b/>
          <w:bCs/>
          <w:kern w:val="0"/>
          <w:sz w:val="24"/>
          <w:szCs w:val="24"/>
          <w:lang w:val="uk-UA" w:eastAsia="ru-RU"/>
          <w14:ligatures w14:val="none"/>
        </w:rPr>
        <w:br w:type="column"/>
      </w:r>
      <w:r w:rsidR="001D6A3C" w:rsidRPr="00B44B71">
        <w:rPr>
          <w:rFonts w:ascii="Times New Roman" w:eastAsia="Times New Roman" w:hAnsi="Times New Roman" w:cs="Times New Roman"/>
          <w:kern w:val="0"/>
          <w:sz w:val="23"/>
          <w:szCs w:val="23"/>
          <w:lang w:val="uk-UA" w:eastAsia="ru-RU"/>
          <w14:ligatures w14:val="none"/>
        </w:rPr>
        <w:lastRenderedPageBreak/>
        <w:t>ISSN:2617-1775</w:t>
      </w:r>
      <w:r w:rsidR="001D6A3C" w:rsidRPr="00E4040F">
        <w:rPr>
          <w:rFonts w:ascii="Times New Roman" w:eastAsia="Calibri" w:hAnsi="Times New Roman" w:cs="Times New Roman"/>
          <w:b/>
          <w:kern w:val="0"/>
          <w:sz w:val="24"/>
          <w:szCs w:val="24"/>
          <w:lang w:val="uk-UA"/>
          <w14:ligatures w14:val="none"/>
        </w:rPr>
        <w:t xml:space="preserve"> </w:t>
      </w:r>
      <w:r w:rsidR="001D6A3C" w:rsidRPr="00443B42">
        <w:rPr>
          <w:rFonts w:ascii="Times New Roman" w:eastAsia="Calibri" w:hAnsi="Times New Roman" w:cs="Times New Roman"/>
          <w:b/>
          <w:kern w:val="0"/>
          <w:sz w:val="24"/>
          <w:szCs w:val="24"/>
          <w:lang w:val="uk-UA"/>
          <w14:ligatures w14:val="none"/>
        </w:rPr>
        <w:t xml:space="preserve">                                                               </w:t>
      </w:r>
      <w:r w:rsidR="001D6A3C">
        <w:rPr>
          <w:rFonts w:ascii="Times New Roman" w:eastAsia="Calibri" w:hAnsi="Times New Roman" w:cs="Times New Roman"/>
          <w:b/>
          <w:kern w:val="0"/>
          <w:sz w:val="24"/>
          <w:szCs w:val="24"/>
          <w:lang w:val="uk-UA"/>
          <w14:ligatures w14:val="none"/>
        </w:rPr>
        <w:t xml:space="preserve">   </w:t>
      </w:r>
      <w:r w:rsidR="00FD760F">
        <w:rPr>
          <w:rFonts w:ascii="Times New Roman" w:eastAsia="Calibri" w:hAnsi="Times New Roman" w:cs="Times New Roman"/>
          <w:b/>
          <w:kern w:val="0"/>
          <w:sz w:val="24"/>
          <w:szCs w:val="24"/>
          <w:lang w:val="uk-UA"/>
          <w14:ligatures w14:val="none"/>
        </w:rPr>
        <w:t xml:space="preserve">                              </w:t>
      </w:r>
      <w:r w:rsidR="001D6A3C" w:rsidRPr="00B44B71">
        <w:rPr>
          <w:rFonts w:ascii="Times New Roman" w:eastAsia="Times New Roman" w:hAnsi="Times New Roman" w:cs="Times New Roman"/>
          <w:b/>
          <w:bCs/>
          <w:kern w:val="0"/>
          <w:sz w:val="24"/>
          <w:szCs w:val="24"/>
          <w:lang w:val="uk-UA" w:eastAsia="ru-RU"/>
          <w14:ligatures w14:val="none"/>
        </w:rPr>
        <w:t>УДК 174.4:355.1(477)</w:t>
      </w:r>
      <w:r w:rsidR="001D6A3C">
        <w:rPr>
          <w:rFonts w:ascii="Times New Roman" w:eastAsia="Calibri" w:hAnsi="Times New Roman" w:cs="Times New Roman"/>
          <w:b/>
          <w:kern w:val="0"/>
          <w:sz w:val="24"/>
          <w:szCs w:val="24"/>
          <w:lang w:val="uk-UA"/>
          <w14:ligatures w14:val="none"/>
        </w:rPr>
        <w:t xml:space="preserve"> </w:t>
      </w:r>
    </w:p>
    <w:p w14:paraId="74BC17B8" w14:textId="6A716C2A" w:rsidR="001D6A3C" w:rsidRPr="00F96118" w:rsidRDefault="001D6A3C" w:rsidP="001D6A3C">
      <w:pPr>
        <w:tabs>
          <w:tab w:val="left" w:pos="9638"/>
        </w:tabs>
        <w:spacing w:after="0" w:line="240" w:lineRule="auto"/>
        <w:ind w:right="-1"/>
        <w:rPr>
          <w:rFonts w:ascii="Times New Roman" w:eastAsia="Times New Roman" w:hAnsi="Times New Roman" w:cs="Times New Roman"/>
          <w:color w:val="0563C1"/>
          <w:kern w:val="0"/>
          <w:sz w:val="24"/>
          <w:szCs w:val="24"/>
          <w:u w:val="single"/>
          <w:lang w:val="uk-UA"/>
          <w14:ligatures w14:val="none"/>
        </w:rPr>
      </w:pPr>
      <w:r w:rsidRPr="00B44B71">
        <w:rPr>
          <w:rFonts w:ascii="Times New Roman" w:eastAsia="Times New Roman" w:hAnsi="Times New Roman" w:cs="Times New Roman"/>
          <w:kern w:val="0"/>
          <w:sz w:val="23"/>
          <w:szCs w:val="23"/>
          <w:lang w:val="uk-UA" w:eastAsia="ru-RU"/>
          <w14:ligatures w14:val="none"/>
        </w:rPr>
        <w:t>ISSN: 2617-1783 (online)</w:t>
      </w:r>
      <w:r w:rsidRPr="00443B42">
        <w:rPr>
          <w:rFonts w:ascii="Times New Roman" w:eastAsia="Times New Roman" w:hAnsi="Times New Roman" w:cs="Times New Roman"/>
          <w:kern w:val="0"/>
          <w:sz w:val="23"/>
          <w:szCs w:val="23"/>
          <w:lang w:val="uk-UA" w:eastAsia="ru-RU"/>
          <w14:ligatures w14:val="none"/>
        </w:rPr>
        <w:t xml:space="preserve">                                             </w:t>
      </w:r>
      <w:r>
        <w:rPr>
          <w:rFonts w:ascii="Times New Roman" w:eastAsia="Times New Roman" w:hAnsi="Times New Roman" w:cs="Times New Roman"/>
          <w:kern w:val="0"/>
          <w:sz w:val="23"/>
          <w:szCs w:val="23"/>
          <w:lang w:val="uk-UA" w:eastAsia="ru-RU"/>
          <w14:ligatures w14:val="none"/>
        </w:rPr>
        <w:t xml:space="preserve">       </w:t>
      </w:r>
      <w:r w:rsidRPr="00F96118">
        <w:rPr>
          <w:rFonts w:ascii="Times New Roman" w:eastAsia="Times New Roman" w:hAnsi="Times New Roman" w:cs="Times New Roman"/>
          <w:bCs/>
          <w:smallCaps/>
          <w:color w:val="000000"/>
          <w:kern w:val="0"/>
          <w:sz w:val="24"/>
          <w:szCs w:val="24"/>
          <w:lang w:eastAsia="ru-RU"/>
          <w14:ligatures w14:val="none"/>
        </w:rPr>
        <w:t>DOI</w:t>
      </w:r>
      <w:r w:rsidRPr="00F96118">
        <w:rPr>
          <w:rFonts w:ascii="Times New Roman" w:eastAsia="Times New Roman" w:hAnsi="Times New Roman" w:cs="Times New Roman"/>
          <w:bCs/>
          <w:smallCaps/>
          <w:color w:val="000000"/>
          <w:kern w:val="0"/>
          <w:sz w:val="24"/>
          <w:szCs w:val="24"/>
          <w:lang w:val="uk-UA" w:eastAsia="ru-RU"/>
          <w14:ligatures w14:val="none"/>
        </w:rPr>
        <w:t>: 10.33099/2617-1775/202</w:t>
      </w:r>
      <w:r>
        <w:rPr>
          <w:rFonts w:ascii="Times New Roman" w:eastAsia="Times New Roman" w:hAnsi="Times New Roman" w:cs="Times New Roman"/>
          <w:bCs/>
          <w:smallCaps/>
          <w:color w:val="000000"/>
          <w:kern w:val="0"/>
          <w:sz w:val="24"/>
          <w:szCs w:val="24"/>
          <w:lang w:val="uk-UA" w:eastAsia="ru-RU"/>
          <w14:ligatures w14:val="none"/>
        </w:rPr>
        <w:t>6</w:t>
      </w:r>
      <w:r w:rsidRPr="00F96118">
        <w:rPr>
          <w:rFonts w:ascii="Times New Roman" w:eastAsia="Times New Roman" w:hAnsi="Times New Roman" w:cs="Times New Roman"/>
          <w:bCs/>
          <w:smallCaps/>
          <w:color w:val="000000"/>
          <w:kern w:val="0"/>
          <w:sz w:val="24"/>
          <w:szCs w:val="24"/>
          <w:lang w:val="uk-UA" w:eastAsia="ru-RU"/>
          <w14:ligatures w14:val="none"/>
        </w:rPr>
        <w:t>-0</w:t>
      </w:r>
      <w:r>
        <w:rPr>
          <w:rFonts w:ascii="Times New Roman" w:eastAsia="Times New Roman" w:hAnsi="Times New Roman" w:cs="Times New Roman"/>
          <w:bCs/>
          <w:smallCaps/>
          <w:color w:val="000000"/>
          <w:kern w:val="0"/>
          <w:sz w:val="24"/>
          <w:szCs w:val="24"/>
          <w:lang w:val="uk-UA" w:eastAsia="ru-RU"/>
          <w14:ligatures w14:val="none"/>
        </w:rPr>
        <w:t>1</w:t>
      </w:r>
      <w:r w:rsidRPr="00F96118">
        <w:rPr>
          <w:rFonts w:ascii="Times New Roman" w:eastAsia="Times New Roman" w:hAnsi="Times New Roman" w:cs="Times New Roman"/>
          <w:bCs/>
          <w:smallCaps/>
          <w:color w:val="000000"/>
          <w:kern w:val="0"/>
          <w:sz w:val="24"/>
          <w:szCs w:val="24"/>
          <w:lang w:val="uk-UA" w:eastAsia="ru-RU"/>
          <w14:ligatures w14:val="none"/>
        </w:rPr>
        <w:t>/</w:t>
      </w:r>
      <w:r w:rsidR="00FD760F">
        <w:rPr>
          <w:rFonts w:ascii="Times New Roman" w:eastAsia="Times New Roman" w:hAnsi="Times New Roman" w:cs="Times New Roman"/>
          <w:bCs/>
          <w:smallCaps/>
          <w:color w:val="000000"/>
          <w:kern w:val="0"/>
          <w:sz w:val="24"/>
          <w:szCs w:val="24"/>
          <w:lang w:val="uk-UA" w:eastAsia="ru-RU"/>
          <w14:ligatures w14:val="none"/>
        </w:rPr>
        <w:t>190-200</w:t>
      </w:r>
    </w:p>
    <w:p w14:paraId="6EE6F3F6" w14:textId="77777777" w:rsidR="001D6A3C" w:rsidRDefault="001D6A3C" w:rsidP="001D6A3C">
      <w:pPr>
        <w:tabs>
          <w:tab w:val="left" w:pos="9638"/>
        </w:tabs>
        <w:spacing w:after="0" w:line="240" w:lineRule="auto"/>
        <w:ind w:right="283" w:firstLine="709"/>
        <w:jc w:val="right"/>
        <w:rPr>
          <w:rFonts w:ascii="Times New Roman" w:eastAsia="Calibri" w:hAnsi="Times New Roman" w:cs="Times New Roman"/>
          <w:b/>
          <w:bCs/>
          <w:sz w:val="24"/>
          <w:szCs w:val="24"/>
          <w:lang w:val="uk-UA"/>
          <w14:ligatures w14:val="none"/>
        </w:rPr>
      </w:pPr>
    </w:p>
    <w:p w14:paraId="0B522BF4" w14:textId="77777777" w:rsidR="004A3571" w:rsidRDefault="004A3571" w:rsidP="00023291">
      <w:pPr>
        <w:tabs>
          <w:tab w:val="left" w:pos="9638"/>
        </w:tabs>
        <w:spacing w:after="0" w:line="240" w:lineRule="auto"/>
        <w:jc w:val="right"/>
        <w:rPr>
          <w:rFonts w:ascii="Times New Roman" w:eastAsia="Times New Roman" w:hAnsi="Times New Roman" w:cs="Times New Roman"/>
          <w:b/>
          <w:bCs/>
          <w:kern w:val="0"/>
          <w:sz w:val="24"/>
          <w:szCs w:val="24"/>
          <w:lang w:val="uk-UA" w:eastAsia="ru-RU"/>
          <w14:ligatures w14:val="none"/>
        </w:rPr>
      </w:pPr>
    </w:p>
    <w:p w14:paraId="6961ABB5" w14:textId="7520EDDD" w:rsidR="00B44B71" w:rsidRPr="00B44B71" w:rsidRDefault="00B44B71" w:rsidP="00023291">
      <w:pPr>
        <w:tabs>
          <w:tab w:val="left" w:pos="9638"/>
        </w:tabs>
        <w:spacing w:after="0" w:line="240" w:lineRule="auto"/>
        <w:jc w:val="right"/>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kern w:val="0"/>
          <w:sz w:val="24"/>
          <w:szCs w:val="24"/>
          <w:lang w:val="uk-UA" w:eastAsia="ru-RU"/>
          <w14:ligatures w14:val="none"/>
        </w:rPr>
        <w:t>Дмитро Кисленко,</w:t>
      </w:r>
      <w:r w:rsidRPr="00B44B71">
        <w:rPr>
          <w:rFonts w:ascii="Times New Roman" w:eastAsia="Times New Roman" w:hAnsi="Times New Roman" w:cs="Times New Roman"/>
          <w:kern w:val="0"/>
          <w:sz w:val="24"/>
          <w:szCs w:val="24"/>
          <w:lang w:val="uk-UA" w:eastAsia="ru-RU"/>
          <w14:ligatures w14:val="none"/>
        </w:rPr>
        <w:t xml:space="preserve"> </w:t>
      </w:r>
    </w:p>
    <w:p w14:paraId="63052601"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iCs/>
          <w:kern w:val="0"/>
          <w:sz w:val="24"/>
          <w:szCs w:val="24"/>
          <w:lang w:val="uk-UA" w:eastAsia="ru-RU"/>
          <w14:ligatures w14:val="none"/>
        </w:rPr>
      </w:pPr>
      <w:r w:rsidRPr="00B44B71">
        <w:rPr>
          <w:rFonts w:ascii="Times New Roman" w:eastAsia="Times New Roman" w:hAnsi="Times New Roman" w:cs="Times New Roman"/>
          <w:iCs/>
          <w:kern w:val="0"/>
          <w:sz w:val="24"/>
          <w:szCs w:val="24"/>
          <w:lang w:val="uk-UA" w:eastAsia="ru-RU"/>
          <w14:ligatures w14:val="none"/>
        </w:rPr>
        <w:t>доктор педагогічних наук, професор</w:t>
      </w:r>
    </w:p>
    <w:p w14:paraId="578FD9BD"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iCs/>
          <w:kern w:val="0"/>
          <w:sz w:val="24"/>
          <w:szCs w:val="24"/>
          <w:lang w:val="uk-UA" w:eastAsia="ru-RU"/>
          <w14:ligatures w14:val="none"/>
        </w:rPr>
      </w:pPr>
      <w:r w:rsidRPr="00B44B71">
        <w:rPr>
          <w:rFonts w:ascii="Times New Roman" w:eastAsia="Times New Roman" w:hAnsi="Times New Roman" w:cs="Times New Roman"/>
          <w:iCs/>
          <w:kern w:val="0"/>
          <w:sz w:val="24"/>
          <w:szCs w:val="24"/>
          <w:lang w:val="uk-UA" w:eastAsia="ru-RU"/>
          <w14:ligatures w14:val="none"/>
        </w:rPr>
        <w:t xml:space="preserve">Національний університет оборони України, м. Київ </w:t>
      </w:r>
    </w:p>
    <w:p w14:paraId="44A11EA5"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iCs/>
          <w:kern w:val="0"/>
          <w:sz w:val="24"/>
          <w:szCs w:val="24"/>
          <w:lang w:val="uk-UA" w:eastAsia="ru-RU"/>
          <w14:ligatures w14:val="none"/>
        </w:rPr>
        <w:t xml:space="preserve"> </w:t>
      </w:r>
      <w:hyperlink r:id="rId267" w:history="1">
        <w:r w:rsidRPr="00B44B71">
          <w:rPr>
            <w:rFonts w:ascii="Times New Roman" w:eastAsia="Times New Roman" w:hAnsi="Times New Roman" w:cs="Times New Roman"/>
            <w:kern w:val="0"/>
            <w:sz w:val="24"/>
            <w:szCs w:val="24"/>
            <w:u w:val="single"/>
            <w:lang w:val="uk-UA" w:eastAsia="ru-RU"/>
            <w14:ligatures w14:val="none"/>
          </w:rPr>
          <w:t>https://orcid.org/0000-0001-6929-4236</w:t>
        </w:r>
      </w:hyperlink>
      <w:r w:rsidRPr="00B44B71">
        <w:rPr>
          <w:rFonts w:ascii="Times New Roman" w:eastAsia="Times New Roman" w:hAnsi="Times New Roman" w:cs="Times New Roman"/>
          <w:kern w:val="0"/>
          <w:sz w:val="24"/>
          <w:szCs w:val="24"/>
          <w:lang w:val="uk-UA" w:eastAsia="ru-RU"/>
          <w14:ligatures w14:val="none"/>
        </w:rPr>
        <w:t xml:space="preserve"> </w:t>
      </w:r>
    </w:p>
    <w:p w14:paraId="74218ADC" w14:textId="18D05CEB" w:rsidR="00B44B71" w:rsidRPr="00B44B71" w:rsidRDefault="00B44B71" w:rsidP="00023291">
      <w:pPr>
        <w:tabs>
          <w:tab w:val="left" w:pos="9638"/>
        </w:tabs>
        <w:spacing w:after="0" w:line="240" w:lineRule="auto"/>
        <w:jc w:val="right"/>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kern w:val="0"/>
          <w:sz w:val="24"/>
          <w:szCs w:val="24"/>
          <w:lang w:val="uk-UA" w:eastAsia="ru-RU"/>
          <w14:ligatures w14:val="none"/>
        </w:rPr>
        <w:t>Віталій Поливанюк</w:t>
      </w:r>
      <w:r w:rsidR="00B15B58">
        <w:rPr>
          <w:rFonts w:ascii="Times New Roman" w:eastAsia="Times New Roman" w:hAnsi="Times New Roman" w:cs="Times New Roman"/>
          <w:b/>
          <w:bCs/>
          <w:kern w:val="0"/>
          <w:sz w:val="24"/>
          <w:szCs w:val="24"/>
          <w:lang w:val="uk-UA" w:eastAsia="ru-RU"/>
          <w14:ligatures w14:val="none"/>
        </w:rPr>
        <w:t>,</w:t>
      </w:r>
      <w:r w:rsidRPr="00B44B71">
        <w:rPr>
          <w:rFonts w:ascii="Times New Roman" w:eastAsia="Times New Roman" w:hAnsi="Times New Roman" w:cs="Times New Roman"/>
          <w:kern w:val="0"/>
          <w:sz w:val="24"/>
          <w:szCs w:val="24"/>
          <w:lang w:val="uk-UA" w:eastAsia="ru-RU"/>
          <w14:ligatures w14:val="none"/>
        </w:rPr>
        <w:t xml:space="preserve"> </w:t>
      </w:r>
    </w:p>
    <w:p w14:paraId="45D921D7"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доктор філософії </w:t>
      </w:r>
    </w:p>
    <w:p w14:paraId="35F42221"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iCs/>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Національний університет оборони України, </w:t>
      </w:r>
      <w:r w:rsidRPr="00B44B71">
        <w:rPr>
          <w:rFonts w:ascii="Times New Roman" w:eastAsia="Times New Roman" w:hAnsi="Times New Roman" w:cs="Times New Roman"/>
          <w:iCs/>
          <w:kern w:val="0"/>
          <w:sz w:val="24"/>
          <w:szCs w:val="24"/>
          <w:lang w:val="uk-UA" w:eastAsia="ru-RU"/>
          <w14:ligatures w14:val="none"/>
        </w:rPr>
        <w:t xml:space="preserve">м. Київ </w:t>
      </w:r>
    </w:p>
    <w:p w14:paraId="71CE0A7A"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iCs/>
          <w:kern w:val="0"/>
          <w:sz w:val="24"/>
          <w:szCs w:val="24"/>
          <w:lang w:val="uk-UA" w:eastAsia="ru-RU"/>
          <w14:ligatures w14:val="none"/>
        </w:rPr>
        <w:t xml:space="preserve"> </w:t>
      </w:r>
      <w:hyperlink r:id="rId268" w:history="1">
        <w:r w:rsidRPr="00B44B71">
          <w:rPr>
            <w:rFonts w:ascii="Times New Roman" w:eastAsia="Times New Roman" w:hAnsi="Times New Roman" w:cs="Times New Roman"/>
            <w:iCs/>
            <w:kern w:val="0"/>
            <w:sz w:val="24"/>
            <w:szCs w:val="24"/>
            <w:u w:val="single"/>
            <w:lang w:val="uk-UA" w:eastAsia="ru-RU"/>
            <w14:ligatures w14:val="none"/>
          </w:rPr>
          <w:t>https://orcid.org/</w:t>
        </w:r>
        <w:r w:rsidRPr="00B44B71">
          <w:rPr>
            <w:rFonts w:ascii="Times New Roman" w:eastAsia="Times New Roman" w:hAnsi="Times New Roman" w:cs="Times New Roman"/>
            <w:kern w:val="0"/>
            <w:sz w:val="24"/>
            <w:szCs w:val="24"/>
            <w:u w:val="single"/>
            <w:lang w:val="uk-UA" w:eastAsia="ru-RU"/>
            <w14:ligatures w14:val="none"/>
          </w:rPr>
          <w:t>0000-0002-4737-1218</w:t>
        </w:r>
      </w:hyperlink>
      <w:r w:rsidRPr="00B44B71">
        <w:rPr>
          <w:rFonts w:ascii="Times New Roman" w:eastAsia="Times New Roman" w:hAnsi="Times New Roman" w:cs="Times New Roman"/>
          <w:kern w:val="0"/>
          <w:sz w:val="24"/>
          <w:szCs w:val="24"/>
          <w:lang w:val="uk-UA" w:eastAsia="ru-RU"/>
          <w14:ligatures w14:val="none"/>
        </w:rPr>
        <w:t xml:space="preserve"> </w:t>
      </w:r>
    </w:p>
    <w:p w14:paraId="0874D6E5"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b/>
          <w:kern w:val="0"/>
          <w:sz w:val="24"/>
          <w:szCs w:val="24"/>
          <w:lang w:val="uk-UA" w:eastAsia="ru-RU"/>
          <w14:ligatures w14:val="none"/>
        </w:rPr>
      </w:pPr>
      <w:r w:rsidRPr="00B44B71">
        <w:rPr>
          <w:rFonts w:ascii="Times New Roman" w:eastAsia="Times New Roman" w:hAnsi="Times New Roman" w:cs="Times New Roman"/>
          <w:b/>
          <w:kern w:val="0"/>
          <w:sz w:val="24"/>
          <w:szCs w:val="24"/>
          <w:lang w:val="uk-UA" w:eastAsia="ru-RU"/>
          <w14:ligatures w14:val="none"/>
        </w:rPr>
        <w:t xml:space="preserve">Роман Шостак, </w:t>
      </w:r>
    </w:p>
    <w:p w14:paraId="0564CA50"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доктор філософії </w:t>
      </w:r>
    </w:p>
    <w:p w14:paraId="06B21E9B"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iCs/>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Національний університет оборони України,</w:t>
      </w:r>
      <w:r w:rsidRPr="00B44B71">
        <w:rPr>
          <w:rFonts w:ascii="Times New Roman" w:eastAsia="Times New Roman" w:hAnsi="Times New Roman" w:cs="Times New Roman"/>
          <w:iCs/>
          <w:kern w:val="0"/>
          <w:sz w:val="24"/>
          <w:szCs w:val="24"/>
          <w:lang w:val="uk-UA" w:eastAsia="ru-RU"/>
          <w14:ligatures w14:val="none"/>
        </w:rPr>
        <w:t xml:space="preserve"> м. Київ </w:t>
      </w:r>
    </w:p>
    <w:p w14:paraId="7A4CD4FB" w14:textId="77777777" w:rsidR="00B44B71" w:rsidRDefault="00B44B71" w:rsidP="00023291">
      <w:pPr>
        <w:tabs>
          <w:tab w:val="left" w:pos="9638"/>
        </w:tabs>
        <w:spacing w:after="0" w:line="240" w:lineRule="auto"/>
        <w:jc w:val="right"/>
        <w:rPr>
          <w:lang w:val="uk-UA"/>
        </w:rPr>
      </w:pPr>
      <w:r w:rsidRPr="00B44B71">
        <w:rPr>
          <w:rFonts w:ascii="Times New Roman" w:eastAsia="Times New Roman" w:hAnsi="Times New Roman" w:cs="Times New Roman"/>
          <w:b/>
          <w:kern w:val="0"/>
          <w:sz w:val="24"/>
          <w:szCs w:val="24"/>
          <w:lang w:val="uk-UA" w:eastAsia="ru-RU"/>
          <w14:ligatures w14:val="none"/>
        </w:rPr>
        <w:t xml:space="preserve"> </w:t>
      </w:r>
      <w:hyperlink r:id="rId269" w:history="1">
        <w:r w:rsidRPr="00B44B71">
          <w:rPr>
            <w:rFonts w:ascii="Times New Roman" w:eastAsia="Times New Roman" w:hAnsi="Times New Roman" w:cs="Times New Roman"/>
            <w:kern w:val="0"/>
            <w:sz w:val="24"/>
            <w:szCs w:val="24"/>
            <w:u w:val="single"/>
            <w:lang w:val="uk-UA" w:eastAsia="ru-RU"/>
            <w14:ligatures w14:val="none"/>
          </w:rPr>
          <w:t>https://orcid.org/0000-0002-3933-9912</w:t>
        </w:r>
      </w:hyperlink>
    </w:p>
    <w:p w14:paraId="0117C228" w14:textId="77777777" w:rsidR="004A3571" w:rsidRPr="00F96118" w:rsidRDefault="004A3571" w:rsidP="00023291">
      <w:pPr>
        <w:tabs>
          <w:tab w:val="left" w:pos="993"/>
          <w:tab w:val="left" w:pos="9638"/>
        </w:tabs>
        <w:spacing w:after="0" w:line="240" w:lineRule="auto"/>
        <w:jc w:val="right"/>
        <w:rPr>
          <w:rFonts w:ascii="Times New Roman" w:eastAsia="Calibri" w:hAnsi="Times New Roman" w:cs="Times New Roman"/>
          <w:kern w:val="0"/>
          <w:sz w:val="28"/>
          <w:szCs w:val="28"/>
          <w:lang w:val="uk-UA"/>
          <w14:ligatures w14:val="none"/>
        </w:rPr>
      </w:pPr>
    </w:p>
    <w:p w14:paraId="68DFD917" w14:textId="77777777" w:rsidR="00B44B71" w:rsidRPr="00B44B71" w:rsidRDefault="00B44B71" w:rsidP="00023291">
      <w:pPr>
        <w:tabs>
          <w:tab w:val="left" w:pos="9638"/>
        </w:tabs>
        <w:spacing w:before="120" w:after="240" w:line="240" w:lineRule="auto"/>
        <w:jc w:val="center"/>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kern w:val="0"/>
          <w:sz w:val="24"/>
          <w:szCs w:val="24"/>
          <w:lang w:val="uk-UA" w:eastAsia="ru-RU"/>
          <w14:ligatures w14:val="none"/>
        </w:rPr>
        <w:t>ПРОФЕСІЙНА ДОБРОЧЕСНІСТЬ ОФІЦЕРІВ ЯК ПЕДАГОГІЧНА ПРОБЛЕМА В УМОВАХ РЕФОРМУВАННЯ СИСТЕМИ ВІЙСЬКОВОЇ ОСВІТИ УКРАЇНИ</w:t>
      </w:r>
    </w:p>
    <w:p w14:paraId="6E982995"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i/>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Анотація.</w:t>
      </w:r>
      <w:r w:rsidRPr="00B44B71">
        <w:rPr>
          <w:rFonts w:ascii="Times New Roman" w:eastAsia="Times New Roman" w:hAnsi="Times New Roman" w:cs="Times New Roman"/>
          <w:i/>
          <w:kern w:val="0"/>
          <w:sz w:val="24"/>
          <w:szCs w:val="24"/>
          <w:lang w:val="uk-UA" w:eastAsia="ru-RU"/>
          <w14:ligatures w14:val="none"/>
        </w:rPr>
        <w:t xml:space="preserve"> Актуальність дослідження зумовлена стратегічним курсом України на набуття повноправного членства в НАТО та необхідністю реформування системи військової освіти відповідно до міжнародних стандартів. У цьому контексті особливого значення набуває формування доброчесності офіцерського корпусу як важливої передумови забезпечення взаємо сумісності Збройних Сил України зі структурами держав – членів Альянсу. Сучасні трансформаційні процеси у секторі безпеки і оборони потребують підготовки офіцерів нового типу, діяльність яких ґрунтується на принципах законності, відповідальності, професійної етики та дотримання демократичних цінностей. Формування професійної доброчесності розглядається як важливий складник професійної культури військовослужбовця та необхідна умова ефективного виконання службових обов’язків. </w:t>
      </w:r>
    </w:p>
    <w:p w14:paraId="5E803E5A"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i/>
          <w:kern w:val="0"/>
          <w:sz w:val="24"/>
          <w:szCs w:val="24"/>
          <w:lang w:val="uk-UA" w:eastAsia="ru-RU"/>
          <w14:ligatures w14:val="none"/>
        </w:rPr>
      </w:pPr>
      <w:r w:rsidRPr="00B44B71">
        <w:rPr>
          <w:rFonts w:ascii="Times New Roman" w:eastAsia="Times New Roman" w:hAnsi="Times New Roman" w:cs="Times New Roman"/>
          <w:i/>
          <w:kern w:val="0"/>
          <w:sz w:val="24"/>
          <w:szCs w:val="24"/>
          <w:lang w:val="uk-UA" w:eastAsia="ru-RU"/>
          <w14:ligatures w14:val="none"/>
        </w:rPr>
        <w:t>Мета статті полягає у теоретичному обґрунтуванні сутності поняття “професійна доброчесність офіцера Збройних Сил України” як педагогічної проблеми в умовах реформування системи військової освіти, а також у розкритті її структури, змісту та педагогічних умов формування.</w:t>
      </w:r>
    </w:p>
    <w:p w14:paraId="78E4DB08"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i/>
          <w:kern w:val="0"/>
          <w:sz w:val="24"/>
          <w:szCs w:val="24"/>
          <w:lang w:val="uk-UA" w:eastAsia="ru-RU"/>
          <w14:ligatures w14:val="none"/>
        </w:rPr>
      </w:pPr>
      <w:r w:rsidRPr="00B44B71">
        <w:rPr>
          <w:rFonts w:ascii="Times New Roman" w:eastAsia="Times New Roman" w:hAnsi="Times New Roman" w:cs="Times New Roman"/>
          <w:i/>
          <w:kern w:val="0"/>
          <w:sz w:val="24"/>
          <w:szCs w:val="24"/>
          <w:lang w:val="uk-UA" w:eastAsia="ru-RU"/>
          <w14:ligatures w14:val="none"/>
        </w:rPr>
        <w:t>Методи дослідження: теоретичний аналіз і синтез наукової літератури та нормативно-правових актів; порівняльний аналіз вітчизняних і міжнародних підходів до трактування доброчесності у військовій сфері; метод узагальнення для формулювання авторського визначення та обґрунтування висновків.</w:t>
      </w:r>
    </w:p>
    <w:p w14:paraId="7EB3C806"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i/>
          <w:kern w:val="0"/>
          <w:sz w:val="24"/>
          <w:szCs w:val="24"/>
          <w:lang w:val="uk-UA" w:eastAsia="ru-RU"/>
          <w14:ligatures w14:val="none"/>
        </w:rPr>
      </w:pPr>
      <w:r w:rsidRPr="00B44B71">
        <w:rPr>
          <w:rFonts w:ascii="Times New Roman" w:eastAsia="Times New Roman" w:hAnsi="Times New Roman" w:cs="Times New Roman"/>
          <w:i/>
          <w:kern w:val="0"/>
          <w:sz w:val="24"/>
          <w:szCs w:val="24"/>
          <w:lang w:val="uk-UA" w:eastAsia="ru-RU"/>
          <w14:ligatures w14:val="none"/>
        </w:rPr>
        <w:t>У результаті дослідження встановлено, що професійна доброчесність є інтегральною морально-вольовою якістю особистості офіцера, яка визначає його поведінку під час виконання службових обов’язків відповідно до норм військової етики, законодавства та загальнолюдських цінностей. Розкрито чотирикомпонентну структуру цього феномену, що включає когнітивний, ціннісно-мотиваційний, поведінковий та рефлексивний компоненти. Обґрунтовано нормативно-правову основу доброчесності офіцера, яка охоплює антикорупційне, освітнє та військове законодавство, а також корпоративні кодекси. Визначено педагогічні умови формування професійної доброчесності майбутніх офіцерів у процесі їх підготовки у системі військової освіти відповідно до стандартів НАТО.</w:t>
      </w:r>
    </w:p>
    <w:p w14:paraId="520D93C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p>
    <w:p w14:paraId="6DEB0E09"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b/>
          <w:bCs/>
          <w:kern w:val="0"/>
          <w:sz w:val="24"/>
          <w:szCs w:val="24"/>
          <w:lang w:val="uk-UA" w:eastAsia="ru-RU"/>
          <w14:ligatures w14:val="none"/>
        </w:rPr>
        <w:lastRenderedPageBreak/>
        <w:t>Ключові слова:</w:t>
      </w:r>
      <w:r w:rsidRPr="00B44B71">
        <w:rPr>
          <w:rFonts w:ascii="Times New Roman" w:eastAsia="Times New Roman" w:hAnsi="Times New Roman" w:cs="Times New Roman"/>
          <w:kern w:val="0"/>
          <w:sz w:val="24"/>
          <w:szCs w:val="24"/>
          <w:lang w:val="uk-UA" w:eastAsia="ru-RU"/>
          <w14:ligatures w14:val="none"/>
        </w:rPr>
        <w:t xml:space="preserve"> професійна доброчесність, академічна доброчесність, військовослужбовці, професійна підготовка, офіцери Збройних Сил України, військова освіта, професійна етика, стандарти НАТО.</w:t>
      </w:r>
    </w:p>
    <w:p w14:paraId="6D8659D1" w14:textId="77777777" w:rsidR="00B44B71" w:rsidRPr="00B44B71" w:rsidRDefault="00B44B71" w:rsidP="00023291">
      <w:pPr>
        <w:tabs>
          <w:tab w:val="left" w:pos="9638"/>
        </w:tabs>
        <w:spacing w:after="0" w:line="240" w:lineRule="auto"/>
        <w:ind w:firstLine="567"/>
        <w:jc w:val="both"/>
        <w:rPr>
          <w:rFonts w:ascii="Helvetica" w:eastAsia="Times New Roman" w:hAnsi="Helvetica" w:cs="Times New Roman"/>
          <w:kern w:val="0"/>
          <w:sz w:val="21"/>
          <w:szCs w:val="21"/>
          <w:lang w:val="uk-UA" w:eastAsia="ru-RU"/>
          <w14:ligatures w14:val="none"/>
        </w:rPr>
      </w:pPr>
    </w:p>
    <w:p w14:paraId="56308C2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b/>
          <w:bCs/>
          <w:kern w:val="0"/>
          <w:sz w:val="24"/>
          <w:szCs w:val="24"/>
          <w:lang w:val="uk-UA" w:eastAsia="ru-RU"/>
          <w14:ligatures w14:val="none"/>
        </w:rPr>
      </w:pPr>
    </w:p>
    <w:p w14:paraId="1470E8F2" w14:textId="77777777" w:rsidR="00985346" w:rsidRPr="00985346" w:rsidRDefault="00985346" w:rsidP="00985346">
      <w:pPr>
        <w:suppressAutoHyphens/>
        <w:spacing w:after="0" w:line="240" w:lineRule="auto"/>
        <w:ind w:firstLine="567"/>
        <w:jc w:val="right"/>
        <w:rPr>
          <w:rFonts w:ascii="Times New Roman" w:eastAsia="Times New Roman" w:hAnsi="Times New Roman" w:cs="Times New Roman"/>
          <w:b/>
          <w:bCs/>
          <w:kern w:val="0"/>
          <w:sz w:val="24"/>
          <w:szCs w:val="24"/>
          <w:lang w:val="uk-UA" w:eastAsia="ru-RU"/>
          <w14:ligatures w14:val="none"/>
        </w:rPr>
      </w:pPr>
      <w:r w:rsidRPr="00985346">
        <w:rPr>
          <w:rFonts w:ascii="Times New Roman" w:eastAsia="Times New Roman" w:hAnsi="Times New Roman" w:cs="Times New Roman"/>
          <w:b/>
          <w:bCs/>
          <w:kern w:val="0"/>
          <w:sz w:val="24"/>
          <w:szCs w:val="24"/>
          <w:lang w:eastAsia="ru-RU"/>
          <w14:ligatures w14:val="none"/>
        </w:rPr>
        <w:t>Dmytro Kyslenko</w:t>
      </w:r>
      <w:r w:rsidRPr="00985346">
        <w:rPr>
          <w:rFonts w:ascii="Times New Roman" w:eastAsia="Times New Roman" w:hAnsi="Times New Roman" w:cs="Times New Roman"/>
          <w:b/>
          <w:bCs/>
          <w:kern w:val="0"/>
          <w:sz w:val="24"/>
          <w:szCs w:val="24"/>
          <w:lang w:val="uk-UA" w:eastAsia="ru-RU"/>
          <w14:ligatures w14:val="none"/>
        </w:rPr>
        <w:t xml:space="preserve">, </w:t>
      </w:r>
    </w:p>
    <w:p w14:paraId="4AA55904" w14:textId="77777777" w:rsidR="00985346" w:rsidRPr="00985346" w:rsidRDefault="00985346" w:rsidP="00985346">
      <w:pPr>
        <w:suppressAutoHyphens/>
        <w:spacing w:after="0" w:line="240" w:lineRule="auto"/>
        <w:ind w:firstLine="567"/>
        <w:jc w:val="right"/>
        <w:rPr>
          <w:rFonts w:ascii="Times New Roman" w:eastAsia="Times New Roman" w:hAnsi="Times New Roman" w:cs="Times New Roman"/>
          <w:kern w:val="0"/>
          <w:sz w:val="24"/>
          <w:szCs w:val="24"/>
          <w:lang w:val="uk-UA" w:eastAsia="ru-RU"/>
          <w14:ligatures w14:val="none"/>
        </w:rPr>
      </w:pPr>
      <w:r w:rsidRPr="00985346">
        <w:rPr>
          <w:rFonts w:ascii="Times New Roman" w:eastAsia="Times New Roman" w:hAnsi="Times New Roman" w:cs="Times New Roman"/>
          <w:kern w:val="0"/>
          <w:sz w:val="24"/>
          <w:szCs w:val="24"/>
          <w:lang w:eastAsia="ru-RU"/>
          <w14:ligatures w14:val="none"/>
        </w:rPr>
        <w:t>Doctor of Pedagogical Sciences, Professor</w:t>
      </w:r>
      <w:r w:rsidRPr="00985346">
        <w:rPr>
          <w:rFonts w:ascii="Times New Roman" w:eastAsia="Times New Roman" w:hAnsi="Times New Roman" w:cs="Times New Roman"/>
          <w:kern w:val="0"/>
          <w:sz w:val="24"/>
          <w:szCs w:val="24"/>
          <w:lang w:val="uk-UA" w:eastAsia="ru-RU"/>
          <w14:ligatures w14:val="none"/>
        </w:rPr>
        <w:t xml:space="preserve"> </w:t>
      </w:r>
    </w:p>
    <w:p w14:paraId="4454C4C5" w14:textId="77777777" w:rsidR="00985346" w:rsidRPr="00985346" w:rsidRDefault="00985346" w:rsidP="00985346">
      <w:pPr>
        <w:suppressAutoHyphens/>
        <w:spacing w:after="0" w:line="240" w:lineRule="auto"/>
        <w:ind w:firstLine="567"/>
        <w:jc w:val="right"/>
        <w:rPr>
          <w:rFonts w:ascii="Times New Roman" w:eastAsia="Times New Roman" w:hAnsi="Times New Roman" w:cs="Times New Roman"/>
          <w:kern w:val="0"/>
          <w:sz w:val="24"/>
          <w:szCs w:val="24"/>
          <w:lang w:val="uk-UA" w:eastAsia="ru-RU"/>
          <w14:ligatures w14:val="none"/>
        </w:rPr>
      </w:pPr>
      <w:r w:rsidRPr="00985346">
        <w:rPr>
          <w:rFonts w:ascii="Times New Roman" w:eastAsia="Times New Roman" w:hAnsi="Times New Roman" w:cs="Times New Roman"/>
          <w:kern w:val="0"/>
          <w:sz w:val="24"/>
          <w:szCs w:val="24"/>
          <w:lang w:eastAsia="ru-RU"/>
          <w14:ligatures w14:val="none"/>
        </w:rPr>
        <w:t xml:space="preserve">National </w:t>
      </w:r>
      <w:r w:rsidRPr="00953008">
        <w:rPr>
          <w:rFonts w:ascii="Times New Roman" w:eastAsia="Times New Roman" w:hAnsi="Times New Roman" w:cs="Times New Roman"/>
          <w:kern w:val="0"/>
          <w:sz w:val="24"/>
          <w:szCs w:val="24"/>
          <w:lang w:eastAsia="ru-RU"/>
          <w14:ligatures w14:val="none"/>
        </w:rPr>
        <w:t>Defence</w:t>
      </w:r>
      <w:r w:rsidRPr="00985346">
        <w:rPr>
          <w:rFonts w:ascii="Times New Roman" w:eastAsia="Times New Roman" w:hAnsi="Times New Roman" w:cs="Times New Roman"/>
          <w:kern w:val="0"/>
          <w:sz w:val="24"/>
          <w:szCs w:val="24"/>
          <w:lang w:eastAsia="ru-RU"/>
          <w14:ligatures w14:val="none"/>
        </w:rPr>
        <w:t xml:space="preserve"> University of Ukraine, Kyiv</w:t>
      </w:r>
    </w:p>
    <w:p w14:paraId="030D9D00" w14:textId="77777777" w:rsidR="00985346" w:rsidRPr="00985346" w:rsidRDefault="00985346" w:rsidP="00985346">
      <w:pPr>
        <w:suppressAutoHyphens/>
        <w:spacing w:after="0" w:line="240" w:lineRule="auto"/>
        <w:jc w:val="right"/>
        <w:rPr>
          <w:rFonts w:ascii="Times New Roman" w:eastAsia="Times New Roman" w:hAnsi="Times New Roman" w:cs="Times New Roman"/>
          <w:b/>
          <w:bCs/>
          <w:kern w:val="0"/>
          <w:sz w:val="24"/>
          <w:szCs w:val="24"/>
          <w:lang w:val="uk-UA" w:eastAsia="ru-RU"/>
          <w14:ligatures w14:val="none"/>
        </w:rPr>
      </w:pPr>
      <w:r w:rsidRPr="00985346">
        <w:rPr>
          <w:rFonts w:ascii="Times New Roman" w:eastAsia="Times New Roman" w:hAnsi="Times New Roman" w:cs="Times New Roman"/>
          <w:b/>
          <w:bCs/>
          <w:kern w:val="0"/>
          <w:sz w:val="24"/>
          <w:szCs w:val="24"/>
          <w:lang w:eastAsia="ru-RU"/>
          <w14:ligatures w14:val="none"/>
        </w:rPr>
        <w:t xml:space="preserve">Vitalii Polyvaniuk, </w:t>
      </w:r>
    </w:p>
    <w:p w14:paraId="3C4CBDE6" w14:textId="77777777" w:rsidR="00985346" w:rsidRPr="00985346" w:rsidRDefault="00985346" w:rsidP="00985346">
      <w:pPr>
        <w:suppressAutoHyphens/>
        <w:spacing w:after="0" w:line="240" w:lineRule="auto"/>
        <w:jc w:val="right"/>
        <w:rPr>
          <w:rFonts w:ascii="Times New Roman" w:eastAsia="Times New Roman" w:hAnsi="Times New Roman" w:cs="Times New Roman"/>
          <w:kern w:val="0"/>
          <w:sz w:val="24"/>
          <w:szCs w:val="24"/>
          <w:lang w:val="uk-UA" w:eastAsia="ru-RU"/>
          <w14:ligatures w14:val="none"/>
        </w:rPr>
      </w:pPr>
      <w:r w:rsidRPr="00985346">
        <w:rPr>
          <w:rFonts w:ascii="Times New Roman" w:eastAsia="Times New Roman" w:hAnsi="Times New Roman" w:cs="Times New Roman"/>
          <w:kern w:val="0"/>
          <w:sz w:val="24"/>
          <w:szCs w:val="24"/>
          <w:lang w:eastAsia="ru-RU"/>
          <w14:ligatures w14:val="none"/>
        </w:rPr>
        <w:t>Doctor of Philosophy</w:t>
      </w:r>
    </w:p>
    <w:p w14:paraId="671E0389" w14:textId="77777777" w:rsidR="00985346" w:rsidRPr="00985346" w:rsidRDefault="00985346" w:rsidP="00985346">
      <w:pPr>
        <w:suppressAutoHyphens/>
        <w:spacing w:after="0" w:line="240" w:lineRule="auto"/>
        <w:jc w:val="right"/>
        <w:rPr>
          <w:rFonts w:ascii="Times New Roman" w:eastAsia="Times New Roman" w:hAnsi="Times New Roman" w:cs="Times New Roman"/>
          <w:kern w:val="0"/>
          <w:sz w:val="24"/>
          <w:szCs w:val="24"/>
          <w:lang w:val="uk-UA" w:eastAsia="ru-RU"/>
          <w14:ligatures w14:val="none"/>
        </w:rPr>
      </w:pPr>
      <w:r w:rsidRPr="00985346">
        <w:rPr>
          <w:rFonts w:ascii="Times New Roman" w:eastAsia="Times New Roman" w:hAnsi="Times New Roman" w:cs="Times New Roman"/>
          <w:kern w:val="0"/>
          <w:sz w:val="24"/>
          <w:szCs w:val="24"/>
          <w:lang w:eastAsia="ru-RU"/>
          <w14:ligatures w14:val="none"/>
        </w:rPr>
        <w:t xml:space="preserve"> National </w:t>
      </w:r>
      <w:r w:rsidRPr="00953008">
        <w:rPr>
          <w:rFonts w:ascii="Times New Roman" w:eastAsia="Times New Roman" w:hAnsi="Times New Roman" w:cs="Times New Roman"/>
          <w:kern w:val="0"/>
          <w:sz w:val="24"/>
          <w:szCs w:val="24"/>
          <w:lang w:eastAsia="ru-RU"/>
          <w14:ligatures w14:val="none"/>
        </w:rPr>
        <w:t>Defence</w:t>
      </w:r>
      <w:r w:rsidRPr="00985346">
        <w:rPr>
          <w:rFonts w:ascii="Times New Roman" w:eastAsia="Times New Roman" w:hAnsi="Times New Roman" w:cs="Times New Roman"/>
          <w:kern w:val="0"/>
          <w:sz w:val="24"/>
          <w:szCs w:val="24"/>
          <w:lang w:eastAsia="ru-RU"/>
          <w14:ligatures w14:val="none"/>
        </w:rPr>
        <w:t xml:space="preserve"> University of Ukraine, Kyiv</w:t>
      </w:r>
    </w:p>
    <w:p w14:paraId="057A8D98" w14:textId="77777777" w:rsidR="00985346" w:rsidRPr="00985346" w:rsidRDefault="00985346" w:rsidP="00985346">
      <w:pPr>
        <w:suppressAutoHyphens/>
        <w:spacing w:after="0" w:line="240" w:lineRule="auto"/>
        <w:jc w:val="right"/>
        <w:rPr>
          <w:rFonts w:ascii="Times New Roman" w:eastAsia="Times New Roman" w:hAnsi="Times New Roman" w:cs="Times New Roman"/>
          <w:kern w:val="0"/>
          <w:sz w:val="24"/>
          <w:szCs w:val="24"/>
          <w:lang w:val="uk-UA" w:eastAsia="ru-RU"/>
          <w14:ligatures w14:val="none"/>
        </w:rPr>
      </w:pPr>
      <w:r w:rsidRPr="00985346">
        <w:rPr>
          <w:rFonts w:ascii="Times New Roman" w:eastAsia="Times New Roman" w:hAnsi="Times New Roman" w:cs="Times New Roman"/>
          <w:b/>
          <w:kern w:val="0"/>
          <w:sz w:val="24"/>
          <w:szCs w:val="24"/>
          <w:lang w:eastAsia="ru-RU"/>
          <w14:ligatures w14:val="none"/>
        </w:rPr>
        <w:t>Roman Shostak</w:t>
      </w:r>
      <w:r w:rsidRPr="00985346">
        <w:rPr>
          <w:rFonts w:ascii="Times New Roman" w:eastAsia="Times New Roman" w:hAnsi="Times New Roman" w:cs="Times New Roman"/>
          <w:kern w:val="0"/>
          <w:sz w:val="24"/>
          <w:szCs w:val="24"/>
          <w:lang w:eastAsia="ru-RU"/>
          <w14:ligatures w14:val="none"/>
        </w:rPr>
        <w:t>,</w:t>
      </w:r>
    </w:p>
    <w:p w14:paraId="4996A622" w14:textId="77777777" w:rsidR="00985346" w:rsidRPr="00985346" w:rsidRDefault="00985346" w:rsidP="00985346">
      <w:pPr>
        <w:suppressAutoHyphens/>
        <w:spacing w:after="0" w:line="240" w:lineRule="auto"/>
        <w:jc w:val="right"/>
        <w:rPr>
          <w:rFonts w:ascii="Times New Roman" w:eastAsia="Times New Roman" w:hAnsi="Times New Roman" w:cs="Times New Roman"/>
          <w:kern w:val="0"/>
          <w:sz w:val="24"/>
          <w:szCs w:val="24"/>
          <w:lang w:val="uk-UA" w:eastAsia="ru-RU"/>
          <w14:ligatures w14:val="none"/>
        </w:rPr>
      </w:pPr>
      <w:r w:rsidRPr="00985346">
        <w:rPr>
          <w:rFonts w:ascii="Times New Roman" w:eastAsia="Times New Roman" w:hAnsi="Times New Roman" w:cs="Times New Roman"/>
          <w:kern w:val="0"/>
          <w:sz w:val="24"/>
          <w:szCs w:val="24"/>
          <w:lang w:eastAsia="ru-RU"/>
          <w14:ligatures w14:val="none"/>
        </w:rPr>
        <w:t xml:space="preserve">Doctor of Philosophy </w:t>
      </w:r>
    </w:p>
    <w:p w14:paraId="33703CBF" w14:textId="46C046E2" w:rsidR="00985346" w:rsidRPr="00985346" w:rsidRDefault="00985346" w:rsidP="00985346">
      <w:pPr>
        <w:suppressAutoHyphens/>
        <w:spacing w:after="0" w:line="240" w:lineRule="auto"/>
        <w:jc w:val="right"/>
        <w:rPr>
          <w:rFonts w:ascii="Times New Roman" w:eastAsia="Times New Roman" w:hAnsi="Times New Roman" w:cs="Times New Roman"/>
          <w:kern w:val="0"/>
          <w:sz w:val="24"/>
          <w:szCs w:val="24"/>
          <w:lang w:val="uk-UA" w:eastAsia="ru-RU"/>
          <w14:ligatures w14:val="none"/>
        </w:rPr>
      </w:pPr>
      <w:r w:rsidRPr="00985346">
        <w:rPr>
          <w:rFonts w:ascii="Times New Roman" w:eastAsia="Times New Roman" w:hAnsi="Times New Roman" w:cs="Times New Roman"/>
          <w:kern w:val="0"/>
          <w:sz w:val="24"/>
          <w:szCs w:val="24"/>
          <w:lang w:eastAsia="ru-RU"/>
          <w14:ligatures w14:val="none"/>
        </w:rPr>
        <w:t xml:space="preserve">National </w:t>
      </w:r>
      <w:r w:rsidRPr="00953008">
        <w:rPr>
          <w:rFonts w:ascii="Times New Roman" w:eastAsia="Times New Roman" w:hAnsi="Times New Roman" w:cs="Times New Roman"/>
          <w:kern w:val="0"/>
          <w:sz w:val="24"/>
          <w:szCs w:val="24"/>
          <w:lang w:eastAsia="ru-RU"/>
          <w14:ligatures w14:val="none"/>
        </w:rPr>
        <w:t>Defence</w:t>
      </w:r>
      <w:r>
        <w:rPr>
          <w:rFonts w:ascii="Times New Roman" w:eastAsia="Times New Roman" w:hAnsi="Times New Roman" w:cs="Times New Roman"/>
          <w:kern w:val="0"/>
          <w:sz w:val="24"/>
          <w:szCs w:val="24"/>
          <w:lang w:eastAsia="ru-RU"/>
          <w14:ligatures w14:val="none"/>
        </w:rPr>
        <w:t xml:space="preserve"> University of Ukraine, Kyiv</w:t>
      </w:r>
      <w:r w:rsidRPr="00985346">
        <w:rPr>
          <w:rFonts w:ascii="Times New Roman" w:eastAsia="Times New Roman" w:hAnsi="Times New Roman" w:cs="Times New Roman"/>
          <w:kern w:val="0"/>
          <w:sz w:val="24"/>
          <w:szCs w:val="24"/>
          <w:lang w:eastAsia="ru-RU"/>
          <w14:ligatures w14:val="none"/>
        </w:rPr>
        <w:t xml:space="preserve"> </w:t>
      </w:r>
    </w:p>
    <w:p w14:paraId="73D72F6B" w14:textId="77777777" w:rsidR="00985346" w:rsidRPr="00985346" w:rsidRDefault="00985346" w:rsidP="00985346">
      <w:pPr>
        <w:suppressAutoHyphens/>
        <w:spacing w:after="0" w:line="240" w:lineRule="auto"/>
        <w:jc w:val="right"/>
        <w:rPr>
          <w:rFonts w:ascii="Times New Roman" w:eastAsia="Times New Roman" w:hAnsi="Times New Roman" w:cs="Times New Roman"/>
          <w:kern w:val="0"/>
          <w:sz w:val="24"/>
          <w:szCs w:val="24"/>
          <w:lang w:val="uk-UA" w:eastAsia="ru-RU"/>
          <w14:ligatures w14:val="none"/>
        </w:rPr>
      </w:pPr>
    </w:p>
    <w:p w14:paraId="21431961" w14:textId="77777777" w:rsidR="00985346" w:rsidRPr="00985346" w:rsidRDefault="00985346" w:rsidP="00985346">
      <w:pPr>
        <w:suppressAutoHyphens/>
        <w:spacing w:after="0" w:line="240" w:lineRule="auto"/>
        <w:jc w:val="center"/>
        <w:rPr>
          <w:rFonts w:ascii="Times New Roman" w:eastAsia="Times New Roman" w:hAnsi="Times New Roman" w:cs="Times New Roman"/>
          <w:kern w:val="0"/>
          <w:sz w:val="24"/>
          <w:szCs w:val="24"/>
          <w:lang w:val="uk-UA" w:eastAsia="ru-RU"/>
          <w14:ligatures w14:val="none"/>
        </w:rPr>
      </w:pPr>
      <w:r w:rsidRPr="00985346">
        <w:rPr>
          <w:rFonts w:ascii="Times New Roman" w:eastAsia="Times New Roman" w:hAnsi="Times New Roman" w:cs="Times New Roman"/>
          <w:b/>
          <w:bCs/>
          <w:kern w:val="0"/>
          <w:sz w:val="24"/>
          <w:szCs w:val="24"/>
          <w:lang w:val="uk-UA" w:eastAsia="ru-RU"/>
          <w14:ligatures w14:val="none"/>
        </w:rPr>
        <w:t xml:space="preserve">Professional </w:t>
      </w:r>
      <w:r w:rsidRPr="00953008">
        <w:rPr>
          <w:rFonts w:ascii="Times New Roman" w:eastAsia="Times New Roman" w:hAnsi="Times New Roman" w:cs="Times New Roman"/>
          <w:b/>
          <w:bCs/>
          <w:kern w:val="0"/>
          <w:sz w:val="24"/>
          <w:szCs w:val="24"/>
          <w:lang w:val="uk-UA" w:eastAsia="ru-RU"/>
          <w14:ligatures w14:val="none"/>
        </w:rPr>
        <w:t>Integrity</w:t>
      </w:r>
      <w:r w:rsidRPr="00985346">
        <w:rPr>
          <w:rFonts w:ascii="Times New Roman" w:eastAsia="Times New Roman" w:hAnsi="Times New Roman" w:cs="Times New Roman"/>
          <w:b/>
          <w:bCs/>
          <w:kern w:val="0"/>
          <w:sz w:val="24"/>
          <w:szCs w:val="24"/>
          <w:lang w:val="uk-UA" w:eastAsia="ru-RU"/>
          <w14:ligatures w14:val="none"/>
        </w:rPr>
        <w:t xml:space="preserve"> of </w:t>
      </w:r>
      <w:r w:rsidRPr="00953008">
        <w:rPr>
          <w:rFonts w:ascii="Times New Roman" w:eastAsia="Times New Roman" w:hAnsi="Times New Roman" w:cs="Times New Roman"/>
          <w:b/>
          <w:bCs/>
          <w:kern w:val="0"/>
          <w:sz w:val="24"/>
          <w:szCs w:val="24"/>
          <w:lang w:val="uk-UA" w:eastAsia="ru-RU"/>
          <w14:ligatures w14:val="none"/>
        </w:rPr>
        <w:t>Officers</w:t>
      </w:r>
      <w:r w:rsidRPr="00985346">
        <w:rPr>
          <w:rFonts w:ascii="Times New Roman" w:eastAsia="Times New Roman" w:hAnsi="Times New Roman" w:cs="Times New Roman"/>
          <w:b/>
          <w:bCs/>
          <w:kern w:val="0"/>
          <w:sz w:val="24"/>
          <w:szCs w:val="24"/>
          <w:lang w:val="uk-UA" w:eastAsia="ru-RU"/>
          <w14:ligatures w14:val="none"/>
        </w:rPr>
        <w:t xml:space="preserve"> as a </w:t>
      </w:r>
      <w:r w:rsidRPr="00953008">
        <w:rPr>
          <w:rFonts w:ascii="Times New Roman" w:eastAsia="Times New Roman" w:hAnsi="Times New Roman" w:cs="Times New Roman"/>
          <w:b/>
          <w:bCs/>
          <w:kern w:val="0"/>
          <w:sz w:val="24"/>
          <w:szCs w:val="24"/>
          <w:lang w:val="uk-UA" w:eastAsia="ru-RU"/>
          <w14:ligatures w14:val="none"/>
        </w:rPr>
        <w:t>Pedagogical</w:t>
      </w:r>
      <w:r w:rsidRPr="00985346">
        <w:rPr>
          <w:rFonts w:ascii="Times New Roman" w:eastAsia="Times New Roman" w:hAnsi="Times New Roman" w:cs="Times New Roman"/>
          <w:b/>
          <w:bCs/>
          <w:kern w:val="0"/>
          <w:sz w:val="24"/>
          <w:szCs w:val="24"/>
          <w:lang w:val="uk-UA" w:eastAsia="ru-RU"/>
          <w14:ligatures w14:val="none"/>
        </w:rPr>
        <w:t xml:space="preserve"> </w:t>
      </w:r>
      <w:r w:rsidRPr="00953008">
        <w:rPr>
          <w:rFonts w:ascii="Times New Roman" w:eastAsia="Times New Roman" w:hAnsi="Times New Roman" w:cs="Times New Roman"/>
          <w:b/>
          <w:bCs/>
          <w:kern w:val="0"/>
          <w:sz w:val="24"/>
          <w:szCs w:val="24"/>
          <w:lang w:val="uk-UA" w:eastAsia="ru-RU"/>
          <w14:ligatures w14:val="none"/>
        </w:rPr>
        <w:t>Problem</w:t>
      </w:r>
      <w:r w:rsidRPr="00985346">
        <w:rPr>
          <w:rFonts w:ascii="Times New Roman" w:eastAsia="Times New Roman" w:hAnsi="Times New Roman" w:cs="Times New Roman"/>
          <w:b/>
          <w:bCs/>
          <w:kern w:val="0"/>
          <w:sz w:val="24"/>
          <w:szCs w:val="24"/>
          <w:lang w:val="uk-UA" w:eastAsia="ru-RU"/>
          <w14:ligatures w14:val="none"/>
        </w:rPr>
        <w:t xml:space="preserve"> in the </w:t>
      </w:r>
      <w:r w:rsidRPr="00953008">
        <w:rPr>
          <w:rFonts w:ascii="Times New Roman" w:eastAsia="Times New Roman" w:hAnsi="Times New Roman" w:cs="Times New Roman"/>
          <w:b/>
          <w:bCs/>
          <w:kern w:val="0"/>
          <w:sz w:val="24"/>
          <w:szCs w:val="24"/>
          <w:lang w:val="uk-UA" w:eastAsia="ru-RU"/>
          <w14:ligatures w14:val="none"/>
        </w:rPr>
        <w:t>Conditions</w:t>
      </w:r>
      <w:r w:rsidRPr="00985346">
        <w:rPr>
          <w:rFonts w:ascii="Times New Roman" w:eastAsia="Times New Roman" w:hAnsi="Times New Roman" w:cs="Times New Roman"/>
          <w:b/>
          <w:bCs/>
          <w:kern w:val="0"/>
          <w:sz w:val="24"/>
          <w:szCs w:val="24"/>
          <w:lang w:val="uk-UA" w:eastAsia="ru-RU"/>
          <w14:ligatures w14:val="none"/>
        </w:rPr>
        <w:t xml:space="preserve"> of </w:t>
      </w:r>
      <w:r w:rsidRPr="00953008">
        <w:rPr>
          <w:rFonts w:ascii="Times New Roman" w:eastAsia="Times New Roman" w:hAnsi="Times New Roman" w:cs="Times New Roman"/>
          <w:b/>
          <w:bCs/>
          <w:kern w:val="0"/>
          <w:sz w:val="24"/>
          <w:szCs w:val="24"/>
          <w:lang w:val="uk-UA" w:eastAsia="ru-RU"/>
          <w14:ligatures w14:val="none"/>
        </w:rPr>
        <w:t>Reforming</w:t>
      </w:r>
      <w:r w:rsidRPr="00985346">
        <w:rPr>
          <w:rFonts w:ascii="Times New Roman" w:eastAsia="Times New Roman" w:hAnsi="Times New Roman" w:cs="Times New Roman"/>
          <w:b/>
          <w:bCs/>
          <w:kern w:val="0"/>
          <w:sz w:val="24"/>
          <w:szCs w:val="24"/>
          <w:lang w:val="uk-UA" w:eastAsia="ru-RU"/>
          <w14:ligatures w14:val="none"/>
        </w:rPr>
        <w:t xml:space="preserve"> the </w:t>
      </w:r>
      <w:r w:rsidRPr="00953008">
        <w:rPr>
          <w:rFonts w:ascii="Times New Roman" w:eastAsia="Times New Roman" w:hAnsi="Times New Roman" w:cs="Times New Roman"/>
          <w:b/>
          <w:bCs/>
          <w:kern w:val="0"/>
          <w:sz w:val="24"/>
          <w:szCs w:val="24"/>
          <w:lang w:val="uk-UA" w:eastAsia="ru-RU"/>
          <w14:ligatures w14:val="none"/>
        </w:rPr>
        <w:t>Military</w:t>
      </w:r>
      <w:r w:rsidRPr="00985346">
        <w:rPr>
          <w:rFonts w:ascii="Times New Roman" w:eastAsia="Times New Roman" w:hAnsi="Times New Roman" w:cs="Times New Roman"/>
          <w:b/>
          <w:bCs/>
          <w:kern w:val="0"/>
          <w:sz w:val="24"/>
          <w:szCs w:val="24"/>
          <w:lang w:val="uk-UA" w:eastAsia="ru-RU"/>
          <w14:ligatures w14:val="none"/>
        </w:rPr>
        <w:t xml:space="preserve"> </w:t>
      </w:r>
      <w:r w:rsidRPr="00953008">
        <w:rPr>
          <w:rFonts w:ascii="Times New Roman" w:eastAsia="Times New Roman" w:hAnsi="Times New Roman" w:cs="Times New Roman"/>
          <w:b/>
          <w:bCs/>
          <w:kern w:val="0"/>
          <w:sz w:val="24"/>
          <w:szCs w:val="24"/>
          <w:lang w:val="uk-UA" w:eastAsia="ru-RU"/>
          <w14:ligatures w14:val="none"/>
        </w:rPr>
        <w:t>Education</w:t>
      </w:r>
      <w:r w:rsidRPr="00985346">
        <w:rPr>
          <w:rFonts w:ascii="Times New Roman" w:eastAsia="Times New Roman" w:hAnsi="Times New Roman" w:cs="Times New Roman"/>
          <w:b/>
          <w:bCs/>
          <w:kern w:val="0"/>
          <w:sz w:val="24"/>
          <w:szCs w:val="24"/>
          <w:lang w:val="uk-UA" w:eastAsia="ru-RU"/>
          <w14:ligatures w14:val="none"/>
        </w:rPr>
        <w:t xml:space="preserve"> </w:t>
      </w:r>
      <w:r w:rsidRPr="00953008">
        <w:rPr>
          <w:rFonts w:ascii="Times New Roman" w:eastAsia="Times New Roman" w:hAnsi="Times New Roman" w:cs="Times New Roman"/>
          <w:b/>
          <w:bCs/>
          <w:kern w:val="0"/>
          <w:sz w:val="24"/>
          <w:szCs w:val="24"/>
          <w:lang w:val="uk-UA" w:eastAsia="ru-RU"/>
          <w14:ligatures w14:val="none"/>
        </w:rPr>
        <w:t>System</w:t>
      </w:r>
      <w:r w:rsidRPr="00985346">
        <w:rPr>
          <w:rFonts w:ascii="Times New Roman" w:eastAsia="Times New Roman" w:hAnsi="Times New Roman" w:cs="Times New Roman"/>
          <w:b/>
          <w:bCs/>
          <w:kern w:val="0"/>
          <w:sz w:val="24"/>
          <w:szCs w:val="24"/>
          <w:lang w:val="uk-UA" w:eastAsia="ru-RU"/>
          <w14:ligatures w14:val="none"/>
        </w:rPr>
        <w:t xml:space="preserve"> of Ukraine</w:t>
      </w:r>
    </w:p>
    <w:p w14:paraId="15DF03BC" w14:textId="77777777" w:rsidR="00B44B71" w:rsidRPr="00B44B71" w:rsidRDefault="00B44B71" w:rsidP="00985346">
      <w:pPr>
        <w:tabs>
          <w:tab w:val="left" w:pos="9638"/>
        </w:tabs>
        <w:spacing w:after="0" w:line="240" w:lineRule="auto"/>
        <w:ind w:firstLine="567"/>
        <w:jc w:val="both"/>
        <w:rPr>
          <w:rFonts w:ascii="Times New Roman" w:eastAsia="Times New Roman" w:hAnsi="Times New Roman" w:cs="Times New Roman"/>
          <w:kern w:val="0"/>
          <w:sz w:val="24"/>
          <w:szCs w:val="24"/>
          <w:lang w:eastAsia="ru-RU"/>
          <w14:ligatures w14:val="none"/>
        </w:rPr>
      </w:pPr>
      <w:r w:rsidRPr="00985346">
        <w:rPr>
          <w:rFonts w:ascii="Times New Roman" w:eastAsia="Times New Roman" w:hAnsi="Times New Roman" w:cs="Times New Roman"/>
          <w:b/>
          <w:bCs/>
          <w:kern w:val="0"/>
          <w:sz w:val="24"/>
          <w:szCs w:val="24"/>
          <w:lang w:eastAsia="ru-RU"/>
          <w14:ligatures w14:val="none"/>
        </w:rPr>
        <w:t>Abstract.</w:t>
      </w:r>
      <w:r w:rsidRPr="00985346">
        <w:rPr>
          <w:rFonts w:ascii="Times New Roman" w:eastAsia="Times New Roman" w:hAnsi="Times New Roman" w:cs="Times New Roman"/>
          <w:kern w:val="0"/>
          <w:sz w:val="24"/>
          <w:szCs w:val="24"/>
          <w:lang w:eastAsia="ru-RU"/>
          <w14:ligatures w14:val="none"/>
        </w:rPr>
        <w:t xml:space="preserve"> The relevance of the study is due to Ukraine’s strategic course towards gaining</w:t>
      </w:r>
      <w:r w:rsidRPr="00B44B71">
        <w:rPr>
          <w:rFonts w:ascii="Times New Roman" w:eastAsia="Times New Roman" w:hAnsi="Times New Roman" w:cs="Times New Roman"/>
          <w:kern w:val="0"/>
          <w:sz w:val="24"/>
          <w:szCs w:val="24"/>
          <w:lang w:eastAsia="ru-RU"/>
          <w14:ligatures w14:val="none"/>
        </w:rPr>
        <w:t xml:space="preserve"> full membership in NATO and the need to reform the military education system in accordance with international standards. In this context, the formation of the integrity of the officer corps is of particular importance as an important prerequisite for ensuring the interoperability of the Armed Forces of Ukraine with the structures of the Alliance member states. Modern transformation processes in the security and defense sector require the training of a new type of officers, whose activities are based on the principles of legality, responsibility, professional ethics and adherence to democratic values. The formation of professional integrity is considered an important component of the professional culture of a serviceman and a necessary condition for the effective performance of official duties.</w:t>
      </w:r>
    </w:p>
    <w:p w14:paraId="279F00D1"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eastAsia="ru-RU"/>
          <w14:ligatures w14:val="none"/>
        </w:rPr>
      </w:pPr>
      <w:r w:rsidRPr="00B44B71">
        <w:rPr>
          <w:rFonts w:ascii="Times New Roman" w:eastAsia="Times New Roman" w:hAnsi="Times New Roman" w:cs="Times New Roman"/>
          <w:kern w:val="0"/>
          <w:sz w:val="24"/>
          <w:szCs w:val="24"/>
          <w:lang w:eastAsia="ru-RU"/>
          <w14:ligatures w14:val="none"/>
        </w:rPr>
        <w:t>The purpose of the article is to theoretically substantiate the essence of the concept of “professional integrity of an officer of the Armed Forces of Ukraine” as a pedagogical problem in the context of reforming the military education system, as well as to reveal its structure, content and pedagogical conditions for formation.</w:t>
      </w:r>
    </w:p>
    <w:p w14:paraId="19EF0A46"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eastAsia="ru-RU"/>
          <w14:ligatures w14:val="none"/>
        </w:rPr>
      </w:pPr>
      <w:r w:rsidRPr="00B44B71">
        <w:rPr>
          <w:rFonts w:ascii="Times New Roman" w:eastAsia="Times New Roman" w:hAnsi="Times New Roman" w:cs="Times New Roman"/>
          <w:kern w:val="0"/>
          <w:sz w:val="24"/>
          <w:szCs w:val="24"/>
          <w:lang w:eastAsia="ru-RU"/>
          <w14:ligatures w14:val="none"/>
        </w:rPr>
        <w:t>Research methods: theoretical analysis and synthesis of scientific literature and regulatory legal acts; comparative analysis of domestic and international approaches to the interpretation of integrity in the military sphere; generalization method for formulating the author's definition and substantiation of conclusions.</w:t>
      </w:r>
    </w:p>
    <w:p w14:paraId="0269E9B0"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eastAsia="ru-RU"/>
          <w14:ligatures w14:val="none"/>
        </w:rPr>
      </w:pPr>
      <w:r w:rsidRPr="00B44B71">
        <w:rPr>
          <w:rFonts w:ascii="Times New Roman" w:eastAsia="Times New Roman" w:hAnsi="Times New Roman" w:cs="Times New Roman"/>
          <w:kern w:val="0"/>
          <w:sz w:val="24"/>
          <w:szCs w:val="24"/>
          <w:lang w:eastAsia="ru-RU"/>
          <w14:ligatures w14:val="none"/>
        </w:rPr>
        <w:t>As a result of the study, it was established that professional integrity is an integral moral and volitional quality of an officer's personality, which determines his behavior during the performance of official duties in accordance with the norms of military ethics, legislation and universal human values. The four-component structure of this phenomenon is revealed, which includes cognitive, value</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eastAsia="ru-RU"/>
          <w14:ligatures w14:val="none"/>
        </w:rPr>
        <w:t>motivational, behavioral and reflective components. The regulatory and legal basis of officer integrity is substantiated, which covers anti-corruption, educational and military legislation, as well as corporate codes. The pedagogical conditions for the formation of professional integrity of future officers in the process of their training in the military education system in accordance with NATO standards are determined.</w:t>
      </w:r>
    </w:p>
    <w:p w14:paraId="3436B8A4"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eastAsia="ru-RU"/>
          <w14:ligatures w14:val="none"/>
        </w:rPr>
      </w:pPr>
      <w:r w:rsidRPr="00B44B71">
        <w:rPr>
          <w:rFonts w:ascii="Times New Roman" w:eastAsia="Times New Roman" w:hAnsi="Times New Roman" w:cs="Times New Roman"/>
          <w:b/>
          <w:bCs/>
          <w:kern w:val="0"/>
          <w:sz w:val="24"/>
          <w:szCs w:val="24"/>
          <w:lang w:eastAsia="ru-RU"/>
          <w14:ligatures w14:val="none"/>
        </w:rPr>
        <w:t>Keywords:</w:t>
      </w:r>
      <w:r w:rsidRPr="00B44B71">
        <w:rPr>
          <w:rFonts w:ascii="Times New Roman" w:eastAsia="Times New Roman" w:hAnsi="Times New Roman" w:cs="Times New Roman"/>
          <w:kern w:val="0"/>
          <w:sz w:val="24"/>
          <w:szCs w:val="24"/>
          <w:lang w:eastAsia="ru-RU"/>
          <w14:ligatures w14:val="none"/>
        </w:rPr>
        <w:t xml:space="preserve"> professional integrity, academic integrity, military personnel, professional training, officers of the Armed Forces of Ukraine, military education, professional ethics, NATO standards.</w:t>
      </w:r>
    </w:p>
    <w:p w14:paraId="32562BCC"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eastAsia="ru-RU"/>
          <w14:ligatures w14:val="none"/>
        </w:rPr>
      </w:pPr>
    </w:p>
    <w:p w14:paraId="2EDAEEC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bCs/>
          <w:kern w:val="0"/>
          <w:sz w:val="28"/>
          <w:szCs w:val="28"/>
          <w:lang w:val="uk-UA" w:eastAsia="ru-RU"/>
          <w14:ligatures w14:val="none"/>
        </w:rPr>
        <w:t xml:space="preserve">Вступ (Introduction). </w:t>
      </w:r>
      <w:r w:rsidRPr="00B44B71">
        <w:rPr>
          <w:rFonts w:ascii="Times New Roman" w:eastAsia="Times New Roman" w:hAnsi="Times New Roman" w:cs="Times New Roman"/>
          <w:kern w:val="0"/>
          <w:sz w:val="28"/>
          <w:szCs w:val="28"/>
          <w:lang w:val="uk-UA" w:eastAsia="ru-RU"/>
          <w14:ligatures w14:val="none"/>
        </w:rPr>
        <w:t xml:space="preserve">Реформування системи військової освіти України є стратегічним пріоритетом на шляху до набуття повноправного членства в НАТО. </w:t>
      </w:r>
      <w:r w:rsidRPr="00B44B71">
        <w:rPr>
          <w:rFonts w:ascii="Times New Roman" w:eastAsia="Times New Roman" w:hAnsi="Times New Roman" w:cs="Times New Roman"/>
          <w:kern w:val="0"/>
          <w:sz w:val="28"/>
          <w:szCs w:val="28"/>
          <w:lang w:val="uk-UA" w:eastAsia="ru-RU"/>
          <w14:ligatures w14:val="none"/>
        </w:rPr>
        <w:lastRenderedPageBreak/>
        <w:t xml:space="preserve">Відповідно до Концепції трансформації системи військової освіти, затвердженої постановою Кабінету Міністрів України від 15.12.1997 № 1410 (далі – Концепція № 1410), одним із ключових завдань є “розроблення та імплементація в освітній процес військових навчальних закладів оновлених освітніх програм, спрямованих на формування нового стилю військового лідерства, </w:t>
      </w:r>
      <w:r w:rsidRPr="00B44B71">
        <w:rPr>
          <w:rFonts w:ascii="Times New Roman" w:eastAsia="Times New Roman" w:hAnsi="Times New Roman" w:cs="Times New Roman"/>
          <w:iCs/>
          <w:kern w:val="0"/>
          <w:sz w:val="28"/>
          <w:szCs w:val="28"/>
          <w:lang w:val="uk-UA" w:eastAsia="ru-RU"/>
          <w14:ligatures w14:val="none"/>
        </w:rPr>
        <w:t>доброчесності,</w:t>
      </w:r>
      <w:r w:rsidRPr="00B44B71">
        <w:rPr>
          <w:rFonts w:ascii="Times New Roman" w:eastAsia="Times New Roman" w:hAnsi="Times New Roman" w:cs="Times New Roman"/>
          <w:kern w:val="0"/>
          <w:sz w:val="28"/>
          <w:szCs w:val="28"/>
          <w:lang w:val="uk-UA" w:eastAsia="ru-RU"/>
          <w14:ligatures w14:val="none"/>
        </w:rPr>
        <w:t xml:space="preserve"> підвищення рівня практичної підготовки та готовності до професійної діяльності з урахуванням потреб інтеграції в НАТО”.  Крім того, Концепція № 1410 прямо передбачає “формування доброчесності на основі стандартів НАТО” як невід’ємну  складову професіоналізації військової освіти (Постанова Кабінету Міністрів України “Про трансформацію системи військової освіти” № 1410, 1997).</w:t>
      </w:r>
    </w:p>
    <w:p w14:paraId="20070E94"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Досвід сучасних бойових дій зумовлює підвищення вимог до професійної підготовки військовослужбовців, зокрема їхньої готовності до ефективного здійснення військово-професійної діяльності та безперервного самовдосконалення. Водночас підтримка високого рівня мотивації у військовослужбовців є одним із вирішальних факторів протягом усього періоду навчання та виконання службових обов’язків (Petrachkov O.V. та ін., 2024). У цьому контексті відбувається трансформація концептуальних засад військової освіти, яка характеризується переходом від знаннєвої до результативної парадигми, орієнтованої на формування компетентностей як інтегрованого результату навчання </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8"/>
          <w:szCs w:val="28"/>
          <w:lang w:val="uk-UA" w:eastAsia="ru-RU"/>
          <w14:ligatures w14:val="none"/>
        </w:rPr>
        <w:t>Свистун В. І., &amp; Поливанюк В. В., 2023).  У цих умовах особливої актуальності набуває проблема формування професійної доброчесності офіцерів як невід’ємної складової їхньої професійної компетентності (Кисленко Д. П., Лисенко Д. П., Підопригора І. І., 2026). Це потребує теоретичного обґрунтування та подальшого наукового осмислення в системі військової освіти України.</w:t>
      </w:r>
    </w:p>
    <w:p w14:paraId="49C705C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Актуальність проблеми посилюється її міжнародним виміром: у 2025 році Національне агентство з питань запобігання корупції розробило уніфікований план заходів на виконання рекомендацій НАТО в рамках Цілі 0204 “Розбудова доброчесності” Дорожньої карти взаємосумісності України з НАТО, який передбачає “підвищення обізнаності про етичні стандарти в складових сектору безпеки та оборони”, “запровадження ефективних антикорупційних практик” та “забезпечення прозорості при залученні людського капіталу та його оцінки” (Національне агентство з питань запобігання корупції, 2025, 26 травня).</w:t>
      </w:r>
    </w:p>
    <w:p w14:paraId="73357E1A"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На нашу думку, зазначене свідчить про те, що доброчесність офіцерського корпусу є не лише педагогічною, але й стратегічною проблемою державного рівня.</w:t>
      </w:r>
    </w:p>
    <w:p w14:paraId="6633B15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Нормативним підґрунтям доброчесної поведінки посадових осіб в Україні є Закон України “Про запобігання корупції” (2014), а питання академічної доброчесності у сфері освіти регулюються Законом України “Про освіту” (2017) та Законом України “Про академічну доброчесність” (2025). Водночас специфіка військово-професійної діяльності офіцерів ЗС України зумовлює необхідність окремого наукового осмислення сутності, структури й змісту їхньої професійної </w:t>
      </w:r>
      <w:r w:rsidRPr="00B44B71">
        <w:rPr>
          <w:rFonts w:ascii="Times New Roman" w:eastAsia="Times New Roman" w:hAnsi="Times New Roman" w:cs="Times New Roman"/>
          <w:kern w:val="0"/>
          <w:sz w:val="28"/>
          <w:szCs w:val="28"/>
          <w:lang w:val="uk-UA" w:eastAsia="ru-RU"/>
          <w14:ligatures w14:val="none"/>
        </w:rPr>
        <w:lastRenderedPageBreak/>
        <w:t>доброчесності з урахуванням вимог Закону України “Про Збройні Сили України” (1991) та Дисциплінарного статуту ЗС України (1999).</w:t>
      </w:r>
    </w:p>
    <w:p w14:paraId="68274738"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Окремі аспекти досліджуваної проблематики висвітлено у працях А. Зборчого, присвячених формуванню академічної доброчесності майбутніх офіцерів-лідерів (2024); О. Ільченка та Д. Задорожного, які розробляли питання військово-професійної культури майбутніх офіцерів (2024); А. Слюсаренка, В. Телелима та ін., що займались проблемами забезпечення якості професійної військової освіти (2023). Разом із тим цілісного теоретичного дослідження сутності, структури та змісту професійної доброчесності офіцерів ЗС України як педагогічної проблеми в умовах реформування системи військової освіти практично не проводилось.</w:t>
      </w:r>
    </w:p>
    <w:p w14:paraId="45E42FC5"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bCs/>
          <w:kern w:val="0"/>
          <w:sz w:val="28"/>
          <w:szCs w:val="28"/>
          <w:lang w:val="uk-UA" w:eastAsia="ru-RU"/>
          <w14:ligatures w14:val="none"/>
        </w:rPr>
        <w:t xml:space="preserve">Мета статті </w:t>
      </w:r>
      <w:r w:rsidRPr="00B44B71">
        <w:rPr>
          <w:rFonts w:ascii="Times New Roman" w:eastAsia="Times New Roman" w:hAnsi="Times New Roman" w:cs="Times New Roman"/>
          <w:kern w:val="0"/>
          <w:sz w:val="28"/>
          <w:szCs w:val="28"/>
          <w:lang w:val="uk-UA" w:eastAsia="ru-RU"/>
          <w14:ligatures w14:val="none"/>
        </w:rPr>
        <w:t>– теоретично обґрунтувати сутність поняття “професійна доброчесність офіцера ЗС України” як педагогічної проблеми в умовах реформування системи військової освіти, розкрити її структуру та зміст.</w:t>
      </w:r>
    </w:p>
    <w:p w14:paraId="5E097F24"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bCs/>
          <w:kern w:val="0"/>
          <w:sz w:val="28"/>
          <w:szCs w:val="28"/>
          <w:lang w:val="uk-UA" w:eastAsia="ru-RU"/>
          <w14:ligatures w14:val="none"/>
        </w:rPr>
        <w:t>Методи (Methods).</w:t>
      </w:r>
      <w:r w:rsidRPr="00B44B71">
        <w:rPr>
          <w:rFonts w:ascii="Noto Sans" w:eastAsia="Times New Roman" w:hAnsi="Noto Sans" w:cs="Noto Sans"/>
          <w:b/>
          <w:bCs/>
          <w:kern w:val="0"/>
          <w:sz w:val="28"/>
          <w:szCs w:val="28"/>
          <w:lang w:val="uk-UA" w:eastAsia="ru-RU"/>
          <w14:ligatures w14:val="none"/>
        </w:rPr>
        <w:t xml:space="preserve"> </w:t>
      </w:r>
      <w:r w:rsidRPr="00B44B71">
        <w:rPr>
          <w:rFonts w:ascii="Times New Roman" w:eastAsia="Times New Roman" w:hAnsi="Times New Roman" w:cs="Times New Roman"/>
          <w:kern w:val="0"/>
          <w:sz w:val="28"/>
          <w:szCs w:val="28"/>
          <w:lang w:val="uk-UA" w:eastAsia="ru-RU"/>
          <w14:ligatures w14:val="none"/>
        </w:rPr>
        <w:t xml:space="preserve">Дослідження проводилося у 2025-2026 роках на базі теоретичного аналізу вітчизняної та зарубіжної наукової літератури з проблем військової педагогіки, етики та доброчесності, а також чинного законодавства та нормативно-правової бази України у сфері військової освіти та запобігання корупції. Матеріалами дослідження слугували: Закон України “Про запобігання корупції”, Закон України “Про освіту”, Закон України “Про академічну доброчесність”, Закон України “Про Збройні Сили України”, Дисциплінарний статут ЗС України, Кодекс доброчесної поведінки та професійної етики військових посадових осіб у МОУ та ЗС України, Концепція № 1410, рекомендації НАТО щодо розбудови доброчесності в секторі безпеки та оборони (Ціль 0204), а також наукові статті вітчизняних дослідників (А. Зборчий, О. Ільченко, Д. Задорожний, А. Слюсаренко, В. Телелим та ін.). </w:t>
      </w:r>
    </w:p>
    <w:p w14:paraId="2D5F7B78"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У процесі дослідження застосовувалися такі методи: теоретичний аналіз і синтез – для опрацювання наукової літератури та нормативно-правових актів; порівняльний аналіз – для зіставлення вітчизняних і міжнародних підходів до розуміння доброчесності у військовій сфері; системний аналіз – для розкриття структури та змісту досліджуваного феномену; абстрагування та узагальнення – для формулювання авторського визначення поняття “професійна доброчесність офіцера ЗС України” та обґрунтування педагогічних умов її формування.</w:t>
      </w:r>
    </w:p>
    <w:p w14:paraId="431079F1"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bCs/>
          <w:kern w:val="0"/>
          <w:sz w:val="28"/>
          <w:szCs w:val="28"/>
          <w:lang w:val="uk-UA" w:eastAsia="ru-RU"/>
          <w14:ligatures w14:val="none"/>
        </w:rPr>
        <w:t xml:space="preserve">Результат (Results). </w:t>
      </w:r>
      <w:r w:rsidRPr="00B44B71">
        <w:rPr>
          <w:rFonts w:ascii="Times New Roman" w:eastAsia="Times New Roman" w:hAnsi="Times New Roman" w:cs="Times New Roman"/>
          <w:kern w:val="0"/>
          <w:sz w:val="28"/>
          <w:szCs w:val="28"/>
          <w:lang w:val="uk-UA" w:eastAsia="ru-RU"/>
          <w14:ligatures w14:val="none"/>
        </w:rPr>
        <w:t>На нашу думку, поняття “доброчесність” набуло нормативного закріплення у вітчизняному законодавстві в різних площинах. Закон України “Про запобігання корупції” (2014) визначає доброчесність як “спрямованість дій особи на захист публічного інтересу та відмову від приватного інтересу, а також від прийняття неправомірної вигоди”. У сфері освіти Закон України “Про освіту” (2017 ст. 42) встановлює принципи академічної доброчесності, що є обов'язковими для всіх учасників освітнього процесу, а Закон України “Про академічну доброчесність” (2025) деталізує механізми її забезпечення та відповідальність за порушення.</w:t>
      </w:r>
    </w:p>
    <w:p w14:paraId="6A22FA19"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lastRenderedPageBreak/>
        <w:t>Водночас Кодекс доброчесної поведінки та професійної етики військових посадових осіб, державних службовців та інших осіб, уповноважених на виконання функцій держави, в Міністерстві оборони України та Збройних Силах України (2017) (далі – Кодекс) встановлює вимоги, “яких рекомендовано дотримуватися під час виконання своїх службових обов’язків”. Положення Кодексу “базується на нормах Конституції України, антикорупційного законодавства України, рекомендаціях Конвенції Організації Об'єднаних Націй проти корупції, інших документах Організації Об'єднаних Націй і Ради Європи, а також вимогах Закону України “Про державну службу”, Статутів Збройних Сил України та інших нормативно-правових актів”. Особливо важливо, що Кодекс “є узагальненням стандартів професійної етики, які спрямовані на запобігання проявам корупції в оборонному секторі, підвищення авторитету Збройних Сил України, зміцнення репутації військовослужбовців та цивільного персоналу”.</w:t>
      </w:r>
    </w:p>
    <w:p w14:paraId="5AE19255"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Кодекс визначає, що “визначальним принципом діяльності” військової (цивільної) посадової особи “є чесне і віддане служіння Українському народові, непорушне додержання Конституції України та законів України, виконання зобов’язань урочисто взятих під час складання Військової присяги або Присяги державного службовця”. Серед основних принципів доброчесної поведінки Кодекс виокремлює: пріоритет службових інтересів; політичну нейтральність; неупередженість; компетентність і ефективність; прозорість; нерозголошення службової інформації; утримання від виконання незаконних наказів; корпоративність (Кодекс доброчесної поведінки та професійної етики військових посадових осіб, державних службовців та інших осіб, уповноважених на виконання функцій держави, в Міністерстві оборони України та Збройних Силах України, 2017). </w:t>
      </w:r>
    </w:p>
    <w:p w14:paraId="1AB7AD62"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bCs/>
          <w:kern w:val="0"/>
          <w:sz w:val="28"/>
          <w:szCs w:val="28"/>
          <w:lang w:val="uk-UA" w:eastAsia="ru-RU"/>
          <w14:ligatures w14:val="none"/>
        </w:rPr>
        <w:t>Обговорення (Discussion).</w:t>
      </w:r>
      <w:r w:rsidRPr="00B44B71">
        <w:rPr>
          <w:rFonts w:ascii="Times New Roman" w:eastAsia="Times New Roman" w:hAnsi="Times New Roman" w:cs="Times New Roman"/>
          <w:kern w:val="0"/>
          <w:sz w:val="28"/>
          <w:szCs w:val="28"/>
          <w:lang w:val="uk-UA" w:eastAsia="ru-RU"/>
          <w14:ligatures w14:val="none"/>
        </w:rPr>
        <w:t xml:space="preserve"> Реформування системи військової освіти відповідно до стандартів НАТО актуалізує проблему доброчесності у педагогічному вимірі. А. Зборчий (2024), досліджуючи формування академічної доброчесності майбутніх офіцерів-лідерів, підкреслює, що “академічна доброчесність є основою для розвитку довіри та поваги у військовому освітньому середовищі, а також гарантує чесність, справедливість і відповідальність у процесі оцінювання знань і навичок курсантів”. Дослідник наголошує, що “у вищих військових навчальних закладах, де формується нове покоління військової еліти (лідерів), академічна доброчесність відіграє значну роль і набуває особливого значення, оскільки вона визначає якість навчання, підготовку до виконання службових обов’язків і відповідальність перед державою та суспільством”. О. Ільченко та Д. Задорожний (2024) розглядають військово-професійну культуру як “провідний складник підготовки майбутніх офіцерів, що забезпечує формування не лише професійних навичок, але й соціальних і гуманітарних цінностей, необхідних для ефективного виконання службових обов'язків”. Морально-етичне виховання дослідники характеризують як “визначальний елемент у формуванні соціально-гуманітарного компонента військово-професійної культури”, в межах якого “майбутні офіцери мають </w:t>
      </w:r>
      <w:r w:rsidRPr="00B44B71">
        <w:rPr>
          <w:rFonts w:ascii="Times New Roman" w:eastAsia="Times New Roman" w:hAnsi="Times New Roman" w:cs="Times New Roman"/>
          <w:kern w:val="0"/>
          <w:sz w:val="28"/>
          <w:szCs w:val="28"/>
          <w:lang w:val="uk-UA" w:eastAsia="ru-RU"/>
          <w14:ligatures w14:val="none"/>
        </w:rPr>
        <w:lastRenderedPageBreak/>
        <w:t>розуміти значення етичних норм і принципів, які визначають їхню поведінку як у військовій службі, так і в повсякденному житті”. Серед принципів формування військово-професійної культури автори виокремлюють принцип правової обізнаності та відповідальності, відповідно до якого “майбутні офіцери мають бути добре обізнані з основами військового права, дотриманням прав людини, а також усвідомлювати свою відповідальність за свої дії” (Ільченко О., &amp; Задорожний Д., 2024). А. Слюсаренко, В. Телелим та ін. (2023) у контексті забезпечення якості професійної військової освіти акцентують увагу на тому, що система внутрішнього забезпечення якості передбачає “забезпечення дотримання академічної доброчесності працівниками закладів вищої освіти та здобувачами вищої освіти, в тому числі створення й забезпечення функціонування ефективної системи запобігання та виявлення академічного плагіату”. На нашу думку, це підкреслює нерозривний зв’язок між якістю освіти та доброчесністю всіх учасників освітнього процесу. На підставі аналізу чинного законодавства (Закон України “Про Збройні Сили України”, 1991; Дисциплінарний статут Збройних Сил України, 1999; Закон України “Про запобігання корупції” 2014; Закон України “Про освіту”, 2017; Закон України “Про академічну доброчесність”, 2025), корпоративних кодексів (Кодекс доброчесної поведінки та професійної етики військових посадових осіб, державних службовців та інших осіб, уповноважених на виконання функцій держави, в Міністерстві оборони України та Збройних Силах України, 2017) та наукових досліджень (Свистун В.І., &amp; Поливанюк В. В., 2023; Слюсаренко А. В. та ін., 2023; Зборчий, А. В., 2024; Ільченко О., &amp; Задорожний Д., 2024) пропонуємо таке авторське визначення:</w:t>
      </w:r>
    </w:p>
    <w:p w14:paraId="13834EAA"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bCs/>
          <w:i/>
          <w:iCs/>
          <w:kern w:val="0"/>
          <w:sz w:val="28"/>
          <w:szCs w:val="28"/>
          <w:lang w:val="uk-UA" w:eastAsia="ru-RU"/>
          <w14:ligatures w14:val="none"/>
        </w:rPr>
        <w:t xml:space="preserve">Аналіз (Analysis). </w:t>
      </w:r>
      <w:r w:rsidRPr="00B44B71">
        <w:rPr>
          <w:rFonts w:ascii="Times New Roman" w:eastAsia="Times New Roman" w:hAnsi="Times New Roman" w:cs="Times New Roman"/>
          <w:b/>
          <w:bCs/>
          <w:iCs/>
          <w:kern w:val="0"/>
          <w:sz w:val="28"/>
          <w:szCs w:val="28"/>
          <w:lang w:val="uk-UA" w:eastAsia="ru-RU"/>
          <w14:ligatures w14:val="none"/>
        </w:rPr>
        <w:t>Професійна доброчесність офіцера Збройних Сил України</w:t>
      </w:r>
      <w:r w:rsidRPr="00B44B71">
        <w:rPr>
          <w:rFonts w:ascii="Times New Roman" w:eastAsia="Times New Roman" w:hAnsi="Times New Roman" w:cs="Times New Roman"/>
          <w:b/>
          <w:bCs/>
          <w:kern w:val="0"/>
          <w:sz w:val="28"/>
          <w:szCs w:val="28"/>
          <w:lang w:val="uk-UA" w:eastAsia="ru-RU"/>
          <w14:ligatures w14:val="none"/>
        </w:rPr>
        <w:t xml:space="preserve"> </w:t>
      </w:r>
      <w:r w:rsidRPr="00B44B71">
        <w:rPr>
          <w:rFonts w:ascii="Times New Roman" w:eastAsia="Times New Roman" w:hAnsi="Times New Roman" w:cs="Times New Roman"/>
          <w:kern w:val="0"/>
          <w:sz w:val="28"/>
          <w:szCs w:val="28"/>
          <w:lang w:val="uk-UA" w:eastAsia="ru-RU"/>
          <w14:ligatures w14:val="none"/>
        </w:rPr>
        <w:t>– це інтегральна морально-вольова якість особистості, що відображає стійку внутрішню налаштованість офіцера діяти відповідно до вимог військової присяги, норм права, стандартів військової етики та загальнолюдських цінностей у всіх сферах виконання службових обов’язків, виявляється у послідовній відмові від корупційних, дискримінаційних та інших неетичних практик і є невід’ємною складовою його офіцерської честі та гідності. У структурі професійної доброчесності офіцера ЗС України виокремлюємо чотири взаємопов'язані компоненти.</w:t>
      </w:r>
    </w:p>
    <w:p w14:paraId="2F6D7CDE"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Розглянемо чотирикомпонентну структуру зазначеного вище феномену:</w:t>
      </w:r>
    </w:p>
    <w:p w14:paraId="165C117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1. </w:t>
      </w:r>
      <w:r w:rsidRPr="00B44B71">
        <w:rPr>
          <w:rFonts w:ascii="Times New Roman" w:eastAsia="Times New Roman" w:hAnsi="Times New Roman" w:cs="Times New Roman"/>
          <w:i/>
          <w:iCs/>
          <w:kern w:val="0"/>
          <w:sz w:val="28"/>
          <w:szCs w:val="28"/>
          <w:lang w:val="uk-UA" w:eastAsia="ru-RU"/>
          <w14:ligatures w14:val="none"/>
        </w:rPr>
        <w:t>Когнітивний компонент</w:t>
      </w:r>
      <w:r w:rsidRPr="00B44B71">
        <w:rPr>
          <w:rFonts w:ascii="Times New Roman" w:eastAsia="Times New Roman" w:hAnsi="Times New Roman" w:cs="Times New Roman"/>
          <w:b/>
          <w:bCs/>
          <w:kern w:val="0"/>
          <w:sz w:val="28"/>
          <w:szCs w:val="28"/>
          <w:lang w:val="uk-UA" w:eastAsia="ru-RU"/>
          <w14:ligatures w14:val="none"/>
        </w:rPr>
        <w:t xml:space="preserve"> </w:t>
      </w:r>
      <w:r w:rsidRPr="00B44B71">
        <w:rPr>
          <w:rFonts w:ascii="Times New Roman" w:eastAsia="Times New Roman" w:hAnsi="Times New Roman" w:cs="Times New Roman"/>
          <w:kern w:val="0"/>
          <w:sz w:val="28"/>
          <w:szCs w:val="28"/>
          <w:lang w:val="uk-UA" w:eastAsia="ru-RU"/>
          <w14:ligatures w14:val="none"/>
        </w:rPr>
        <w:t xml:space="preserve">охоплює систему знань офіцера про сутність доброчесності, норми права та вимоги військової етики. Він включає знання антикорупційного законодавства (Закон України “Про запобігання корупції” 2014), вимог до поведінки військовослужбовців згідно з Дисциплінарним статутом ЗС України (1999), положень Кодексу. Зміст когнітивного компонента передбачає, що офіцер “повинен знати вимоги нормативно-правових актів, вміло застосовувати їх під час виконання службових обов'язків” (Кодекс доброчесної поведінки та професійної етики військових посадових осіб, державних </w:t>
      </w:r>
      <w:r w:rsidRPr="00B44B71">
        <w:rPr>
          <w:rFonts w:ascii="Times New Roman" w:eastAsia="Times New Roman" w:hAnsi="Times New Roman" w:cs="Times New Roman"/>
          <w:kern w:val="0"/>
          <w:sz w:val="28"/>
          <w:szCs w:val="28"/>
          <w:lang w:val="uk-UA" w:eastAsia="ru-RU"/>
          <w14:ligatures w14:val="none"/>
        </w:rPr>
        <w:lastRenderedPageBreak/>
        <w:t>службовців та інших осіб, уповноважених на виконання функцій держави, в Міністерстві оборони України та Збройних Силах України, 2017).</w:t>
      </w:r>
    </w:p>
    <w:p w14:paraId="6516BA46"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i/>
          <w:iCs/>
          <w:kern w:val="0"/>
          <w:sz w:val="28"/>
          <w:szCs w:val="28"/>
          <w:lang w:val="uk-UA" w:eastAsia="ru-RU"/>
          <w14:ligatures w14:val="none"/>
        </w:rPr>
        <w:t>2. Ціннісно-мотиваційний компонент</w:t>
      </w:r>
      <w:r w:rsidRPr="00B44B71">
        <w:rPr>
          <w:rFonts w:ascii="Times New Roman" w:eastAsia="Times New Roman" w:hAnsi="Times New Roman" w:cs="Times New Roman"/>
          <w:b/>
          <w:bCs/>
          <w:kern w:val="0"/>
          <w:sz w:val="28"/>
          <w:szCs w:val="28"/>
          <w:lang w:val="uk-UA" w:eastAsia="ru-RU"/>
          <w14:ligatures w14:val="none"/>
        </w:rPr>
        <w:t xml:space="preserve"> </w:t>
      </w:r>
      <w:r w:rsidRPr="00B44B71">
        <w:rPr>
          <w:rFonts w:ascii="Times New Roman" w:eastAsia="Times New Roman" w:hAnsi="Times New Roman" w:cs="Times New Roman"/>
          <w:kern w:val="0"/>
          <w:sz w:val="28"/>
          <w:szCs w:val="28"/>
          <w:lang w:val="uk-UA" w:eastAsia="ru-RU"/>
          <w14:ligatures w14:val="none"/>
        </w:rPr>
        <w:t>відображає внутрішню ціннісну основу доброчесності. Кодекс доброчесної поведінки визначає, що “діяльність” посадової особи “спрямована на забезпечення національних інтересів України під час виконання завдань та функцій держави, сприяння реалізації прав та законних інтересів людини і громадянина, підтримання позитивного іміджу держави та Збройних Сил України” (Кодекс доброчесної поведінки та професійної етики військових посадових осіб, державних службовців та інших осіб, уповноважених на виконання функцій держави, в Міністерстві оборони України та Збройних Силах України, 2017). Цей компонент включає: патріотизм і відданість військовій присязі; повага до людської гідності; особиста відповідальність за доброчесне виконання обов'язків.</w:t>
      </w:r>
    </w:p>
    <w:p w14:paraId="33F50A8A"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3. </w:t>
      </w:r>
      <w:r w:rsidRPr="00B44B71">
        <w:rPr>
          <w:rFonts w:ascii="Times New Roman" w:eastAsia="Times New Roman" w:hAnsi="Times New Roman" w:cs="Times New Roman"/>
          <w:i/>
          <w:iCs/>
          <w:kern w:val="0"/>
          <w:sz w:val="28"/>
          <w:szCs w:val="28"/>
          <w:lang w:val="uk-UA" w:eastAsia="ru-RU"/>
          <w14:ligatures w14:val="none"/>
        </w:rPr>
        <w:t>Поведінковий компонент</w:t>
      </w:r>
      <w:r w:rsidRPr="00B44B71">
        <w:rPr>
          <w:rFonts w:ascii="Times New Roman" w:eastAsia="Times New Roman" w:hAnsi="Times New Roman" w:cs="Times New Roman"/>
          <w:b/>
          <w:bCs/>
          <w:i/>
          <w:iCs/>
          <w:kern w:val="0"/>
          <w:sz w:val="28"/>
          <w:szCs w:val="28"/>
          <w:lang w:val="uk-UA" w:eastAsia="ru-RU"/>
          <w14:ligatures w14:val="none"/>
        </w:rPr>
        <w:t xml:space="preserve"> </w:t>
      </w:r>
      <w:r w:rsidRPr="00B44B71">
        <w:rPr>
          <w:rFonts w:ascii="Times New Roman" w:eastAsia="Times New Roman" w:hAnsi="Times New Roman" w:cs="Times New Roman"/>
          <w:kern w:val="0"/>
          <w:sz w:val="28"/>
          <w:szCs w:val="28"/>
          <w:lang w:val="uk-UA" w:eastAsia="ru-RU"/>
          <w14:ligatures w14:val="none"/>
        </w:rPr>
        <w:t>реалізує доброчесність у конкретних вчинках офіцера. Кодекс доброчесної поведінки містить чіткі поведінкові вимоги до принципу неупередженості: “не допускати дій, які могли б породжувати підозру щодо наявності приватного інтересу, який впливає на виконання службових обов'язків”; “однаково рівно відноситись до усіх громадян, не піддаватися тиску і не брати на себе жодних обов'язків, що випливають з родинних стосунків, знайомств, роботи чи корпоративної приналежності”; “не допускати, щоб особиста упередженість або тиск з боку могли позначитися на об'єктивності зроблених оцінок і прийнятих рішень” (Кодекс доброчесної поведінки та професійної етики військових посадових осіб, державних службовців та інших осіб, уповноважених на виконання функцій держави, в Міністерстві оборони України та Збройних Силах України, 2017).</w:t>
      </w:r>
    </w:p>
    <w:p w14:paraId="5AA21451"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4. </w:t>
      </w:r>
      <w:r w:rsidRPr="00B44B71">
        <w:rPr>
          <w:rFonts w:ascii="Times New Roman" w:eastAsia="Times New Roman" w:hAnsi="Times New Roman" w:cs="Times New Roman"/>
          <w:i/>
          <w:iCs/>
          <w:kern w:val="0"/>
          <w:sz w:val="28"/>
          <w:szCs w:val="28"/>
          <w:lang w:val="uk-UA" w:eastAsia="ru-RU"/>
          <w14:ligatures w14:val="none"/>
        </w:rPr>
        <w:t>Рефлексивний компонент</w:t>
      </w:r>
      <w:r w:rsidRPr="00B44B71">
        <w:rPr>
          <w:rFonts w:ascii="Times New Roman" w:eastAsia="Times New Roman" w:hAnsi="Times New Roman" w:cs="Times New Roman"/>
          <w:b/>
          <w:bCs/>
          <w:kern w:val="0"/>
          <w:sz w:val="28"/>
          <w:szCs w:val="28"/>
          <w:lang w:val="uk-UA" w:eastAsia="ru-RU"/>
          <w14:ligatures w14:val="none"/>
        </w:rPr>
        <w:t xml:space="preserve"> </w:t>
      </w:r>
      <w:r w:rsidRPr="00B44B71">
        <w:rPr>
          <w:rFonts w:ascii="Times New Roman" w:eastAsia="Times New Roman" w:hAnsi="Times New Roman" w:cs="Times New Roman"/>
          <w:kern w:val="0"/>
          <w:sz w:val="28"/>
          <w:szCs w:val="28"/>
          <w:lang w:val="uk-UA" w:eastAsia="ru-RU"/>
          <w14:ligatures w14:val="none"/>
        </w:rPr>
        <w:t xml:space="preserve">полягає у здатності офіцера критично оцінювати власну поведінку. Корпоративна етика за Кодексом вимагає “бути готовим до сприйняття критики, визнання своїх помилок та до виправлення наслідків” (Кодекс доброчесної поведінки та професійної етики військових посадових осіб, державних службовців та інших осіб, уповноважених на виконання функцій держави, в Міністерстві оборони України та Збройних Силах України, 2017). А. Зборчий (2024) підкреслює, що формування академічної доброчесності включає “розвиток критичного мислення та здатності до самоконтролю”, а “курсанти повинні бути здатні аналізувати інформацію, робити власні висновки та відповідально приймати рішення”. </w:t>
      </w:r>
    </w:p>
    <w:p w14:paraId="16F24C82"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Концепція № 1410 визначає формування доброчесності одним із стратегічних завдань реформування. Зокрема, передбачається “розроблення та імплементація в освітній процес” ВВНЗ “оновлених освітніх програм, спрямованих на формування нового стилю військового лідерства, доброчесності”. Реалізація принципу “освіта впродовж усієї військової кар’єри” (Постанова Кабінету Міністрів України “Про трансформацію системи військової освіти” № 1410, 1997) забезпечує безперервність процесу формування доброчесності. А. Зборчий (2024) визначає такі шляхи формування академічної </w:t>
      </w:r>
      <w:r w:rsidRPr="00B44B71">
        <w:rPr>
          <w:rFonts w:ascii="Times New Roman" w:eastAsia="Times New Roman" w:hAnsi="Times New Roman" w:cs="Times New Roman"/>
          <w:kern w:val="0"/>
          <w:sz w:val="28"/>
          <w:szCs w:val="28"/>
          <w:lang w:val="uk-UA" w:eastAsia="ru-RU"/>
          <w14:ligatures w14:val="none"/>
        </w:rPr>
        <w:lastRenderedPageBreak/>
        <w:t>доброчесності у майбутніх офіцерів: “формування відповідальності”, “культура взаємоповаги та етики”, “підтримка культури допомоги та співпраці”, “розвиток критичного мислення та самоконтролю”, а також важлива “роль викладача” як прикладу для курсантів. При цьому дослідник наголошує, що “формування академічної доброчесності серед курсантів військових навчальних підрозділів закладів вищої освіти – це постійний процес, який потребує спільних зусиль з боку курсантів, викладачів, керівництва закладів вищої освіти, вищих військових навчальних закладів і Збройних Сил України”. О. Ільченко та Д. Задорожний (2024) обґрунтовують, що ефективне формування військово-професійної культури, невід’ємним складником якої є доброчесність, базується на принципах “єдності теорії та практики”, “наступності та безперервності”, “індивідуального підходу”, а також “адаптації до сучасних умов”, що “враховує зміни в тактиці ведення бойових дій, розвиток нових технологій, інформаційну війну та інші виклики сучасного світу”. Слюсаренко та ін. (2023) доводять, що якість підготовки офіцерів нерозривно пов’язана з “морально-психологічним забезпеченням” та “сприятливістю морально-психологічного клімату” в освітньому середовищі.</w:t>
      </w:r>
    </w:p>
    <w:p w14:paraId="686DCBF9"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Міжнародний вимір формування доброчесності визначається рекомендаціями НАТО в рамках Цілі 0204 “Розбудова доброчесності”, реалізація яких передбачає “просування принципів доброчесності, прозорості та підзвітності”, а також “розвиток відповідних інституційних спроможностей для зниження рівня корупції у сфері безпеки та оборони” (Національне агентство з питань запобігання корупції, 2025, 26 травня). Кодекс доброчесної поведінки МОУ та ЗСУ (2017) у цьому контексті є практичним інструментом імплементації цих міжнародних стандартів у діяльність офіцерського корпусу України.</w:t>
      </w:r>
    </w:p>
    <w:p w14:paraId="57370ADD"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bCs/>
          <w:kern w:val="0"/>
          <w:sz w:val="28"/>
          <w:szCs w:val="28"/>
          <w:lang w:val="uk-UA" w:eastAsia="ru-RU"/>
          <w14:ligatures w14:val="none"/>
        </w:rPr>
        <w:t>Висновки (Conclusions).</w:t>
      </w:r>
      <w:r w:rsidRPr="00B44B71">
        <w:rPr>
          <w:rFonts w:ascii="Noto Sans" w:eastAsia="Times New Roman" w:hAnsi="Noto Sans" w:cs="Noto Sans"/>
          <w:b/>
          <w:bCs/>
          <w:kern w:val="0"/>
          <w:sz w:val="21"/>
          <w:szCs w:val="21"/>
          <w:lang w:val="uk-UA" w:eastAsia="ru-RU"/>
          <w14:ligatures w14:val="none"/>
        </w:rPr>
        <w:t xml:space="preserve"> </w:t>
      </w:r>
      <w:r w:rsidRPr="00B44B71">
        <w:rPr>
          <w:rFonts w:ascii="Times New Roman" w:eastAsia="Times New Roman" w:hAnsi="Times New Roman" w:cs="Times New Roman"/>
          <w:kern w:val="0"/>
          <w:sz w:val="28"/>
          <w:szCs w:val="28"/>
          <w:lang w:val="uk-UA" w:eastAsia="ru-RU"/>
          <w14:ligatures w14:val="none"/>
        </w:rPr>
        <w:t>Узагальнення результатів теоретичного аналізу нормативно-правової бази, наукових досліджень вітчизняних учених та міжнародних стандартів НАТО щодо розбудови доброчесності в секторі безпеки та оборони дозволяє сформулювати висновки, які відповідають меті та завданням дослідження. Встановлено, що професійна доброчесність офіцерів ЗС України є багатовимірним феноменом, що одночасно постає як правова вимога, стратегічний орієнтир реформування системи військової освіти та педагогічна проблема, яка потребує цілеспрямованого наукового осмислення й практичного вирішення. Виявлене протиріччя між нормативною регламентацією доброчесної поведінки офіцера та недостатньою розробленістю педагогічних механізмів її формування у системі військової освіти підтверджує актуальність дослідження та визначає логіку представлених нижче висновків, а саме:</w:t>
      </w:r>
    </w:p>
    <w:p w14:paraId="75A8A05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1. Проблема професійної доброчесності офіцерів ЗС України набуває особливої актуальності в умовах реформування системи військової освіти відповідно до стандартів НАТО. Концепція № 1410 прямо визначає формування доброчесності стратегічним завданням, а рекомендації НАТО в рамках Цілі 0204 підтверджують її державний пріоритет (Постанова Кабінету Міністрів України “Про трансформацію системи військової освіти” № 1410, 1997);</w:t>
      </w:r>
    </w:p>
    <w:p w14:paraId="611C2490"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lastRenderedPageBreak/>
        <w:t>2. Нормативно-правову основу доброчесної поведінки офіцерів утворює комплекс документів: антикорупційне законодавство (Закон України “Про запобігання корупції”, 2014), законодавство у сфері освіти (Закон України “Про освіту”, 2017; Закон України “Про академічну доброчесність”, 2025), військове законодавство (Закон України “Про Збройні Сили України”, 1991;</w:t>
      </w:r>
      <w:r w:rsidRPr="00B44B71">
        <w:rPr>
          <w:rFonts w:ascii="Times New Roman" w:eastAsia="Times New Roman" w:hAnsi="Times New Roman" w:cs="Times New Roman"/>
          <w:kern w:val="0"/>
          <w:sz w:val="24"/>
          <w:szCs w:val="24"/>
          <w:lang w:val="uk-UA" w:eastAsia="ru-RU"/>
          <w14:ligatures w14:val="none"/>
        </w:rPr>
        <w:t xml:space="preserve"> </w:t>
      </w:r>
      <w:r w:rsidRPr="00B44B71">
        <w:rPr>
          <w:rFonts w:ascii="Times New Roman" w:eastAsia="Times New Roman" w:hAnsi="Times New Roman" w:cs="Times New Roman"/>
          <w:kern w:val="0"/>
          <w:sz w:val="28"/>
          <w:szCs w:val="28"/>
          <w:lang w:val="uk-UA" w:eastAsia="ru-RU"/>
          <w14:ligatures w14:val="none"/>
        </w:rPr>
        <w:t>Дисциплінарний статут Збройних Сил України, 1999) та корпоративні кодекси (Кодекс доброчесної поведінки та професійної етики військових посадових осіб, державних службовців та інших осіб, уповноважених на виконання функцій держави, в Міністерстві оборони України та Збройних Силах України, 2017). Кодекс визначає вісім основних принципів доброчесної поведінки офіцера: пріоритет службових інтересів, політична нейтральність, неупередженість, компетентність і ефективність, прозорість, конфіденційність, утримання від незаконних наказів, корпоративність.</w:t>
      </w:r>
    </w:p>
    <w:p w14:paraId="0FB38501"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3. Структура професійної доброчесності офіцера ЗС України охоплює чотири взаємопов'язані компоненти: когнітивний, ціннісно-мотиваційний, поведінковий та рефлексивний. Кожен компонент знаходить нормативне підтвердження у Кодексі (2017) і є необхідним для цілісного прояву доброчесності офіцера.</w:t>
      </w:r>
    </w:p>
    <w:p w14:paraId="75021EEC"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4. Педагогічними умовами формування професійної доброчесності офіцерів в умовах реформування є: цілеспрямоване включення питань доброчесності до оновлених освітніх програм (Постанова Кабінету Міністрів України “Про трансформацію системи військової освіти” № 1410, 1997); формування академічної доброчесності як основи майбутньої професійної поведінки (Зборчий, А. В., 2024); інтеграція морально-етичного виховання до соціально-гуманітарного компонента підготовки (Ільченко О., &amp; Задорожний Д., 2024); забезпечення якості освітнього середовища як умови доброчесної поведінки (Слюсаренко А. В. та ін., 2023).</w:t>
      </w:r>
    </w:p>
    <w:p w14:paraId="6D694056"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bCs/>
          <w:kern w:val="0"/>
          <w:sz w:val="28"/>
          <w:szCs w:val="28"/>
          <w:lang w:val="uk-UA" w:eastAsia="ru-RU"/>
          <w14:ligatures w14:val="none"/>
        </w:rPr>
        <w:t xml:space="preserve">Перспективи подальших досліджень (Prospects for further research) </w:t>
      </w:r>
      <w:r w:rsidRPr="00B44B71">
        <w:rPr>
          <w:rFonts w:ascii="Times New Roman" w:eastAsia="Times New Roman" w:hAnsi="Times New Roman" w:cs="Times New Roman"/>
          <w:kern w:val="0"/>
          <w:sz w:val="28"/>
          <w:szCs w:val="28"/>
          <w:lang w:val="uk-UA" w:eastAsia="ru-RU"/>
          <w14:ligatures w14:val="none"/>
        </w:rPr>
        <w:t>пов’язані з розробкою, теоретичним обґрунтуванням та експериментальною перевіркою педагогічної моделі формування професійної доброчесності офіцерів у процесі фахової підготовки у вищих військових навчальних закладах України в умовах реформування системи військової освіти відповідно до стандартів НАТО, а також із розробленням науково обґрунтованого діагностичного інструментарію для комплексного оцінювання рівнів сформованості професійної доброчесності офіцерського корпусу Збройних Сил України.</w:t>
      </w:r>
    </w:p>
    <w:p w14:paraId="79D62624" w14:textId="77777777" w:rsidR="00B44B71" w:rsidRPr="00B44B71" w:rsidRDefault="00B44B71" w:rsidP="00023291">
      <w:pPr>
        <w:tabs>
          <w:tab w:val="left" w:pos="9638"/>
        </w:tabs>
        <w:spacing w:after="60" w:line="240" w:lineRule="auto"/>
        <w:ind w:firstLine="567"/>
        <w:rPr>
          <w:rFonts w:ascii="Times New Roman" w:eastAsia="Times New Roman" w:hAnsi="Times New Roman" w:cs="Times New Roman"/>
          <w:kern w:val="0"/>
          <w:sz w:val="28"/>
          <w:szCs w:val="28"/>
          <w:lang w:val="uk-UA" w:eastAsia="ru-RU"/>
          <w14:ligatures w14:val="none"/>
        </w:rPr>
      </w:pPr>
    </w:p>
    <w:p w14:paraId="27821982" w14:textId="77777777" w:rsidR="00B44B71" w:rsidRPr="00B44B71" w:rsidRDefault="00B44B71" w:rsidP="00891EE1">
      <w:pPr>
        <w:tabs>
          <w:tab w:val="left" w:pos="9638"/>
        </w:tabs>
        <w:spacing w:after="0" w:line="240" w:lineRule="auto"/>
        <w:jc w:val="center"/>
        <w:rPr>
          <w:rFonts w:ascii="Times New Roman" w:eastAsia="Times New Roman" w:hAnsi="Times New Roman" w:cs="Times New Roman"/>
          <w:b/>
          <w:bCs/>
          <w:kern w:val="0"/>
          <w:sz w:val="24"/>
          <w:szCs w:val="24"/>
          <w:lang w:val="uk-UA" w:eastAsia="ru-RU"/>
          <w14:ligatures w14:val="none"/>
        </w:rPr>
      </w:pPr>
      <w:r w:rsidRPr="00B44B71">
        <w:rPr>
          <w:rFonts w:ascii="Times New Roman" w:eastAsia="Times New Roman" w:hAnsi="Times New Roman" w:cs="Times New Roman"/>
          <w:b/>
          <w:bCs/>
          <w:kern w:val="0"/>
          <w:sz w:val="24"/>
          <w:szCs w:val="24"/>
          <w:lang w:val="uk-UA" w:eastAsia="ru-RU"/>
          <w14:ligatures w14:val="none"/>
        </w:rPr>
        <w:t>ЛІТЕРАТУРА</w:t>
      </w:r>
    </w:p>
    <w:p w14:paraId="45194F64"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Дисциплінарний статут Збройних Сил України № 551-XIV (1999). https:/ /zakon.rada. gov.ua/laws/show/551-14</w:t>
      </w:r>
    </w:p>
    <w:p w14:paraId="77078DE2"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Закон України «Про академічну доброчесність» № 4742-IX (2025). </w:t>
      </w:r>
      <w:hyperlink r:id="rId270" w:history="1">
        <w:r w:rsidRPr="00B44B71">
          <w:rPr>
            <w:rFonts w:ascii="Times New Roman" w:eastAsia="Calibri" w:hAnsi="Times New Roman" w:cs="Times New Roman"/>
            <w:color w:val="0563C1"/>
            <w:kern w:val="0"/>
            <w:sz w:val="24"/>
            <w:szCs w:val="24"/>
            <w:u w:val="single"/>
            <w:lang w:val="uk-UA"/>
            <w14:ligatures w14:val="none"/>
          </w:rPr>
          <w:t>https://zakon</w:t>
        </w:r>
      </w:hyperlink>
      <w:r w:rsidRPr="00B44B71">
        <w:rPr>
          <w:rFonts w:ascii="Times New Roman" w:eastAsia="Calibri" w:hAnsi="Times New Roman" w:cs="Times New Roman"/>
          <w:kern w:val="0"/>
          <w:sz w:val="24"/>
          <w:szCs w:val="24"/>
          <w:lang w:val="uk-UA"/>
          <w14:ligatures w14:val="none"/>
        </w:rPr>
        <w:t>. rada.gov.ua/laws/show/4742-20</w:t>
      </w:r>
    </w:p>
    <w:p w14:paraId="77DB2024"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Закон України «Про запобігання корупції» № 1700-VII (2014). https:// zakon. rada.gov.ua/laws/show/1700-18</w:t>
      </w:r>
    </w:p>
    <w:p w14:paraId="2C6D0DD3"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lastRenderedPageBreak/>
        <w:t>Закон України «Про Збройні Сили України» № 1934-XII (1991). https:// zakon. rada.gov. ua/laws/show/1934-12</w:t>
      </w:r>
    </w:p>
    <w:p w14:paraId="6EB81E28"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Закон України «Про освіту» № 2145-VIII (2017). https:// zakon.rada. gov.ua/ laws/ show/2145-19</w:t>
      </w:r>
    </w:p>
    <w:p w14:paraId="2869E1D0"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Зборчий, А. В. (2024). </w:t>
      </w:r>
      <w:r w:rsidRPr="00B44B71">
        <w:rPr>
          <w:rFonts w:ascii="Times New Roman" w:eastAsia="Times New Roman" w:hAnsi="Times New Roman" w:cs="Times New Roman"/>
          <w:kern w:val="0"/>
          <w:sz w:val="24"/>
          <w:szCs w:val="24"/>
          <w:lang w:val="uk-UA" w:eastAsia="ru-RU"/>
          <w14:ligatures w14:val="none"/>
        </w:rPr>
        <w:t xml:space="preserve">Формування академічної доброчесності в майбутніх офіцерів-лідерів у процесі навчання. </w:t>
      </w:r>
      <w:r w:rsidRPr="00B44B71">
        <w:rPr>
          <w:rFonts w:ascii="Times New Roman" w:eastAsia="Times New Roman" w:hAnsi="Times New Roman" w:cs="Times New Roman"/>
          <w:i/>
          <w:iCs/>
          <w:kern w:val="0"/>
          <w:sz w:val="24"/>
          <w:szCs w:val="24"/>
          <w:lang w:val="uk-UA" w:eastAsia="ru-RU"/>
          <w14:ligatures w14:val="none"/>
        </w:rPr>
        <w:t>Вісник Київського національного університету імені Тараса Шевченка. Педагогіка</w:t>
      </w:r>
      <w:r w:rsidRPr="00B44B71">
        <w:rPr>
          <w:rFonts w:ascii="Times New Roman" w:eastAsia="Times New Roman" w:hAnsi="Times New Roman" w:cs="Times New Roman"/>
          <w:kern w:val="0"/>
          <w:sz w:val="24"/>
          <w:szCs w:val="24"/>
          <w:lang w:val="uk-UA" w:eastAsia="ru-RU"/>
          <w14:ligatures w14:val="none"/>
        </w:rPr>
        <w:t xml:space="preserve">, </w:t>
      </w:r>
      <w:r w:rsidRPr="00B44B71">
        <w:rPr>
          <w:rFonts w:ascii="Times New Roman" w:eastAsia="Times New Roman" w:hAnsi="Times New Roman" w:cs="Times New Roman"/>
          <w:i/>
          <w:iCs/>
          <w:kern w:val="0"/>
          <w:sz w:val="24"/>
          <w:szCs w:val="24"/>
          <w:lang w:val="uk-UA" w:eastAsia="ru-RU"/>
          <w14:ligatures w14:val="none"/>
        </w:rPr>
        <w:t>(2(20))</w:t>
      </w:r>
      <w:r w:rsidRPr="00B44B71">
        <w:rPr>
          <w:rFonts w:ascii="Times New Roman" w:eastAsia="Times New Roman" w:hAnsi="Times New Roman" w:cs="Times New Roman"/>
          <w:kern w:val="0"/>
          <w:sz w:val="24"/>
          <w:szCs w:val="24"/>
          <w:lang w:val="uk-UA" w:eastAsia="ru-RU"/>
          <w14:ligatures w14:val="none"/>
        </w:rPr>
        <w:t>, 37–42</w:t>
      </w:r>
      <w:r w:rsidRPr="00B44B71">
        <w:rPr>
          <w:rFonts w:ascii="Times New Roman" w:eastAsia="Calibri" w:hAnsi="Times New Roman" w:cs="Times New Roman"/>
          <w:kern w:val="0"/>
          <w:sz w:val="24"/>
          <w:szCs w:val="24"/>
          <w:lang w:val="uk-UA"/>
          <w14:ligatures w14:val="none"/>
        </w:rPr>
        <w:t>. https://doi.org/10.17721/2415-3699.2024.20.06</w:t>
      </w:r>
    </w:p>
    <w:p w14:paraId="0108B704"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Ільченко О., &amp; Задорожний Д. (2024). Розвиток військово-професійної культури майбутніх офіцерів у системі військових ЗВО України. </w:t>
      </w:r>
      <w:r w:rsidRPr="00B44B71">
        <w:rPr>
          <w:rFonts w:ascii="Times New Roman" w:eastAsia="Calibri" w:hAnsi="Times New Roman" w:cs="Times New Roman"/>
          <w:i/>
          <w:kern w:val="0"/>
          <w:sz w:val="24"/>
          <w:szCs w:val="24"/>
          <w:lang w:val="uk-UA"/>
          <w14:ligatures w14:val="none"/>
        </w:rPr>
        <w:t>Витоки педагогічної майстерності , (34), 88–94.</w:t>
      </w:r>
      <w:r w:rsidRPr="00B44B71">
        <w:rPr>
          <w:rFonts w:ascii="Times New Roman" w:eastAsia="Calibri" w:hAnsi="Times New Roman" w:cs="Times New Roman"/>
          <w:kern w:val="0"/>
          <w:sz w:val="24"/>
          <w:szCs w:val="24"/>
          <w:lang w:val="uk-UA"/>
          <w14:ligatures w14:val="none"/>
        </w:rPr>
        <w:t xml:space="preserve"> https://doi.org/10.33989/2075-146X.2024.34.318002</w:t>
      </w:r>
    </w:p>
    <w:p w14:paraId="4661CEBF"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Кисленко Д. П., Лисенко Д. П., Підопригора І. І. (2026). Розвиток професійної доброчесності офіцерів вищого керівного складу в системі неформальної військової освіти. </w:t>
      </w:r>
      <w:r w:rsidRPr="00B44B71">
        <w:rPr>
          <w:rFonts w:ascii="Times New Roman" w:eastAsia="Calibri" w:hAnsi="Times New Roman" w:cs="Times New Roman"/>
          <w:i/>
          <w:iCs/>
          <w:kern w:val="0"/>
          <w:sz w:val="24"/>
          <w:szCs w:val="24"/>
          <w:lang w:val="uk-UA"/>
          <w14:ligatures w14:val="none"/>
        </w:rPr>
        <w:t>Педагогічна Академія: наукові записки, 28</w:t>
      </w:r>
      <w:r w:rsidRPr="00B44B71">
        <w:rPr>
          <w:rFonts w:ascii="Times New Roman" w:eastAsia="Calibri" w:hAnsi="Times New Roman" w:cs="Times New Roman"/>
          <w:kern w:val="0"/>
          <w:sz w:val="24"/>
          <w:szCs w:val="24"/>
          <w:lang w:val="uk-UA"/>
          <w14:ligatures w14:val="none"/>
        </w:rPr>
        <w:t>. https://doi.org/10.5281/zenodo.19226614</w:t>
      </w:r>
    </w:p>
    <w:p w14:paraId="31455B5E"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Кодекс доброчесної поведінки та професійної етики військових посадових осіб, державних службовців та інших осіб, уповноважених на виконання функцій держави, в Міністерстві оборони України та Збройних Силах України. (2017). </w:t>
      </w:r>
      <w:hyperlink r:id="rId271" w:history="1">
        <w:r w:rsidRPr="00B44B71">
          <w:rPr>
            <w:rFonts w:ascii="Times New Roman" w:eastAsia="Calibri" w:hAnsi="Times New Roman" w:cs="Times New Roman"/>
            <w:kern w:val="0"/>
            <w:sz w:val="24"/>
            <w:szCs w:val="24"/>
            <w:u w:val="single"/>
            <w:lang w:val="uk-UA"/>
            <w14:ligatures w14:val="none"/>
          </w:rPr>
          <w:t>https://mod.gov.ua/diyalnist/normativno-pravova-baza/kodeks-dobrochesnoi-povedinki-ta-profesiinoi-etiki-viiskovikh-posadovikh-osib-derzhavnikh-sluzhbovtsiv-ta-inshikh-osib-upovnovazhenikh-na-vikonannia-funktsii-derzhavi-v-ministerstvi-oboroni-ukraini-ta</w:t>
        </w:r>
      </w:hyperlink>
      <w:r w:rsidRPr="00B44B71">
        <w:rPr>
          <w:rFonts w:ascii="Times New Roman" w:eastAsia="Calibri" w:hAnsi="Times New Roman" w:cs="Times New Roman"/>
          <w:kern w:val="0"/>
          <w:sz w:val="24"/>
          <w:szCs w:val="24"/>
          <w:lang w:val="uk-UA"/>
          <w14:ligatures w14:val="none"/>
        </w:rPr>
        <w:t xml:space="preserve"> </w:t>
      </w:r>
    </w:p>
    <w:p w14:paraId="4CCEEC41"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4"/>
          <w:szCs w:val="24"/>
          <w:u w:val="single"/>
          <w:lang w:val="uk-UA"/>
          <w14:ligatures w14:val="none"/>
        </w:rPr>
      </w:pPr>
      <w:r w:rsidRPr="00B44B71">
        <w:rPr>
          <w:rFonts w:ascii="Times New Roman" w:eastAsia="Calibri" w:hAnsi="Times New Roman" w:cs="Times New Roman"/>
          <w:kern w:val="0"/>
          <w:sz w:val="24"/>
          <w:szCs w:val="24"/>
          <w:lang w:val="uk-UA"/>
          <w14:ligatures w14:val="none"/>
        </w:rPr>
        <w:t xml:space="preserve">Національне агентство з питань запобігання корупції (2025, 26 травня). </w:t>
      </w:r>
      <w:r w:rsidRPr="00B44B71">
        <w:rPr>
          <w:rFonts w:ascii="Times New Roman" w:eastAsia="Calibri" w:hAnsi="Times New Roman" w:cs="Times New Roman"/>
          <w:i/>
          <w:kern w:val="0"/>
          <w:sz w:val="24"/>
          <w:szCs w:val="24"/>
          <w:lang w:val="uk-UA"/>
          <w14:ligatures w14:val="none"/>
        </w:rPr>
        <w:t>НАЗК представило уніфікований план дій для виконання рекомендацій НАТО щодо доброчесності в секторі безпеки та оборони.</w:t>
      </w:r>
      <w:r w:rsidRPr="00B44B71">
        <w:rPr>
          <w:rFonts w:ascii="Times New Roman" w:eastAsia="Calibri" w:hAnsi="Times New Roman" w:cs="Times New Roman"/>
          <w:kern w:val="0"/>
          <w:sz w:val="24"/>
          <w:szCs w:val="24"/>
          <w:lang w:val="uk-UA"/>
          <w14:ligatures w14:val="none"/>
        </w:rPr>
        <w:t xml:space="preserve"> </w:t>
      </w:r>
      <w:hyperlink r:id="rId272" w:history="1">
        <w:r w:rsidRPr="00B44B71">
          <w:rPr>
            <w:rFonts w:ascii="Times New Roman" w:eastAsia="Calibri" w:hAnsi="Times New Roman" w:cs="Times New Roman"/>
            <w:kern w:val="0"/>
            <w:sz w:val="24"/>
            <w:szCs w:val="24"/>
            <w:u w:val="single"/>
            <w:lang w:val="uk-UA"/>
            <w14:ligatures w14:val="none"/>
          </w:rPr>
          <w:t>https://nazk.gov.ua/uk/nazk-predstavylo-unifikovanyy-plan-diy-dlya-vykonannya-rekomendatsiy-nato-schodo-dobrochesnosti-v-sektori-bezpeky-ta-oborony/</w:t>
        </w:r>
      </w:hyperlink>
    </w:p>
    <w:p w14:paraId="394A61EA"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Постанова Кабінету Міністрів України «Про трансформацію системи військової освіти» № 1410 (1997). </w:t>
      </w:r>
      <w:hyperlink r:id="rId273" w:anchor="Text" w:history="1">
        <w:r w:rsidRPr="00B44B71">
          <w:rPr>
            <w:rFonts w:ascii="Times New Roman" w:eastAsia="Calibri" w:hAnsi="Times New Roman" w:cs="Times New Roman"/>
            <w:kern w:val="0"/>
            <w:sz w:val="24"/>
            <w:szCs w:val="24"/>
            <w:u w:val="single"/>
            <w:lang w:val="uk-UA"/>
            <w14:ligatures w14:val="none"/>
          </w:rPr>
          <w:t>https://zakon.rada.gov.ua/laws/show/1410-97-%D0%BF#Text</w:t>
        </w:r>
      </w:hyperlink>
    </w:p>
    <w:p w14:paraId="759B21DA"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Свистун</w:t>
      </w:r>
      <w:r w:rsidRPr="00B44B71">
        <w:rPr>
          <w:rFonts w:ascii="Times New Roman" w:eastAsia="Calibri" w:hAnsi="Times New Roman" w:cs="Times New Roman"/>
          <w:kern w:val="0"/>
          <w:sz w:val="24"/>
          <w:szCs w:val="24"/>
          <w14:ligatures w14:val="none"/>
        </w:rPr>
        <w:t> </w:t>
      </w:r>
      <w:r w:rsidRPr="00B44B71">
        <w:rPr>
          <w:rFonts w:ascii="Times New Roman" w:eastAsia="Calibri" w:hAnsi="Times New Roman" w:cs="Times New Roman"/>
          <w:kern w:val="0"/>
          <w:sz w:val="24"/>
          <w:szCs w:val="24"/>
          <w:lang w:val="uk-UA"/>
          <w14:ligatures w14:val="none"/>
        </w:rPr>
        <w:t>В.</w:t>
      </w:r>
      <w:r w:rsidRPr="00B44B71">
        <w:rPr>
          <w:rFonts w:ascii="Times New Roman" w:eastAsia="Calibri" w:hAnsi="Times New Roman" w:cs="Times New Roman"/>
          <w:kern w:val="0"/>
          <w:sz w:val="24"/>
          <w:szCs w:val="24"/>
          <w14:ligatures w14:val="none"/>
        </w:rPr>
        <w:t> </w:t>
      </w:r>
      <w:r w:rsidRPr="00B44B71">
        <w:rPr>
          <w:rFonts w:ascii="Times New Roman" w:eastAsia="Calibri" w:hAnsi="Times New Roman" w:cs="Times New Roman"/>
          <w:kern w:val="0"/>
          <w:sz w:val="24"/>
          <w:szCs w:val="24"/>
          <w:lang w:val="uk-UA"/>
          <w14:ligatures w14:val="none"/>
        </w:rPr>
        <w:t>І., &amp; Поливанюк</w:t>
      </w:r>
      <w:r w:rsidRPr="00B44B71">
        <w:rPr>
          <w:rFonts w:ascii="Times New Roman" w:eastAsia="Calibri" w:hAnsi="Times New Roman" w:cs="Times New Roman"/>
          <w:kern w:val="0"/>
          <w:sz w:val="24"/>
          <w:szCs w:val="24"/>
          <w14:ligatures w14:val="none"/>
        </w:rPr>
        <w:t> </w:t>
      </w:r>
      <w:r w:rsidRPr="00B44B71">
        <w:rPr>
          <w:rFonts w:ascii="Times New Roman" w:eastAsia="Calibri" w:hAnsi="Times New Roman" w:cs="Times New Roman"/>
          <w:kern w:val="0"/>
          <w:sz w:val="24"/>
          <w:szCs w:val="24"/>
          <w:lang w:val="uk-UA"/>
          <w14:ligatures w14:val="none"/>
        </w:rPr>
        <w:t>В.</w:t>
      </w:r>
      <w:r w:rsidRPr="00B44B71">
        <w:rPr>
          <w:rFonts w:ascii="Times New Roman" w:eastAsia="Calibri" w:hAnsi="Times New Roman" w:cs="Times New Roman"/>
          <w:kern w:val="0"/>
          <w:sz w:val="24"/>
          <w:szCs w:val="24"/>
          <w14:ligatures w14:val="none"/>
        </w:rPr>
        <w:t> </w:t>
      </w:r>
      <w:r w:rsidRPr="00B44B71">
        <w:rPr>
          <w:rFonts w:ascii="Times New Roman" w:eastAsia="Calibri" w:hAnsi="Times New Roman" w:cs="Times New Roman"/>
          <w:kern w:val="0"/>
          <w:sz w:val="24"/>
          <w:szCs w:val="24"/>
          <w:lang w:val="uk-UA"/>
          <w14:ligatures w14:val="none"/>
        </w:rPr>
        <w:t xml:space="preserve">В. (2023). Аналіз дефініції «Професійна компетентність військових фахівців». </w:t>
      </w:r>
      <w:r w:rsidRPr="00B44B71">
        <w:rPr>
          <w:rFonts w:ascii="Times New Roman" w:eastAsia="Calibri" w:hAnsi="Times New Roman" w:cs="Times New Roman"/>
          <w:i/>
          <w:kern w:val="0"/>
          <w:sz w:val="24"/>
          <w:szCs w:val="24"/>
          <w:lang w:val="uk-UA"/>
          <w14:ligatures w14:val="none"/>
        </w:rPr>
        <w:t>Військова освіта, 2 (48),</w:t>
      </w:r>
      <w:r w:rsidRPr="00B44B71">
        <w:rPr>
          <w:rFonts w:ascii="Times New Roman" w:eastAsia="Calibri" w:hAnsi="Times New Roman" w:cs="Times New Roman"/>
          <w:kern w:val="0"/>
          <w:sz w:val="24"/>
          <w:szCs w:val="24"/>
          <w:lang w:val="uk-UA"/>
          <w14:ligatures w14:val="none"/>
        </w:rPr>
        <w:t xml:space="preserve"> 251–266. https://doi.org/10.33099/2617-1775/2023-02/251-266</w:t>
      </w:r>
    </w:p>
    <w:p w14:paraId="5B6E8BD9"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Слюсаренко А. В., Телелим В. М., Зельницький, А. М., Заболотний, О. А. (2023). Забезпечення якості професійної військової освіти: визначення понять і моніторинг поточного стану. </w:t>
      </w:r>
      <w:r w:rsidRPr="00B44B71">
        <w:rPr>
          <w:rFonts w:ascii="Times New Roman" w:eastAsia="Calibri" w:hAnsi="Times New Roman" w:cs="Times New Roman"/>
          <w:i/>
          <w:kern w:val="0"/>
          <w:sz w:val="24"/>
          <w:szCs w:val="24"/>
          <w:lang w:val="uk-UA"/>
          <w14:ligatures w14:val="none"/>
        </w:rPr>
        <w:t>Актуальні питання національної безпеки та оборони, 4(23),</w:t>
      </w:r>
      <w:r w:rsidRPr="00B44B71">
        <w:rPr>
          <w:rFonts w:ascii="Times New Roman" w:eastAsia="Calibri" w:hAnsi="Times New Roman" w:cs="Times New Roman"/>
          <w:kern w:val="0"/>
          <w:sz w:val="24"/>
          <w:szCs w:val="24"/>
          <w:lang w:val="uk-UA"/>
          <w14:ligatures w14:val="none"/>
        </w:rPr>
        <w:t xml:space="preserve"> 14–22. https://doi.org/10.33099/2618-1614-2023-23-4-14-22</w:t>
      </w:r>
    </w:p>
    <w:p w14:paraId="3AF7F426"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4"/>
          <w:szCs w:val="24"/>
          <w14:ligatures w14:val="none"/>
        </w:rPr>
      </w:pPr>
      <w:r w:rsidRPr="00B44B71">
        <w:rPr>
          <w:rFonts w:ascii="Times New Roman" w:eastAsia="Calibri" w:hAnsi="Times New Roman" w:cs="Times New Roman"/>
          <w:kern w:val="0"/>
          <w:sz w:val="24"/>
          <w:szCs w:val="24"/>
          <w14:ligatures w14:val="none"/>
        </w:rPr>
        <w:t>Petrachkov</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O</w:t>
      </w:r>
      <w:r w:rsidRPr="00B44B71">
        <w:rPr>
          <w:rFonts w:ascii="Times New Roman" w:eastAsia="Calibri" w:hAnsi="Times New Roman" w:cs="Times New Roman"/>
          <w:kern w:val="0"/>
          <w:sz w:val="24"/>
          <w:szCs w:val="24"/>
          <w:lang w:val="uk-UA"/>
          <w14:ligatures w14:val="none"/>
        </w:rPr>
        <w:t>.</w:t>
      </w:r>
      <w:r w:rsidRPr="00B44B71">
        <w:rPr>
          <w:rFonts w:ascii="Times New Roman" w:eastAsia="Calibri" w:hAnsi="Times New Roman" w:cs="Times New Roman"/>
          <w:kern w:val="0"/>
          <w:sz w:val="24"/>
          <w:szCs w:val="24"/>
          <w14:ligatures w14:val="none"/>
        </w:rPr>
        <w:t>V</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Kyslenko</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D</w:t>
      </w:r>
      <w:r w:rsidRPr="00B44B71">
        <w:rPr>
          <w:rFonts w:ascii="Times New Roman" w:eastAsia="Calibri" w:hAnsi="Times New Roman" w:cs="Times New Roman"/>
          <w:kern w:val="0"/>
          <w:sz w:val="24"/>
          <w:szCs w:val="24"/>
          <w:lang w:val="uk-UA"/>
          <w14:ligatures w14:val="none"/>
        </w:rPr>
        <w:t>.</w:t>
      </w:r>
      <w:r w:rsidRPr="00B44B71">
        <w:rPr>
          <w:rFonts w:ascii="Times New Roman" w:eastAsia="Calibri" w:hAnsi="Times New Roman" w:cs="Times New Roman"/>
          <w:kern w:val="0"/>
          <w:sz w:val="24"/>
          <w:szCs w:val="24"/>
          <w14:ligatures w14:val="none"/>
        </w:rPr>
        <w:t>P</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Mykhaylov</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V</w:t>
      </w:r>
      <w:r w:rsidRPr="00B44B71">
        <w:rPr>
          <w:rFonts w:ascii="Times New Roman" w:eastAsia="Calibri" w:hAnsi="Times New Roman" w:cs="Times New Roman"/>
          <w:kern w:val="0"/>
          <w:sz w:val="24"/>
          <w:szCs w:val="24"/>
          <w:lang w:val="uk-UA"/>
          <w14:ligatures w14:val="none"/>
        </w:rPr>
        <w:t>.</w:t>
      </w:r>
      <w:r w:rsidRPr="00B44B71">
        <w:rPr>
          <w:rFonts w:ascii="Times New Roman" w:eastAsia="Calibri" w:hAnsi="Times New Roman" w:cs="Times New Roman"/>
          <w:kern w:val="0"/>
          <w:sz w:val="24"/>
          <w:szCs w:val="24"/>
          <w14:ligatures w14:val="none"/>
        </w:rPr>
        <w:t>V</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Shostak</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R</w:t>
      </w:r>
      <w:r w:rsidRPr="00B44B71">
        <w:rPr>
          <w:rFonts w:ascii="Times New Roman" w:eastAsia="Calibri" w:hAnsi="Times New Roman" w:cs="Times New Roman"/>
          <w:kern w:val="0"/>
          <w:sz w:val="24"/>
          <w:szCs w:val="24"/>
          <w:lang w:val="uk-UA"/>
          <w14:ligatures w14:val="none"/>
        </w:rPr>
        <w:t>.</w:t>
      </w:r>
      <w:r w:rsidRPr="00B44B71">
        <w:rPr>
          <w:rFonts w:ascii="Times New Roman" w:eastAsia="Calibri" w:hAnsi="Times New Roman" w:cs="Times New Roman"/>
          <w:kern w:val="0"/>
          <w:sz w:val="24"/>
          <w:szCs w:val="24"/>
          <w14:ligatures w14:val="none"/>
        </w:rPr>
        <w:t>H</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Polyvaniuk</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V</w:t>
      </w:r>
      <w:r w:rsidRPr="00B44B71">
        <w:rPr>
          <w:rFonts w:ascii="Times New Roman" w:eastAsia="Calibri" w:hAnsi="Times New Roman" w:cs="Times New Roman"/>
          <w:kern w:val="0"/>
          <w:sz w:val="24"/>
          <w:szCs w:val="24"/>
          <w:lang w:val="uk-UA"/>
          <w14:ligatures w14:val="none"/>
        </w:rPr>
        <w:t>.</w:t>
      </w:r>
      <w:r w:rsidRPr="00B44B71">
        <w:rPr>
          <w:rFonts w:ascii="Times New Roman" w:eastAsia="Calibri" w:hAnsi="Times New Roman" w:cs="Times New Roman"/>
          <w:kern w:val="0"/>
          <w:sz w:val="24"/>
          <w:szCs w:val="24"/>
          <w14:ligatures w14:val="none"/>
        </w:rPr>
        <w:t>V</w:t>
      </w:r>
      <w:r w:rsidRPr="00B44B71">
        <w:rPr>
          <w:rFonts w:ascii="Times New Roman" w:eastAsia="Calibri" w:hAnsi="Times New Roman" w:cs="Times New Roman"/>
          <w:kern w:val="0"/>
          <w:sz w:val="24"/>
          <w:szCs w:val="24"/>
          <w:lang w:val="uk-UA"/>
          <w14:ligatures w14:val="none"/>
        </w:rPr>
        <w:t xml:space="preserve">. (2024). </w:t>
      </w:r>
      <w:r w:rsidRPr="00B44B71">
        <w:rPr>
          <w:rFonts w:ascii="Times New Roman" w:eastAsia="Calibri" w:hAnsi="Times New Roman" w:cs="Times New Roman"/>
          <w:kern w:val="0"/>
          <w:sz w:val="24"/>
          <w:szCs w:val="24"/>
          <w14:ligatures w14:val="none"/>
        </w:rPr>
        <w:t xml:space="preserve">Motivation of military specialists to engage physical training during the legal regime of martial law. </w:t>
      </w:r>
      <w:r w:rsidRPr="00B44B71">
        <w:rPr>
          <w:rFonts w:ascii="Times New Roman" w:eastAsia="Calibri" w:hAnsi="Times New Roman" w:cs="Times New Roman"/>
          <w:i/>
          <w:kern w:val="0"/>
          <w:sz w:val="24"/>
          <w:szCs w:val="24"/>
          <w14:ligatures w14:val="none"/>
        </w:rPr>
        <w:t>Journal of Physical Education and Sport ® (JPES), Vol. 24 (issue 6), Art 165</w:t>
      </w:r>
      <w:r w:rsidRPr="00B44B71">
        <w:rPr>
          <w:rFonts w:ascii="Times New Roman" w:eastAsia="Calibri" w:hAnsi="Times New Roman" w:cs="Times New Roman"/>
          <w:kern w:val="0"/>
          <w:sz w:val="24"/>
          <w:szCs w:val="24"/>
          <w14:ligatures w14:val="none"/>
        </w:rPr>
        <w:t xml:space="preserve">, 1457- 1464. </w:t>
      </w:r>
      <w:hyperlink r:id="rId274" w:history="1">
        <w:r w:rsidRPr="00B44B71">
          <w:rPr>
            <w:rFonts w:ascii="Times New Roman" w:eastAsia="Calibri" w:hAnsi="Times New Roman" w:cs="Times New Roman"/>
            <w:kern w:val="0"/>
            <w:sz w:val="24"/>
            <w:szCs w:val="24"/>
            <w14:ligatures w14:val="none"/>
          </w:rPr>
          <w:t>http://doi.org/10.7752/jpes.2024.06165</w:t>
        </w:r>
      </w:hyperlink>
    </w:p>
    <w:p w14:paraId="555E3A5C"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4"/>
          <w:szCs w:val="24"/>
          <w:lang w:val="uk-UA"/>
          <w14:ligatures w14:val="none"/>
        </w:rPr>
      </w:pPr>
    </w:p>
    <w:p w14:paraId="1AF1AC1F" w14:textId="77777777" w:rsidR="00B44B71" w:rsidRPr="00B44B71" w:rsidRDefault="00B44B71" w:rsidP="00891EE1">
      <w:pPr>
        <w:tabs>
          <w:tab w:val="left" w:pos="993"/>
          <w:tab w:val="left" w:pos="9638"/>
        </w:tabs>
        <w:adjustRightInd w:val="0"/>
        <w:snapToGrid w:val="0"/>
        <w:spacing w:after="0" w:line="240" w:lineRule="auto"/>
        <w:jc w:val="center"/>
        <w:rPr>
          <w:rFonts w:ascii="Times New Roman" w:eastAsia="Times New Roman" w:hAnsi="Times New Roman" w:cs="Times New Roman"/>
          <w:b/>
          <w:kern w:val="0"/>
          <w:sz w:val="24"/>
          <w:szCs w:val="24"/>
          <w:lang w:val="uk-UA" w:eastAsia="ru-RU"/>
          <w14:ligatures w14:val="none"/>
        </w:rPr>
      </w:pPr>
      <w:r w:rsidRPr="00B44B71">
        <w:rPr>
          <w:rFonts w:ascii="Times New Roman" w:eastAsia="Times New Roman" w:hAnsi="Times New Roman" w:cs="Times New Roman"/>
          <w:b/>
          <w:bCs/>
          <w:kern w:val="0"/>
          <w:sz w:val="24"/>
          <w:szCs w:val="24"/>
          <w:lang w:val="uk-UA" w:eastAsia="ru-RU"/>
          <w14:ligatures w14:val="none"/>
        </w:rPr>
        <w:t>REFERENCES</w:t>
      </w:r>
    </w:p>
    <w:p w14:paraId="4464ECCA" w14:textId="77777777" w:rsidR="00B44B71" w:rsidRPr="00B44B71" w:rsidRDefault="00B44B71" w:rsidP="00891EE1">
      <w:pPr>
        <w:tabs>
          <w:tab w:val="left" w:pos="9638"/>
        </w:tabs>
        <w:adjustRightInd w:val="0"/>
        <w:snapToGrid w:val="0"/>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Dystsyplinarnyi statut Zbroinykh Syl Ukrainy № 551-XIV (1999). [Disciplinary Statute of the Armed Forces of Ukraine]. https://zakon.rada.gov.ua/laws/show/551-14</w:t>
      </w:r>
    </w:p>
    <w:p w14:paraId="6EDCDED1" w14:textId="77777777" w:rsidR="00B44B71" w:rsidRPr="00B44B71" w:rsidRDefault="00B44B71" w:rsidP="00891EE1">
      <w:pPr>
        <w:tabs>
          <w:tab w:val="left" w:pos="9638"/>
        </w:tabs>
        <w:adjustRightInd w:val="0"/>
        <w:snapToGrid w:val="0"/>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Zakon Ukrainy «Pro akademichnu dobrochesnist» № 4742-IX (2025). [Law of Ukraine “On Academic Integrity”]. https://zakon.rada.gov.ua/laws/show/4742-20</w:t>
      </w:r>
    </w:p>
    <w:p w14:paraId="2A5CE52C"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Zakon Ukrainy «Pro zapobihannia koruptsii» № 1700-VII (2014). [Law of Ukraine “On Prevention of Corruption”]. https://zakon.rada.gov.ua/laws/show/1700-18</w:t>
      </w:r>
    </w:p>
    <w:p w14:paraId="48D09C8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Zakon Ukrainy «Pro Zbroini Syly Ukrainy» № 1934-XII (1991). [Law of Ukraine “On the Armed Forces of Ukraine”]. https://zakon.rada.gov.ua/laws/show/1934-12</w:t>
      </w:r>
    </w:p>
    <w:p w14:paraId="0611D531"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Zakon Ukrainy «Pro osvitu» № 2145-VIII (2017). [Law of Ukraine “On Education”]. https://zakon.rada.gov.ua/laws/show/2145-19</w:t>
      </w:r>
    </w:p>
    <w:p w14:paraId="752C6CB9"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Zborchyi, A. V. (2024). Formuvannia akademichnoi dobrochesnosti v maibutnikh ofitseriv-lideriv u protsesi navchannia [Formation of academic integrity in future officer-leaders in the </w:t>
      </w:r>
      <w:r w:rsidRPr="00B44B71">
        <w:rPr>
          <w:rFonts w:ascii="Times New Roman" w:eastAsia="Times New Roman" w:hAnsi="Times New Roman" w:cs="Times New Roman"/>
          <w:kern w:val="0"/>
          <w:sz w:val="24"/>
          <w:szCs w:val="24"/>
          <w:lang w:val="uk-UA" w:eastAsia="ru-RU"/>
          <w14:ligatures w14:val="none"/>
        </w:rPr>
        <w:lastRenderedPageBreak/>
        <w:t xml:space="preserve">learning process]. </w:t>
      </w:r>
      <w:r w:rsidRPr="00B44B71">
        <w:rPr>
          <w:rFonts w:ascii="Times New Roman" w:eastAsia="Times New Roman" w:hAnsi="Times New Roman" w:cs="Times New Roman"/>
          <w:i/>
          <w:kern w:val="0"/>
          <w:sz w:val="24"/>
          <w:szCs w:val="24"/>
          <w:lang w:val="uk-UA" w:eastAsia="ru-RU"/>
          <w14:ligatures w14:val="none"/>
        </w:rPr>
        <w:t>Visnyk of the Taras Shevchenko National University of Kyiv. Pedagogy</w:t>
      </w:r>
      <w:r w:rsidRPr="00B44B71">
        <w:rPr>
          <w:rFonts w:ascii="Times New Roman" w:eastAsia="Times New Roman" w:hAnsi="Times New Roman" w:cs="Times New Roman"/>
          <w:kern w:val="0"/>
          <w:sz w:val="24"/>
          <w:szCs w:val="24"/>
          <w:lang w:val="uk-UA" w:eastAsia="ru-RU"/>
          <w14:ligatures w14:val="none"/>
        </w:rPr>
        <w:t>, 2(20), 37–42. https://doi.org/10.17721/2415-3699.2024.20.06</w:t>
      </w:r>
    </w:p>
    <w:p w14:paraId="4453F0B0"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Ilchenko, O., &amp; Zadorozhnyi, D. (2024). Rozvytok viiskovo-profesiinoi kultury maibutnikh ofitseriv u systemi viiskovykh ZVO Ukrainy [Development of military-professional culture of future officers in the system of military higher education institutions of Ukraine]. </w:t>
      </w:r>
      <w:r w:rsidRPr="00B44B71">
        <w:rPr>
          <w:rFonts w:ascii="Times New Roman" w:eastAsia="Times New Roman" w:hAnsi="Times New Roman" w:cs="Times New Roman"/>
          <w:i/>
          <w:kern w:val="0"/>
          <w:sz w:val="24"/>
          <w:szCs w:val="24"/>
          <w:lang w:val="uk-UA" w:eastAsia="ru-RU"/>
          <w14:ligatures w14:val="none"/>
        </w:rPr>
        <w:t>The origins of pedagogical mastery</w:t>
      </w:r>
      <w:r w:rsidRPr="00B44B71">
        <w:rPr>
          <w:rFonts w:ascii="Times New Roman" w:eastAsia="Times New Roman" w:hAnsi="Times New Roman" w:cs="Times New Roman"/>
          <w:kern w:val="0"/>
          <w:sz w:val="24"/>
          <w:szCs w:val="24"/>
          <w:lang w:val="uk-UA" w:eastAsia="ru-RU"/>
          <w14:ligatures w14:val="none"/>
        </w:rPr>
        <w:t>, (34), 88–94. https://doi.org/10.33989/2075-146X.2024.34.318002</w:t>
      </w:r>
    </w:p>
    <w:p w14:paraId="634576F6"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Kyslenko D. P., Lysenko D. P., Pidopryhora I. I. (2026). Rozvytok profesiinoi dobrochesnosti ofitseriv vyshchoho kerivnoho skladu v systemi neformalnoi viiskovoi osvity. Pedahohichna Akademiia: naukovi zapysky, 28. https://doi.org/10.5281/zenodo.19226614</w:t>
      </w:r>
    </w:p>
    <w:p w14:paraId="7AF1B233"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Kodeks dobrochesnoi povedinky ta profesiinoi etyky viiskovykh posadovykh osib, derzhavnykh sluzhbovtsiv ta inshykh osib, upovnovazhenykh na vykonannia funktsii derzhavy, v Ministerstvi oborony Ukrainy ta Zbroinykh Sylakh Ukrainy (2017). [Code of Integrity and Professional Ethics of Military Officials and Other Authorized Persons in the Ministry of Defense of Ukraine and the Armed Forces of Ukraine]. https://mod.gov.ua/diyalnist/normativno-pravova-baza/kodeks-dobrochesnoi-povedinki-ta-profesiinoi-etiki-viiskovikh-posadovikh-osib-derzhavnikh-sluzhbovtsiv-ta-inshikh-osib-upovnovazhenikh-na-vikonannia-funktsii-derzhavi-v-ministerstvi-oboroni-ukraini-ta</w:t>
      </w:r>
    </w:p>
    <w:p w14:paraId="254E51E1"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Natsionalne ahentstvo z pytan zapobihannia koruptsii (2025, 26 travnia). NAZK predstavylo unifikovanyi plan dii dlia vykonannia rekomendatsii NATO shchodo dobrochesnosti v sektori bezpeky ta oborony [NACP presented a unified action plan for implementing NATO recommendations on integrity in the security and defense sector]. https://nazk.gov.ua/uk/nazk-predstavylo-unifikovanyy-plan-diy-dlya-vykonannya-rekomendatsiy-nato-schodo-dobrochesnosti-v-sektori-bezpeky-ta-oborony/</w:t>
      </w:r>
    </w:p>
    <w:p w14:paraId="48A7E840"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Postanova Kabinetu Ministriv Ukrainy «Pro transformatsiiu systemy viiskovoi osvity» № 1410 (1997). [Resolution of the Cabinet of Ministers of Ukraine “On Transformation of the Military Education System”]. </w:t>
      </w:r>
      <w:hyperlink r:id="rId275" w:anchor="Text" w:history="1">
        <w:r w:rsidRPr="00B44B71">
          <w:rPr>
            <w:rFonts w:ascii="Times New Roman" w:eastAsia="Times New Roman" w:hAnsi="Times New Roman" w:cs="Times New Roman"/>
            <w:color w:val="0563C1"/>
            <w:kern w:val="0"/>
            <w:sz w:val="24"/>
            <w:szCs w:val="24"/>
            <w:u w:val="single"/>
            <w:lang w:val="uk-UA" w:eastAsia="ru-RU"/>
            <w14:ligatures w14:val="none"/>
          </w:rPr>
          <w:t>https://zakon.rada.gov.ua/laws/show/1410-97-%D0%BF#Text</w:t>
        </w:r>
      </w:hyperlink>
    </w:p>
    <w:p w14:paraId="6C85ABF9"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Svystun, V. I., &amp; Polyvaniuk, V. V. (2023). Analiz definitsii «profesiina kompetentnist viiskovykh fakhivtsiv» [Analysis of the definition “professional competence of military specialists”]. </w:t>
      </w:r>
      <w:r w:rsidRPr="00B44B71">
        <w:rPr>
          <w:rFonts w:ascii="Times New Roman" w:eastAsia="Times New Roman" w:hAnsi="Times New Roman" w:cs="Times New Roman"/>
          <w:i/>
          <w:kern w:val="0"/>
          <w:sz w:val="24"/>
          <w:szCs w:val="24"/>
          <w:lang w:val="uk-UA" w:eastAsia="ru-RU"/>
          <w14:ligatures w14:val="none"/>
        </w:rPr>
        <w:t>Military Education</w:t>
      </w:r>
      <w:r w:rsidRPr="00B44B71">
        <w:rPr>
          <w:rFonts w:ascii="Times New Roman" w:eastAsia="Times New Roman" w:hAnsi="Times New Roman" w:cs="Times New Roman"/>
          <w:kern w:val="0"/>
          <w:sz w:val="24"/>
          <w:szCs w:val="24"/>
          <w:lang w:val="uk-UA" w:eastAsia="ru-RU"/>
          <w14:ligatures w14:val="none"/>
        </w:rPr>
        <w:t>, 2(48), 251–266. https://doi.org/10.33099/2617-1775/2023-02/251-266</w:t>
      </w:r>
    </w:p>
    <w:p w14:paraId="5F236FA8"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Sliusarenko, A. V., Telezhym, V. M., Zelnytskyi, A. M., &amp; Zabolotnyi, O. A. (2023). Zabezpechennia yakosti profesiinoi viiskovoi osvity: vyznachennia poniat i monitorynh potochnoho stanu [Ensuring the quality of professional military education: definition of concepts and monitoring of the current state]. </w:t>
      </w:r>
      <w:r w:rsidRPr="00B44B71">
        <w:rPr>
          <w:rFonts w:ascii="Times New Roman" w:eastAsia="Times New Roman" w:hAnsi="Times New Roman" w:cs="Times New Roman"/>
          <w:i/>
          <w:kern w:val="0"/>
          <w:sz w:val="24"/>
          <w:szCs w:val="24"/>
          <w:lang w:val="uk-UA" w:eastAsia="ru-RU"/>
          <w14:ligatures w14:val="none"/>
        </w:rPr>
        <w:t>Current issues of national security and defense</w:t>
      </w:r>
      <w:r w:rsidRPr="00B44B71">
        <w:rPr>
          <w:rFonts w:ascii="Times New Roman" w:eastAsia="Times New Roman" w:hAnsi="Times New Roman" w:cs="Times New Roman"/>
          <w:kern w:val="0"/>
          <w:sz w:val="24"/>
          <w:szCs w:val="24"/>
          <w:lang w:val="uk-UA" w:eastAsia="ru-RU"/>
          <w14:ligatures w14:val="none"/>
        </w:rPr>
        <w:t xml:space="preserve">, 4(23), 14–22. </w:t>
      </w:r>
      <w:hyperlink r:id="rId276" w:history="1">
        <w:r w:rsidRPr="00B44B71">
          <w:rPr>
            <w:rFonts w:ascii="Times New Roman" w:eastAsia="Times New Roman" w:hAnsi="Times New Roman" w:cs="Times New Roman"/>
            <w:kern w:val="0"/>
            <w:sz w:val="24"/>
            <w:szCs w:val="24"/>
            <w:u w:val="single"/>
            <w:lang w:val="uk-UA" w:eastAsia="ru-RU"/>
            <w14:ligatures w14:val="none"/>
          </w:rPr>
          <w:t>https://doi.org/10.33099/2618-1614-2023-23-4-14-22</w:t>
        </w:r>
      </w:hyperlink>
    </w:p>
    <w:p w14:paraId="6D7F7824"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4"/>
          <w:szCs w:val="24"/>
          <w:u w:val="single"/>
          <w:lang w:val="uk-UA"/>
          <w14:ligatures w14:val="none"/>
        </w:rPr>
      </w:pPr>
      <w:r w:rsidRPr="00B44B71">
        <w:rPr>
          <w:rFonts w:ascii="Times New Roman" w:eastAsia="Calibri" w:hAnsi="Times New Roman" w:cs="Times New Roman"/>
          <w:kern w:val="0"/>
          <w:sz w:val="24"/>
          <w:szCs w:val="24"/>
          <w14:ligatures w14:val="none"/>
        </w:rPr>
        <w:t>Petrachkov</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O</w:t>
      </w:r>
      <w:r w:rsidRPr="00B44B71">
        <w:rPr>
          <w:rFonts w:ascii="Times New Roman" w:eastAsia="Calibri" w:hAnsi="Times New Roman" w:cs="Times New Roman"/>
          <w:kern w:val="0"/>
          <w:sz w:val="24"/>
          <w:szCs w:val="24"/>
          <w:lang w:val="uk-UA"/>
          <w14:ligatures w14:val="none"/>
        </w:rPr>
        <w:t>.</w:t>
      </w:r>
      <w:r w:rsidRPr="00B44B71">
        <w:rPr>
          <w:rFonts w:ascii="Times New Roman" w:eastAsia="Calibri" w:hAnsi="Times New Roman" w:cs="Times New Roman"/>
          <w:kern w:val="0"/>
          <w:sz w:val="24"/>
          <w:szCs w:val="24"/>
          <w14:ligatures w14:val="none"/>
        </w:rPr>
        <w:t>V</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Kyslenko</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D</w:t>
      </w:r>
      <w:r w:rsidRPr="00B44B71">
        <w:rPr>
          <w:rFonts w:ascii="Times New Roman" w:eastAsia="Calibri" w:hAnsi="Times New Roman" w:cs="Times New Roman"/>
          <w:kern w:val="0"/>
          <w:sz w:val="24"/>
          <w:szCs w:val="24"/>
          <w:lang w:val="uk-UA"/>
          <w14:ligatures w14:val="none"/>
        </w:rPr>
        <w:t>.</w:t>
      </w:r>
      <w:r w:rsidRPr="00B44B71">
        <w:rPr>
          <w:rFonts w:ascii="Times New Roman" w:eastAsia="Calibri" w:hAnsi="Times New Roman" w:cs="Times New Roman"/>
          <w:kern w:val="0"/>
          <w:sz w:val="24"/>
          <w:szCs w:val="24"/>
          <w14:ligatures w14:val="none"/>
        </w:rPr>
        <w:t>P</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Mykhaylov</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V</w:t>
      </w:r>
      <w:r w:rsidRPr="00B44B71">
        <w:rPr>
          <w:rFonts w:ascii="Times New Roman" w:eastAsia="Calibri" w:hAnsi="Times New Roman" w:cs="Times New Roman"/>
          <w:kern w:val="0"/>
          <w:sz w:val="24"/>
          <w:szCs w:val="24"/>
          <w:lang w:val="uk-UA"/>
          <w14:ligatures w14:val="none"/>
        </w:rPr>
        <w:t>.</w:t>
      </w:r>
      <w:r w:rsidRPr="00B44B71">
        <w:rPr>
          <w:rFonts w:ascii="Times New Roman" w:eastAsia="Calibri" w:hAnsi="Times New Roman" w:cs="Times New Roman"/>
          <w:kern w:val="0"/>
          <w:sz w:val="24"/>
          <w:szCs w:val="24"/>
          <w14:ligatures w14:val="none"/>
        </w:rPr>
        <w:t>V</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Shostak</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R</w:t>
      </w:r>
      <w:r w:rsidRPr="00B44B71">
        <w:rPr>
          <w:rFonts w:ascii="Times New Roman" w:eastAsia="Calibri" w:hAnsi="Times New Roman" w:cs="Times New Roman"/>
          <w:kern w:val="0"/>
          <w:sz w:val="24"/>
          <w:szCs w:val="24"/>
          <w:lang w:val="uk-UA"/>
          <w14:ligatures w14:val="none"/>
        </w:rPr>
        <w:t>.</w:t>
      </w:r>
      <w:r w:rsidRPr="00B44B71">
        <w:rPr>
          <w:rFonts w:ascii="Times New Roman" w:eastAsia="Calibri" w:hAnsi="Times New Roman" w:cs="Times New Roman"/>
          <w:kern w:val="0"/>
          <w:sz w:val="24"/>
          <w:szCs w:val="24"/>
          <w14:ligatures w14:val="none"/>
        </w:rPr>
        <w:t>H</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Polyvaniuk</w:t>
      </w: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kern w:val="0"/>
          <w:sz w:val="24"/>
          <w:szCs w:val="24"/>
          <w14:ligatures w14:val="none"/>
        </w:rPr>
        <w:t>V</w:t>
      </w:r>
      <w:r w:rsidRPr="00B44B71">
        <w:rPr>
          <w:rFonts w:ascii="Times New Roman" w:eastAsia="Calibri" w:hAnsi="Times New Roman" w:cs="Times New Roman"/>
          <w:kern w:val="0"/>
          <w:sz w:val="24"/>
          <w:szCs w:val="24"/>
          <w:lang w:val="uk-UA"/>
          <w14:ligatures w14:val="none"/>
        </w:rPr>
        <w:t>.</w:t>
      </w:r>
      <w:r w:rsidRPr="00B44B71">
        <w:rPr>
          <w:rFonts w:ascii="Times New Roman" w:eastAsia="Calibri" w:hAnsi="Times New Roman" w:cs="Times New Roman"/>
          <w:kern w:val="0"/>
          <w:sz w:val="24"/>
          <w:szCs w:val="24"/>
          <w14:ligatures w14:val="none"/>
        </w:rPr>
        <w:t>V</w:t>
      </w:r>
      <w:r w:rsidRPr="00B44B71">
        <w:rPr>
          <w:rFonts w:ascii="Times New Roman" w:eastAsia="Calibri" w:hAnsi="Times New Roman" w:cs="Times New Roman"/>
          <w:kern w:val="0"/>
          <w:sz w:val="24"/>
          <w:szCs w:val="24"/>
          <w:lang w:val="uk-UA"/>
          <w14:ligatures w14:val="none"/>
        </w:rPr>
        <w:t xml:space="preserve">. (2024). </w:t>
      </w:r>
      <w:r w:rsidRPr="00B44B71">
        <w:rPr>
          <w:rFonts w:ascii="Times New Roman" w:eastAsia="Calibri" w:hAnsi="Times New Roman" w:cs="Times New Roman"/>
          <w:kern w:val="0"/>
          <w:sz w:val="24"/>
          <w:szCs w:val="24"/>
          <w14:ligatures w14:val="none"/>
        </w:rPr>
        <w:t xml:space="preserve">Motivation of military specialists to engage physical training during the legal regime of martial law. </w:t>
      </w:r>
      <w:r w:rsidRPr="00B44B71">
        <w:rPr>
          <w:rFonts w:ascii="Times New Roman" w:eastAsia="Calibri" w:hAnsi="Times New Roman" w:cs="Times New Roman"/>
          <w:i/>
          <w:kern w:val="0"/>
          <w:sz w:val="24"/>
          <w:szCs w:val="24"/>
          <w14:ligatures w14:val="none"/>
        </w:rPr>
        <w:t>Journal of Physical Education and Sport ® (JPES), Vol. 24 (issue 6), Art 165</w:t>
      </w:r>
      <w:r w:rsidRPr="00B44B71">
        <w:rPr>
          <w:rFonts w:ascii="Times New Roman" w:eastAsia="Calibri" w:hAnsi="Times New Roman" w:cs="Times New Roman"/>
          <w:kern w:val="0"/>
          <w:sz w:val="24"/>
          <w:szCs w:val="24"/>
          <w14:ligatures w14:val="none"/>
        </w:rPr>
        <w:t xml:space="preserve">, 1457- 1464. </w:t>
      </w:r>
      <w:hyperlink r:id="rId277" w:history="1">
        <w:r w:rsidRPr="00B44B71">
          <w:rPr>
            <w:rFonts w:ascii="Times New Roman" w:eastAsia="Calibri" w:hAnsi="Times New Roman" w:cs="Times New Roman"/>
            <w:kern w:val="0"/>
            <w:sz w:val="24"/>
            <w:szCs w:val="24"/>
            <w:u w:val="single"/>
            <w14:ligatures w14:val="none"/>
          </w:rPr>
          <w:t>http</w:t>
        </w:r>
        <w:r w:rsidRPr="00B44B71">
          <w:rPr>
            <w:rFonts w:ascii="Times New Roman" w:eastAsia="Calibri" w:hAnsi="Times New Roman" w:cs="Times New Roman"/>
            <w:kern w:val="0"/>
            <w:sz w:val="24"/>
            <w:szCs w:val="24"/>
            <w:u w:val="single"/>
            <w:lang w:val="uk-UA"/>
            <w14:ligatures w14:val="none"/>
          </w:rPr>
          <w:t>://</w:t>
        </w:r>
        <w:r w:rsidRPr="00B44B71">
          <w:rPr>
            <w:rFonts w:ascii="Times New Roman" w:eastAsia="Calibri" w:hAnsi="Times New Roman" w:cs="Times New Roman"/>
            <w:kern w:val="0"/>
            <w:sz w:val="24"/>
            <w:szCs w:val="24"/>
            <w:u w:val="single"/>
            <w14:ligatures w14:val="none"/>
          </w:rPr>
          <w:t>doi</w:t>
        </w:r>
        <w:r w:rsidRPr="00B44B71">
          <w:rPr>
            <w:rFonts w:ascii="Times New Roman" w:eastAsia="Calibri" w:hAnsi="Times New Roman" w:cs="Times New Roman"/>
            <w:kern w:val="0"/>
            <w:sz w:val="24"/>
            <w:szCs w:val="24"/>
            <w:u w:val="single"/>
            <w:lang w:val="uk-UA"/>
            <w14:ligatures w14:val="none"/>
          </w:rPr>
          <w:t>.</w:t>
        </w:r>
        <w:r w:rsidRPr="00B44B71">
          <w:rPr>
            <w:rFonts w:ascii="Times New Roman" w:eastAsia="Calibri" w:hAnsi="Times New Roman" w:cs="Times New Roman"/>
            <w:kern w:val="0"/>
            <w:sz w:val="24"/>
            <w:szCs w:val="24"/>
            <w:u w:val="single"/>
            <w14:ligatures w14:val="none"/>
          </w:rPr>
          <w:t>org</w:t>
        </w:r>
        <w:r w:rsidRPr="00B44B71">
          <w:rPr>
            <w:rFonts w:ascii="Times New Roman" w:eastAsia="Calibri" w:hAnsi="Times New Roman" w:cs="Times New Roman"/>
            <w:kern w:val="0"/>
            <w:sz w:val="24"/>
            <w:szCs w:val="24"/>
            <w:u w:val="single"/>
            <w:lang w:val="uk-UA"/>
            <w14:ligatures w14:val="none"/>
          </w:rPr>
          <w:t>/10.7752/</w:t>
        </w:r>
        <w:r w:rsidRPr="00B44B71">
          <w:rPr>
            <w:rFonts w:ascii="Times New Roman" w:eastAsia="Calibri" w:hAnsi="Times New Roman" w:cs="Times New Roman"/>
            <w:kern w:val="0"/>
            <w:sz w:val="24"/>
            <w:szCs w:val="24"/>
            <w:u w:val="single"/>
            <w14:ligatures w14:val="none"/>
          </w:rPr>
          <w:t>jpes</w:t>
        </w:r>
        <w:r w:rsidRPr="00B44B71">
          <w:rPr>
            <w:rFonts w:ascii="Times New Roman" w:eastAsia="Calibri" w:hAnsi="Times New Roman" w:cs="Times New Roman"/>
            <w:kern w:val="0"/>
            <w:sz w:val="24"/>
            <w:szCs w:val="24"/>
            <w:u w:val="single"/>
            <w:lang w:val="uk-UA"/>
            <w14:ligatures w14:val="none"/>
          </w:rPr>
          <w:t>.2024.06165</w:t>
        </w:r>
      </w:hyperlink>
      <w:r w:rsidRPr="00B44B71">
        <w:rPr>
          <w:rFonts w:ascii="Times New Roman" w:eastAsia="Calibri" w:hAnsi="Times New Roman" w:cs="Times New Roman"/>
          <w:kern w:val="0"/>
          <w:sz w:val="24"/>
          <w:szCs w:val="24"/>
          <w:u w:val="single"/>
          <w:lang w:val="uk-UA"/>
          <w14:ligatures w14:val="none"/>
        </w:rPr>
        <w:t>.</w:t>
      </w:r>
    </w:p>
    <w:p w14:paraId="4E30DD6F"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4"/>
          <w:szCs w:val="24"/>
          <w:u w:val="single"/>
          <w:lang w:val="uk-UA"/>
          <w14:ligatures w14:val="none"/>
        </w:rPr>
      </w:pPr>
    </w:p>
    <w:p w14:paraId="43ABDBF1"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надійшов до редакції 14.03.2026</w:t>
      </w:r>
    </w:p>
    <w:p w14:paraId="3321869E"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прийнято до друку після рецензування 28.03.2026</w:t>
      </w:r>
    </w:p>
    <w:p w14:paraId="28361B9D"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Дата публікації 25.05.2026</w:t>
      </w:r>
    </w:p>
    <w:p w14:paraId="3ECE2310"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p>
    <w:p w14:paraId="0523EC2A" w14:textId="77777777" w:rsidR="00B44B71" w:rsidRPr="00B44B71" w:rsidRDefault="00B44B71" w:rsidP="00023291">
      <w:pPr>
        <w:tabs>
          <w:tab w:val="left" w:pos="9638"/>
        </w:tabs>
        <w:spacing w:after="0" w:line="240" w:lineRule="auto"/>
        <w:ind w:firstLine="567"/>
        <w:jc w:val="both"/>
        <w:rPr>
          <w:rFonts w:ascii="Times New Roman" w:eastAsia="Calibri" w:hAnsi="Times New Roman" w:cs="Times New Roman"/>
          <w:kern w:val="0"/>
          <w:sz w:val="24"/>
          <w:szCs w:val="24"/>
          <w:lang w:val="uk-UA"/>
          <w14:ligatures w14:val="none"/>
        </w:rPr>
      </w:pPr>
    </w:p>
    <w:p w14:paraId="4E27C872" w14:textId="77777777" w:rsidR="00B44B71" w:rsidRPr="00F25FCF" w:rsidRDefault="00B44B71" w:rsidP="00023291">
      <w:pPr>
        <w:tabs>
          <w:tab w:val="left" w:pos="9638"/>
        </w:tabs>
        <w:spacing w:after="0" w:line="240" w:lineRule="auto"/>
        <w:ind w:firstLine="567"/>
        <w:jc w:val="both"/>
        <w:rPr>
          <w:rFonts w:ascii="Times New Roman" w:eastAsia="Calibri" w:hAnsi="Times New Roman" w:cs="Times New Roman"/>
          <w:kern w:val="0"/>
          <w:sz w:val="24"/>
          <w:szCs w:val="24"/>
          <w:lang w:val="uk-UA"/>
          <w14:ligatures w14:val="none"/>
        </w:rPr>
      </w:pPr>
    </w:p>
    <w:p w14:paraId="61D3D755" w14:textId="77777777" w:rsidR="00AD7045" w:rsidRPr="00F25FCF" w:rsidRDefault="00AD7045" w:rsidP="00023291">
      <w:pPr>
        <w:tabs>
          <w:tab w:val="left" w:pos="9638"/>
        </w:tabs>
        <w:spacing w:after="0" w:line="240" w:lineRule="auto"/>
        <w:ind w:firstLine="567"/>
        <w:jc w:val="both"/>
        <w:rPr>
          <w:rFonts w:ascii="Times New Roman" w:eastAsia="Calibri" w:hAnsi="Times New Roman" w:cs="Times New Roman"/>
          <w:kern w:val="0"/>
          <w:sz w:val="24"/>
          <w:szCs w:val="24"/>
          <w:lang w:val="uk-UA"/>
          <w14:ligatures w14:val="none"/>
        </w:rPr>
      </w:pPr>
    </w:p>
    <w:p w14:paraId="16F8B013" w14:textId="77777777" w:rsidR="00AD7045" w:rsidRPr="00F25FCF" w:rsidRDefault="00AD7045" w:rsidP="00023291">
      <w:pPr>
        <w:tabs>
          <w:tab w:val="left" w:pos="9638"/>
        </w:tabs>
        <w:spacing w:after="0" w:line="240" w:lineRule="auto"/>
        <w:ind w:firstLine="567"/>
        <w:jc w:val="both"/>
        <w:rPr>
          <w:rFonts w:ascii="Times New Roman" w:eastAsia="Calibri" w:hAnsi="Times New Roman" w:cs="Times New Roman"/>
          <w:kern w:val="0"/>
          <w:sz w:val="24"/>
          <w:szCs w:val="24"/>
          <w:lang w:val="uk-UA"/>
          <w14:ligatures w14:val="none"/>
        </w:rPr>
      </w:pPr>
    </w:p>
    <w:p w14:paraId="5D87745C" w14:textId="77777777" w:rsidR="00AD7045" w:rsidRPr="00F25FCF" w:rsidRDefault="00AD7045" w:rsidP="00023291">
      <w:pPr>
        <w:tabs>
          <w:tab w:val="left" w:pos="9638"/>
        </w:tabs>
        <w:spacing w:after="0" w:line="240" w:lineRule="auto"/>
        <w:ind w:firstLine="567"/>
        <w:jc w:val="both"/>
        <w:rPr>
          <w:rFonts w:ascii="Times New Roman" w:eastAsia="Calibri" w:hAnsi="Times New Roman" w:cs="Times New Roman"/>
          <w:kern w:val="0"/>
          <w:sz w:val="24"/>
          <w:szCs w:val="24"/>
          <w:lang w:val="uk-UA"/>
          <w14:ligatures w14:val="none"/>
        </w:rPr>
      </w:pPr>
    </w:p>
    <w:p w14:paraId="6741984D" w14:textId="77777777" w:rsidR="00B44B71" w:rsidRPr="00B44B71" w:rsidRDefault="00B44B71" w:rsidP="00023291">
      <w:pPr>
        <w:tabs>
          <w:tab w:val="left" w:pos="993"/>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p>
    <w:p w14:paraId="55A6A051" w14:textId="6260C796" w:rsidR="009C17EF" w:rsidRPr="00B44B71" w:rsidRDefault="00891EE1" w:rsidP="009C17EF">
      <w:pPr>
        <w:tabs>
          <w:tab w:val="left" w:pos="9638"/>
        </w:tabs>
        <w:spacing w:after="0" w:line="240" w:lineRule="auto"/>
        <w:rPr>
          <w:rFonts w:ascii="Times New Roman" w:eastAsia="Times New Roman" w:hAnsi="Times New Roman" w:cs="Times New Roman"/>
          <w:b/>
          <w:bCs/>
          <w:kern w:val="0"/>
          <w:sz w:val="28"/>
          <w:lang w:val="uk-UA"/>
          <w14:ligatures w14:val="none"/>
        </w:rPr>
      </w:pPr>
      <w:r>
        <w:rPr>
          <w:rFonts w:ascii="Times New Roman" w:eastAsia="Times New Roman" w:hAnsi="Times New Roman" w:cs="Times New Roman"/>
          <w:kern w:val="0"/>
          <w:sz w:val="23"/>
          <w:szCs w:val="23"/>
          <w:lang w:val="uk-UA" w:eastAsia="ru-RU"/>
          <w14:ligatures w14:val="none"/>
        </w:rPr>
        <w:br w:type="column"/>
      </w:r>
      <w:r w:rsidR="001D6A3C" w:rsidRPr="00B44B71">
        <w:rPr>
          <w:rFonts w:ascii="Times New Roman" w:eastAsia="Times New Roman" w:hAnsi="Times New Roman" w:cs="Times New Roman"/>
          <w:kern w:val="0"/>
          <w:sz w:val="23"/>
          <w:szCs w:val="23"/>
          <w:lang w:val="uk-UA" w:eastAsia="ru-RU"/>
          <w14:ligatures w14:val="none"/>
        </w:rPr>
        <w:lastRenderedPageBreak/>
        <w:t>ISSN:2617-1775</w:t>
      </w:r>
      <w:r w:rsidR="001D6A3C" w:rsidRPr="00E4040F">
        <w:rPr>
          <w:rFonts w:ascii="Times New Roman" w:eastAsia="Calibri" w:hAnsi="Times New Roman" w:cs="Times New Roman"/>
          <w:b/>
          <w:kern w:val="0"/>
          <w:sz w:val="24"/>
          <w:szCs w:val="24"/>
          <w:lang w:val="uk-UA"/>
          <w14:ligatures w14:val="none"/>
        </w:rPr>
        <w:t xml:space="preserve"> </w:t>
      </w:r>
      <w:r w:rsidR="001D6A3C" w:rsidRPr="00740AAF">
        <w:rPr>
          <w:rFonts w:ascii="Times New Roman" w:eastAsia="Calibri" w:hAnsi="Times New Roman" w:cs="Times New Roman"/>
          <w:b/>
          <w:kern w:val="0"/>
          <w:sz w:val="24"/>
          <w:szCs w:val="24"/>
          <w:lang w:val="uk-UA"/>
          <w14:ligatures w14:val="none"/>
        </w:rPr>
        <w:t xml:space="preserve">                                                               </w:t>
      </w:r>
      <w:r w:rsidR="001D6A3C">
        <w:rPr>
          <w:rFonts w:ascii="Times New Roman" w:eastAsia="Calibri" w:hAnsi="Times New Roman" w:cs="Times New Roman"/>
          <w:b/>
          <w:kern w:val="0"/>
          <w:sz w:val="24"/>
          <w:szCs w:val="24"/>
          <w:lang w:val="uk-UA"/>
          <w14:ligatures w14:val="none"/>
        </w:rPr>
        <w:t xml:space="preserve">   </w:t>
      </w:r>
      <w:r w:rsidR="009C17EF">
        <w:rPr>
          <w:rFonts w:ascii="Times New Roman" w:eastAsia="Calibri" w:hAnsi="Times New Roman" w:cs="Times New Roman"/>
          <w:b/>
          <w:kern w:val="0"/>
          <w:sz w:val="24"/>
          <w:szCs w:val="24"/>
          <w:lang w:val="uk-UA"/>
          <w14:ligatures w14:val="none"/>
        </w:rPr>
        <w:t xml:space="preserve">                  </w:t>
      </w:r>
      <w:r w:rsidR="00671BFF">
        <w:rPr>
          <w:rFonts w:ascii="Times New Roman" w:eastAsia="Calibri" w:hAnsi="Times New Roman" w:cs="Times New Roman"/>
          <w:b/>
          <w:kern w:val="0"/>
          <w:sz w:val="24"/>
          <w:szCs w:val="24"/>
          <w:lang w:val="uk-UA"/>
          <w14:ligatures w14:val="none"/>
        </w:rPr>
        <w:t xml:space="preserve">  </w:t>
      </w:r>
      <w:r w:rsidR="009C17EF" w:rsidRPr="00B44B71">
        <w:rPr>
          <w:rFonts w:ascii="Times New Roman" w:eastAsia="Times New Roman" w:hAnsi="Times New Roman" w:cs="Times New Roman"/>
          <w:b/>
          <w:bCs/>
          <w:kern w:val="0"/>
          <w:sz w:val="28"/>
          <w:lang w:val="uk-UA"/>
          <w14:ligatures w14:val="none"/>
        </w:rPr>
        <w:t>УДК 355.233:378.091.3</w:t>
      </w:r>
    </w:p>
    <w:p w14:paraId="0E8FCF17" w14:textId="4F1D8D3A" w:rsidR="001D6A3C" w:rsidRPr="00F96118" w:rsidRDefault="001D6A3C" w:rsidP="009C17EF">
      <w:pPr>
        <w:tabs>
          <w:tab w:val="left" w:pos="9638"/>
        </w:tabs>
        <w:spacing w:after="0" w:line="240" w:lineRule="auto"/>
        <w:rPr>
          <w:rFonts w:ascii="Times New Roman" w:eastAsia="Times New Roman" w:hAnsi="Times New Roman" w:cs="Times New Roman"/>
          <w:color w:val="0563C1"/>
          <w:kern w:val="0"/>
          <w:sz w:val="24"/>
          <w:szCs w:val="24"/>
          <w:u w:val="single"/>
          <w:lang w:val="uk-UA"/>
          <w14:ligatures w14:val="none"/>
        </w:rPr>
      </w:pPr>
      <w:r w:rsidRPr="00B44B71">
        <w:rPr>
          <w:rFonts w:ascii="Times New Roman" w:eastAsia="Times New Roman" w:hAnsi="Times New Roman" w:cs="Times New Roman"/>
          <w:kern w:val="0"/>
          <w:sz w:val="23"/>
          <w:szCs w:val="23"/>
          <w:lang w:val="uk-UA" w:eastAsia="ru-RU"/>
          <w14:ligatures w14:val="none"/>
        </w:rPr>
        <w:t>ISSN: 2617-1783 (online)</w:t>
      </w:r>
      <w:r w:rsidRPr="00740AAF">
        <w:rPr>
          <w:rFonts w:ascii="Times New Roman" w:eastAsia="Times New Roman" w:hAnsi="Times New Roman" w:cs="Times New Roman"/>
          <w:kern w:val="0"/>
          <w:sz w:val="23"/>
          <w:szCs w:val="23"/>
          <w:lang w:val="uk-UA" w:eastAsia="ru-RU"/>
          <w14:ligatures w14:val="none"/>
        </w:rPr>
        <w:t xml:space="preserve">                                             </w:t>
      </w:r>
      <w:r w:rsidR="00671BFF">
        <w:rPr>
          <w:rFonts w:ascii="Times New Roman" w:eastAsia="Times New Roman" w:hAnsi="Times New Roman" w:cs="Times New Roman"/>
          <w:kern w:val="0"/>
          <w:sz w:val="23"/>
          <w:szCs w:val="23"/>
          <w:lang w:val="uk-UA" w:eastAsia="ru-RU"/>
          <w14:ligatures w14:val="none"/>
        </w:rPr>
        <w:t xml:space="preserve">      </w:t>
      </w:r>
      <w:r>
        <w:rPr>
          <w:rFonts w:ascii="Times New Roman" w:eastAsia="Times New Roman" w:hAnsi="Times New Roman" w:cs="Times New Roman"/>
          <w:kern w:val="0"/>
          <w:sz w:val="23"/>
          <w:szCs w:val="23"/>
          <w:lang w:val="uk-UA" w:eastAsia="ru-RU"/>
          <w14:ligatures w14:val="none"/>
        </w:rPr>
        <w:t xml:space="preserve"> </w:t>
      </w:r>
      <w:r w:rsidRPr="00F96118">
        <w:rPr>
          <w:rFonts w:ascii="Times New Roman" w:eastAsia="Times New Roman" w:hAnsi="Times New Roman" w:cs="Times New Roman"/>
          <w:bCs/>
          <w:smallCaps/>
          <w:color w:val="000000"/>
          <w:kern w:val="0"/>
          <w:sz w:val="24"/>
          <w:szCs w:val="24"/>
          <w:lang w:eastAsia="ru-RU"/>
          <w14:ligatures w14:val="none"/>
        </w:rPr>
        <w:t>DOI</w:t>
      </w:r>
      <w:r w:rsidRPr="00F96118">
        <w:rPr>
          <w:rFonts w:ascii="Times New Roman" w:eastAsia="Times New Roman" w:hAnsi="Times New Roman" w:cs="Times New Roman"/>
          <w:bCs/>
          <w:smallCaps/>
          <w:color w:val="000000"/>
          <w:kern w:val="0"/>
          <w:sz w:val="24"/>
          <w:szCs w:val="24"/>
          <w:lang w:val="uk-UA" w:eastAsia="ru-RU"/>
          <w14:ligatures w14:val="none"/>
        </w:rPr>
        <w:t>: 10.33099/2617-1775/202</w:t>
      </w:r>
      <w:r>
        <w:rPr>
          <w:rFonts w:ascii="Times New Roman" w:eastAsia="Times New Roman" w:hAnsi="Times New Roman" w:cs="Times New Roman"/>
          <w:bCs/>
          <w:smallCaps/>
          <w:color w:val="000000"/>
          <w:kern w:val="0"/>
          <w:sz w:val="24"/>
          <w:szCs w:val="24"/>
          <w:lang w:val="uk-UA" w:eastAsia="ru-RU"/>
          <w14:ligatures w14:val="none"/>
        </w:rPr>
        <w:t>6</w:t>
      </w:r>
      <w:r w:rsidRPr="00F96118">
        <w:rPr>
          <w:rFonts w:ascii="Times New Roman" w:eastAsia="Times New Roman" w:hAnsi="Times New Roman" w:cs="Times New Roman"/>
          <w:bCs/>
          <w:smallCaps/>
          <w:color w:val="000000"/>
          <w:kern w:val="0"/>
          <w:sz w:val="24"/>
          <w:szCs w:val="24"/>
          <w:lang w:val="uk-UA" w:eastAsia="ru-RU"/>
          <w14:ligatures w14:val="none"/>
        </w:rPr>
        <w:t>-0</w:t>
      </w:r>
      <w:r>
        <w:rPr>
          <w:rFonts w:ascii="Times New Roman" w:eastAsia="Times New Roman" w:hAnsi="Times New Roman" w:cs="Times New Roman"/>
          <w:bCs/>
          <w:smallCaps/>
          <w:color w:val="000000"/>
          <w:kern w:val="0"/>
          <w:sz w:val="24"/>
          <w:szCs w:val="24"/>
          <w:lang w:val="uk-UA" w:eastAsia="ru-RU"/>
          <w14:ligatures w14:val="none"/>
        </w:rPr>
        <w:t>1</w:t>
      </w:r>
      <w:r w:rsidRPr="00F96118">
        <w:rPr>
          <w:rFonts w:ascii="Times New Roman" w:eastAsia="Times New Roman" w:hAnsi="Times New Roman" w:cs="Times New Roman"/>
          <w:bCs/>
          <w:smallCaps/>
          <w:color w:val="000000"/>
          <w:kern w:val="0"/>
          <w:sz w:val="24"/>
          <w:szCs w:val="24"/>
          <w:lang w:val="uk-UA" w:eastAsia="ru-RU"/>
          <w14:ligatures w14:val="none"/>
        </w:rPr>
        <w:t>/</w:t>
      </w:r>
      <w:r w:rsidR="00671BFF">
        <w:rPr>
          <w:rFonts w:ascii="Times New Roman" w:eastAsia="Times New Roman" w:hAnsi="Times New Roman" w:cs="Times New Roman"/>
          <w:bCs/>
          <w:smallCaps/>
          <w:color w:val="000000"/>
          <w:kern w:val="0"/>
          <w:sz w:val="24"/>
          <w:szCs w:val="24"/>
          <w:lang w:val="uk-UA" w:eastAsia="ru-RU"/>
          <w14:ligatures w14:val="none"/>
        </w:rPr>
        <w:t>201-216</w:t>
      </w:r>
    </w:p>
    <w:p w14:paraId="3A1D449C" w14:textId="77777777" w:rsidR="00B8709F" w:rsidRDefault="00B8709F" w:rsidP="00023291">
      <w:pPr>
        <w:tabs>
          <w:tab w:val="left" w:pos="9638"/>
        </w:tabs>
        <w:spacing w:after="0" w:line="240" w:lineRule="auto"/>
        <w:jc w:val="right"/>
        <w:rPr>
          <w:rFonts w:ascii="Times New Roman" w:eastAsia="Times New Roman" w:hAnsi="Times New Roman" w:cs="Times New Roman"/>
          <w:b/>
          <w:bCs/>
          <w:kern w:val="0"/>
          <w:sz w:val="28"/>
          <w:lang w:val="uk-UA"/>
          <w14:ligatures w14:val="none"/>
        </w:rPr>
      </w:pPr>
    </w:p>
    <w:p w14:paraId="0F715233" w14:textId="5DC06CDD" w:rsidR="00B44B71" w:rsidRPr="00B44B71" w:rsidRDefault="00B44B71" w:rsidP="00023291">
      <w:pPr>
        <w:tabs>
          <w:tab w:val="left" w:pos="9638"/>
        </w:tabs>
        <w:spacing w:after="0" w:line="240" w:lineRule="auto"/>
        <w:jc w:val="right"/>
        <w:rPr>
          <w:rFonts w:ascii="Times New Roman" w:eastAsia="Times New Roman" w:hAnsi="Times New Roman" w:cs="Times New Roman"/>
          <w:b/>
          <w:bCs/>
          <w:kern w:val="0"/>
          <w:sz w:val="28"/>
          <w:lang w:val="uk-UA"/>
          <w14:ligatures w14:val="none"/>
        </w:rPr>
      </w:pPr>
      <w:r w:rsidRPr="00B44B71">
        <w:rPr>
          <w:rFonts w:ascii="Times New Roman" w:eastAsia="Times New Roman" w:hAnsi="Times New Roman" w:cs="Times New Roman"/>
          <w:b/>
          <w:bCs/>
          <w:kern w:val="0"/>
          <w:sz w:val="28"/>
          <w:lang w:val="uk-UA"/>
          <w14:ligatures w14:val="none"/>
        </w:rPr>
        <w:t>Леонід Олійник,</w:t>
      </w:r>
    </w:p>
    <w:p w14:paraId="096B1CB0"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доктор педагогічних наук, старший науковий співробітник</w:t>
      </w:r>
    </w:p>
    <w:p w14:paraId="6D383B37"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Національний університет оборони України, м. Київ</w:t>
      </w:r>
    </w:p>
    <w:p w14:paraId="21449E6D"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14:ligatures w14:val="none"/>
        </w:rPr>
        <w:t>https</w:t>
      </w:r>
      <w:r w:rsidRPr="00B44B71">
        <w:rPr>
          <w:rFonts w:ascii="Times New Roman" w:eastAsia="Times New Roman" w:hAnsi="Times New Roman" w:cs="Times New Roman"/>
          <w:kern w:val="0"/>
          <w:sz w:val="28"/>
          <w:lang w:val="ru-RU"/>
          <w14:ligatures w14:val="none"/>
        </w:rPr>
        <w:t>://</w:t>
      </w:r>
      <w:r w:rsidRPr="00B44B71">
        <w:rPr>
          <w:rFonts w:ascii="Times New Roman" w:eastAsia="Times New Roman" w:hAnsi="Times New Roman" w:cs="Times New Roman"/>
          <w:kern w:val="0"/>
          <w:sz w:val="28"/>
          <w14:ligatures w14:val="none"/>
        </w:rPr>
        <w:t>orcid</w:t>
      </w:r>
      <w:r w:rsidRPr="00B44B71">
        <w:rPr>
          <w:rFonts w:ascii="Times New Roman" w:eastAsia="Times New Roman" w:hAnsi="Times New Roman" w:cs="Times New Roman"/>
          <w:kern w:val="0"/>
          <w:sz w:val="28"/>
          <w:lang w:val="ru-RU"/>
          <w14:ligatures w14:val="none"/>
        </w:rPr>
        <w:t>.</w:t>
      </w:r>
      <w:r w:rsidRPr="00B44B71">
        <w:rPr>
          <w:rFonts w:ascii="Times New Roman" w:eastAsia="Times New Roman" w:hAnsi="Times New Roman" w:cs="Times New Roman"/>
          <w:kern w:val="0"/>
          <w:sz w:val="28"/>
          <w14:ligatures w14:val="none"/>
        </w:rPr>
        <w:t>org</w:t>
      </w:r>
      <w:r w:rsidRPr="00B44B71">
        <w:rPr>
          <w:rFonts w:ascii="Times New Roman" w:eastAsia="Times New Roman" w:hAnsi="Times New Roman" w:cs="Times New Roman"/>
          <w:kern w:val="0"/>
          <w:sz w:val="28"/>
          <w:lang w:val="ru-RU"/>
          <w14:ligatures w14:val="none"/>
        </w:rPr>
        <w:t>/0000-0002-7375-1281</w:t>
      </w:r>
    </w:p>
    <w:p w14:paraId="607E6F5F"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b/>
          <w:bCs/>
          <w:kern w:val="0"/>
          <w:sz w:val="28"/>
          <w:lang w:val="ru-RU"/>
          <w14:ligatures w14:val="none"/>
        </w:rPr>
      </w:pPr>
      <w:r w:rsidRPr="00B44B71">
        <w:rPr>
          <w:rFonts w:ascii="Times New Roman" w:eastAsia="Times New Roman" w:hAnsi="Times New Roman" w:cs="Times New Roman"/>
          <w:b/>
          <w:bCs/>
          <w:kern w:val="0"/>
          <w:sz w:val="28"/>
          <w:lang w:val="ru-RU"/>
          <w14:ligatures w14:val="none"/>
        </w:rPr>
        <w:t>Інна Савіна,</w:t>
      </w:r>
    </w:p>
    <w:p w14:paraId="6D837D0E"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кандидат педагогічних наук</w:t>
      </w:r>
    </w:p>
    <w:p w14:paraId="6861715A"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Національний університет оборони України, м. Київ</w:t>
      </w:r>
    </w:p>
    <w:p w14:paraId="7D467FDB" w14:textId="3B37110B" w:rsidR="00B44B71" w:rsidRDefault="00F14C3E" w:rsidP="00023291">
      <w:pPr>
        <w:tabs>
          <w:tab w:val="left" w:pos="9638"/>
        </w:tabs>
        <w:spacing w:after="0" w:line="240" w:lineRule="auto"/>
        <w:jc w:val="right"/>
        <w:rPr>
          <w:rFonts w:ascii="Times New Roman" w:eastAsia="Times New Roman" w:hAnsi="Times New Roman" w:cs="Times New Roman"/>
          <w:kern w:val="0"/>
          <w:sz w:val="28"/>
          <w:lang w:val="ru-RU"/>
          <w14:ligatures w14:val="none"/>
        </w:rPr>
      </w:pPr>
      <w:hyperlink r:id="rId278" w:history="1">
        <w:r w:rsidRPr="001644F2">
          <w:rPr>
            <w:rStyle w:val="Hyperlink"/>
            <w:rFonts w:ascii="Times New Roman" w:eastAsia="Times New Roman" w:hAnsi="Times New Roman"/>
            <w:kern w:val="0"/>
            <w:sz w:val="28"/>
            <w14:ligatures w14:val="none"/>
          </w:rPr>
          <w:t>https</w:t>
        </w:r>
        <w:r w:rsidRPr="001644F2">
          <w:rPr>
            <w:rStyle w:val="Hyperlink"/>
            <w:rFonts w:ascii="Times New Roman" w:eastAsia="Times New Roman" w:hAnsi="Times New Roman"/>
            <w:kern w:val="0"/>
            <w:sz w:val="28"/>
            <w:lang w:val="ru-RU"/>
            <w14:ligatures w14:val="none"/>
          </w:rPr>
          <w:t>://</w:t>
        </w:r>
        <w:r w:rsidRPr="001644F2">
          <w:rPr>
            <w:rStyle w:val="Hyperlink"/>
            <w:rFonts w:ascii="Times New Roman" w:eastAsia="Times New Roman" w:hAnsi="Times New Roman"/>
            <w:kern w:val="0"/>
            <w:sz w:val="28"/>
            <w14:ligatures w14:val="none"/>
          </w:rPr>
          <w:t>orcid</w:t>
        </w:r>
        <w:r w:rsidRPr="001644F2">
          <w:rPr>
            <w:rStyle w:val="Hyperlink"/>
            <w:rFonts w:ascii="Times New Roman" w:eastAsia="Times New Roman" w:hAnsi="Times New Roman"/>
            <w:kern w:val="0"/>
            <w:sz w:val="28"/>
            <w:lang w:val="ru-RU"/>
            <w14:ligatures w14:val="none"/>
          </w:rPr>
          <w:t>.</w:t>
        </w:r>
        <w:r w:rsidRPr="001644F2">
          <w:rPr>
            <w:rStyle w:val="Hyperlink"/>
            <w:rFonts w:ascii="Times New Roman" w:eastAsia="Times New Roman" w:hAnsi="Times New Roman"/>
            <w:kern w:val="0"/>
            <w:sz w:val="28"/>
            <w14:ligatures w14:val="none"/>
          </w:rPr>
          <w:t>org</w:t>
        </w:r>
        <w:r w:rsidRPr="001644F2">
          <w:rPr>
            <w:rStyle w:val="Hyperlink"/>
            <w:rFonts w:ascii="Times New Roman" w:eastAsia="Times New Roman" w:hAnsi="Times New Roman"/>
            <w:kern w:val="0"/>
            <w:sz w:val="28"/>
            <w:lang w:val="ru-RU"/>
            <w14:ligatures w14:val="none"/>
          </w:rPr>
          <w:t>/0000-0002-7718-3488</w:t>
        </w:r>
      </w:hyperlink>
    </w:p>
    <w:p w14:paraId="2BB20E07" w14:textId="77777777" w:rsidR="00F14C3E" w:rsidRPr="00B44B71" w:rsidRDefault="00F14C3E" w:rsidP="00023291">
      <w:pPr>
        <w:tabs>
          <w:tab w:val="left" w:pos="9638"/>
        </w:tabs>
        <w:spacing w:after="0" w:line="240" w:lineRule="auto"/>
        <w:jc w:val="right"/>
        <w:rPr>
          <w:rFonts w:ascii="Times New Roman" w:eastAsia="Times New Roman" w:hAnsi="Times New Roman" w:cs="Times New Roman"/>
          <w:kern w:val="0"/>
          <w:sz w:val="28"/>
          <w:lang w:val="ru-RU"/>
          <w14:ligatures w14:val="none"/>
        </w:rPr>
      </w:pPr>
    </w:p>
    <w:p w14:paraId="6DC4331C" w14:textId="77777777" w:rsidR="00B44B71" w:rsidRPr="00B8709F" w:rsidRDefault="00B44B71" w:rsidP="00023291">
      <w:pPr>
        <w:tabs>
          <w:tab w:val="left" w:pos="9638"/>
        </w:tabs>
        <w:spacing w:before="120" w:after="120" w:line="240" w:lineRule="auto"/>
        <w:jc w:val="center"/>
        <w:rPr>
          <w:rFonts w:ascii="Times New Roman" w:eastAsia="Times New Roman" w:hAnsi="Times New Roman" w:cs="Times New Roman"/>
          <w:kern w:val="0"/>
          <w:sz w:val="28"/>
          <w:lang w:val="uk-UA"/>
          <w14:ligatures w14:val="none"/>
        </w:rPr>
      </w:pPr>
      <w:r w:rsidRPr="00B8709F">
        <w:rPr>
          <w:rFonts w:ascii="Times New Roman" w:eastAsia="Times New Roman" w:hAnsi="Times New Roman" w:cs="Times New Roman"/>
          <w:b/>
          <w:kern w:val="0"/>
          <w:sz w:val="28"/>
          <w:lang w:val="uk-UA"/>
          <w14:ligatures w14:val="none"/>
        </w:rPr>
        <w:t>МЕТОДОЛОГІЧНІ ПІДХОДИ І ПРИНЦИПИ ДОСЛІДЖЕННЯ РОЗВИТКУ ЛІДЕРСЬКОЇ КОМПЕТЕНТНОСТІ ОФІЦЕРІВ ОПЕРАТИВНОГО РІВНЯ У СИСТЕМІ ПРОФЕСІЙНОЇ ВІЙСЬКОВОЇ ОСВІТИ</w:t>
      </w:r>
    </w:p>
    <w:p w14:paraId="1AE9A1E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A01F14">
        <w:rPr>
          <w:rFonts w:ascii="Times New Roman" w:eastAsia="Times New Roman" w:hAnsi="Times New Roman" w:cs="Times New Roman"/>
          <w:b/>
          <w:kern w:val="0"/>
          <w:sz w:val="28"/>
          <w:lang w:val="uk-UA"/>
          <w14:ligatures w14:val="none"/>
        </w:rPr>
        <w:t>Анотація.</w:t>
      </w:r>
      <w:r w:rsidRPr="00A01F14">
        <w:rPr>
          <w:rFonts w:ascii="Times New Roman" w:eastAsia="Times New Roman" w:hAnsi="Times New Roman" w:cs="Times New Roman"/>
          <w:kern w:val="0"/>
          <w:sz w:val="28"/>
          <w:lang w:val="uk-UA"/>
          <w14:ligatures w14:val="none"/>
        </w:rPr>
        <w:t xml:space="preserve"> У статті обґрунтовано методологічні підходи і принципи дослідження розвитку лідерської компетентності офіцерів оперативного рівня у системі професійної військової освіти України. Актуальність теми зумовлена трансформацією безпекового середовища, досвідом російсько-української війни, переходом до багаторівневої системи професійної військової освіти, упровадженням </w:t>
      </w:r>
      <w:r w:rsidRPr="00B44B71">
        <w:rPr>
          <w:rFonts w:ascii="Times New Roman" w:eastAsia="Times New Roman" w:hAnsi="Times New Roman" w:cs="Times New Roman"/>
          <w:kern w:val="0"/>
          <w:sz w:val="28"/>
          <w14:ligatures w14:val="none"/>
        </w:rPr>
        <w:t>L</w:t>
      </w:r>
      <w:r w:rsidRPr="00A01F14">
        <w:rPr>
          <w:rFonts w:ascii="Times New Roman" w:eastAsia="Times New Roman" w:hAnsi="Times New Roman" w:cs="Times New Roman"/>
          <w:kern w:val="0"/>
          <w:sz w:val="28"/>
          <w:lang w:val="uk-UA"/>
          <w14:ligatures w14:val="none"/>
        </w:rPr>
        <w:t xml:space="preserve">-курсів і потребою досягнення взаємосумісності з державами-членами НАТО. Мета статті полягає в теоретичному обґрунтуванні інтегрованої методологічної рамки дослідження розвитку лідерської компетентності офіцерів оперативного рівня. </w:t>
      </w:r>
      <w:r w:rsidRPr="00B44B71">
        <w:rPr>
          <w:rFonts w:ascii="Times New Roman" w:eastAsia="Times New Roman" w:hAnsi="Times New Roman" w:cs="Times New Roman"/>
          <w:kern w:val="0"/>
          <w:sz w:val="28"/>
          <w:lang w:val="ru-RU"/>
          <w14:ligatures w14:val="none"/>
        </w:rPr>
        <w:t>Методологічну основу становлять системний, компетентнісний, контекстний, суб’єктно-діяльнісний, андрагогічний та аксіологічний підходи. Уточнено розуміння лідерської компетентності офіцера оперативного рівня як інтегрованого складника його військово-професійної компетентності, що виявляється у здатності й готовності організовувати та спрямовувати спільну діяльність, приймати обґрунтовані рішення, забезпечувати взаємодію, довіру, стійкість і керованість у складному оперативному середовищі. Обґрунтовано систему принципів дослідження: науковості й доказовості, системності й цілісності, професійно-оперативної спрямованості, контекстуалізації, інтеграції теорії і практики, суб’єктності, андрагогічної доцільності, етичної зумовленості, рефлексивності, адаптивності та взаємосумісності. Показано доцільність використання сучасних освітніх і дослідницьких технік, зокрема сценарно-орієнтованого навчання (</w:t>
      </w:r>
      <w:r w:rsidRPr="00B44B71">
        <w:rPr>
          <w:rFonts w:ascii="Times New Roman" w:eastAsia="Times New Roman" w:hAnsi="Times New Roman" w:cs="Times New Roman"/>
          <w:kern w:val="0"/>
          <w:sz w:val="28"/>
          <w14:ligatures w14:val="none"/>
        </w:rPr>
        <w:t>scenario</w:t>
      </w:r>
      <w:r w:rsidRPr="00B44B71">
        <w:rPr>
          <w:rFonts w:ascii="Times New Roman" w:eastAsia="Times New Roman" w:hAnsi="Times New Roman" w:cs="Times New Roman"/>
          <w:kern w:val="0"/>
          <w:sz w:val="28"/>
          <w:lang w:val="ru-RU"/>
          <w14:ligatures w14:val="none"/>
        </w:rPr>
        <w:t>-</w:t>
      </w:r>
      <w:r w:rsidRPr="00B44B71">
        <w:rPr>
          <w:rFonts w:ascii="Times New Roman" w:eastAsia="Times New Roman" w:hAnsi="Times New Roman" w:cs="Times New Roman"/>
          <w:kern w:val="0"/>
          <w:sz w:val="28"/>
          <w14:ligatures w14:val="none"/>
        </w:rPr>
        <w:t>based</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learning</w:t>
      </w:r>
      <w:r w:rsidRPr="00B44B71">
        <w:rPr>
          <w:rFonts w:ascii="Times New Roman" w:eastAsia="Times New Roman" w:hAnsi="Times New Roman" w:cs="Times New Roman"/>
          <w:kern w:val="0"/>
          <w:sz w:val="28"/>
          <w:lang w:val="ru-RU"/>
          <w14:ligatures w14:val="none"/>
        </w:rPr>
        <w:t>), аналізу професійних кейсів (</w:t>
      </w:r>
      <w:r w:rsidRPr="00B44B71">
        <w:rPr>
          <w:rFonts w:ascii="Times New Roman" w:eastAsia="Times New Roman" w:hAnsi="Times New Roman" w:cs="Times New Roman"/>
          <w:kern w:val="0"/>
          <w:sz w:val="28"/>
          <w14:ligatures w14:val="none"/>
        </w:rPr>
        <w:t>case</w:t>
      </w:r>
      <w:r w:rsidRPr="00B44B71">
        <w:rPr>
          <w:rFonts w:ascii="Times New Roman" w:eastAsia="Times New Roman" w:hAnsi="Times New Roman" w:cs="Times New Roman"/>
          <w:kern w:val="0"/>
          <w:sz w:val="28"/>
          <w:lang w:val="ru-RU"/>
          <w14:ligatures w14:val="none"/>
        </w:rPr>
        <w:t>-</w:t>
      </w:r>
      <w:r w:rsidRPr="00B44B71">
        <w:rPr>
          <w:rFonts w:ascii="Times New Roman" w:eastAsia="Times New Roman" w:hAnsi="Times New Roman" w:cs="Times New Roman"/>
          <w:kern w:val="0"/>
          <w:sz w:val="28"/>
          <w14:ligatures w14:val="none"/>
        </w:rPr>
        <w:t>based</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analysis</w:t>
      </w:r>
      <w:r w:rsidRPr="00B44B71">
        <w:rPr>
          <w:rFonts w:ascii="Times New Roman" w:eastAsia="Times New Roman" w:hAnsi="Times New Roman" w:cs="Times New Roman"/>
          <w:kern w:val="0"/>
          <w:sz w:val="28"/>
          <w:lang w:val="ru-RU"/>
          <w14:ligatures w14:val="none"/>
        </w:rPr>
        <w:t>), воєнного моделювання (</w:t>
      </w:r>
      <w:r w:rsidRPr="00B44B71">
        <w:rPr>
          <w:rFonts w:ascii="Times New Roman" w:eastAsia="Times New Roman" w:hAnsi="Times New Roman" w:cs="Times New Roman"/>
          <w:kern w:val="0"/>
          <w:sz w:val="28"/>
          <w14:ligatures w14:val="none"/>
        </w:rPr>
        <w:t>wargaming</w:t>
      </w:r>
      <w:r w:rsidRPr="00B44B71">
        <w:rPr>
          <w:rFonts w:ascii="Times New Roman" w:eastAsia="Times New Roman" w:hAnsi="Times New Roman" w:cs="Times New Roman"/>
          <w:kern w:val="0"/>
          <w:sz w:val="28"/>
          <w:lang w:val="ru-RU"/>
          <w14:ligatures w14:val="none"/>
        </w:rPr>
        <w:t>), тактичних ігор прийняття рішень (</w:t>
      </w:r>
      <w:r w:rsidRPr="00B44B71">
        <w:rPr>
          <w:rFonts w:ascii="Times New Roman" w:eastAsia="Times New Roman" w:hAnsi="Times New Roman" w:cs="Times New Roman"/>
          <w:kern w:val="0"/>
          <w:sz w:val="28"/>
          <w14:ligatures w14:val="none"/>
        </w:rPr>
        <w:t>tactical</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decision</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games</w:t>
      </w:r>
      <w:r w:rsidRPr="00B44B71">
        <w:rPr>
          <w:rFonts w:ascii="Times New Roman" w:eastAsia="Times New Roman" w:hAnsi="Times New Roman" w:cs="Times New Roman"/>
          <w:kern w:val="0"/>
          <w:sz w:val="28"/>
          <w:lang w:val="ru-RU"/>
          <w14:ligatures w14:val="none"/>
        </w:rPr>
        <w:t>), підсумкового розбору дій (</w:t>
      </w:r>
      <w:r w:rsidRPr="00B44B71">
        <w:rPr>
          <w:rFonts w:ascii="Times New Roman" w:eastAsia="Times New Roman" w:hAnsi="Times New Roman" w:cs="Times New Roman"/>
          <w:kern w:val="0"/>
          <w:sz w:val="28"/>
          <w14:ligatures w14:val="none"/>
        </w:rPr>
        <w:t>after</w:t>
      </w:r>
      <w:r w:rsidRPr="00B44B71">
        <w:rPr>
          <w:rFonts w:ascii="Times New Roman" w:eastAsia="Times New Roman" w:hAnsi="Times New Roman" w:cs="Times New Roman"/>
          <w:kern w:val="0"/>
          <w:sz w:val="28"/>
          <w:lang w:val="ru-RU"/>
          <w14:ligatures w14:val="none"/>
        </w:rPr>
        <w:t>-</w:t>
      </w:r>
      <w:r w:rsidRPr="00B44B71">
        <w:rPr>
          <w:rFonts w:ascii="Times New Roman" w:eastAsia="Times New Roman" w:hAnsi="Times New Roman" w:cs="Times New Roman"/>
          <w:kern w:val="0"/>
          <w:sz w:val="28"/>
          <w14:ligatures w14:val="none"/>
        </w:rPr>
        <w:t>action</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review</w:t>
      </w:r>
      <w:r w:rsidRPr="00B44B71">
        <w:rPr>
          <w:rFonts w:ascii="Times New Roman" w:eastAsia="Times New Roman" w:hAnsi="Times New Roman" w:cs="Times New Roman"/>
          <w:kern w:val="0"/>
          <w:sz w:val="28"/>
          <w:lang w:val="ru-RU"/>
          <w14:ligatures w14:val="none"/>
        </w:rPr>
        <w:t>), коучингу (</w:t>
      </w:r>
      <w:r w:rsidRPr="00B44B71">
        <w:rPr>
          <w:rFonts w:ascii="Times New Roman" w:eastAsia="Times New Roman" w:hAnsi="Times New Roman" w:cs="Times New Roman"/>
          <w:kern w:val="0"/>
          <w:sz w:val="28"/>
          <w14:ligatures w14:val="none"/>
        </w:rPr>
        <w:t>coaching</w:t>
      </w:r>
      <w:r w:rsidRPr="00B44B71">
        <w:rPr>
          <w:rFonts w:ascii="Times New Roman" w:eastAsia="Times New Roman" w:hAnsi="Times New Roman" w:cs="Times New Roman"/>
          <w:kern w:val="0"/>
          <w:sz w:val="28"/>
          <w:lang w:val="ru-RU"/>
          <w14:ligatures w14:val="none"/>
        </w:rPr>
        <w:t>), менторингу (</w:t>
      </w:r>
      <w:r w:rsidRPr="00B44B71">
        <w:rPr>
          <w:rFonts w:ascii="Times New Roman" w:eastAsia="Times New Roman" w:hAnsi="Times New Roman" w:cs="Times New Roman"/>
          <w:kern w:val="0"/>
          <w:sz w:val="28"/>
          <w14:ligatures w14:val="none"/>
        </w:rPr>
        <w:t>mentoring</w:t>
      </w:r>
      <w:r w:rsidRPr="00B44B71">
        <w:rPr>
          <w:rFonts w:ascii="Times New Roman" w:eastAsia="Times New Roman" w:hAnsi="Times New Roman" w:cs="Times New Roman"/>
          <w:kern w:val="0"/>
          <w:sz w:val="28"/>
          <w:lang w:val="ru-RU"/>
          <w14:ligatures w14:val="none"/>
        </w:rPr>
        <w:t>), картографування освітньої програми (</w:t>
      </w:r>
      <w:r w:rsidRPr="00B44B71">
        <w:rPr>
          <w:rFonts w:ascii="Times New Roman" w:eastAsia="Times New Roman" w:hAnsi="Times New Roman" w:cs="Times New Roman"/>
          <w:kern w:val="0"/>
          <w:sz w:val="28"/>
          <w14:ligatures w14:val="none"/>
        </w:rPr>
        <w:t>curriculum</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mapping</w:t>
      </w:r>
      <w:r w:rsidRPr="00B44B71">
        <w:rPr>
          <w:rFonts w:ascii="Times New Roman" w:eastAsia="Times New Roman" w:hAnsi="Times New Roman" w:cs="Times New Roman"/>
          <w:kern w:val="0"/>
          <w:sz w:val="28"/>
          <w:lang w:val="ru-RU"/>
          <w14:ligatures w14:val="none"/>
        </w:rPr>
        <w:t>), оцінювання “360 градусів” (360-</w:t>
      </w:r>
      <w:r w:rsidRPr="00B44B71">
        <w:rPr>
          <w:rFonts w:ascii="Times New Roman" w:eastAsia="Times New Roman" w:hAnsi="Times New Roman" w:cs="Times New Roman"/>
          <w:kern w:val="0"/>
          <w:sz w:val="28"/>
          <w14:ligatures w14:val="none"/>
        </w:rPr>
        <w:t>degree</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feedback</w:t>
      </w:r>
      <w:r w:rsidRPr="00B44B71">
        <w:rPr>
          <w:rFonts w:ascii="Times New Roman" w:eastAsia="Times New Roman" w:hAnsi="Times New Roman" w:cs="Times New Roman"/>
          <w:kern w:val="0"/>
          <w:sz w:val="28"/>
          <w:lang w:val="ru-RU"/>
          <w14:ligatures w14:val="none"/>
        </w:rPr>
        <w:t xml:space="preserve">), аналізу освітніх даних і рефлексивних процедур. Запропонована методологічна рамка може бути </w:t>
      </w:r>
      <w:r w:rsidRPr="00B44B71">
        <w:rPr>
          <w:rFonts w:ascii="Times New Roman" w:eastAsia="Times New Roman" w:hAnsi="Times New Roman" w:cs="Times New Roman"/>
          <w:kern w:val="0"/>
          <w:sz w:val="28"/>
          <w:lang w:val="ru-RU"/>
          <w14:ligatures w14:val="none"/>
        </w:rPr>
        <w:lastRenderedPageBreak/>
        <w:t>використана для подальшого визначення критеріїв, показників, діагностичних процедур, педагогічних умов і експериментальної методики розвитку лідерської компетентності офіцерів оперативного рівня.</w:t>
      </w:r>
    </w:p>
    <w:p w14:paraId="0FF5B22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b/>
          <w:kern w:val="0"/>
          <w:sz w:val="28"/>
          <w:lang w:val="ru-RU"/>
          <w14:ligatures w14:val="none"/>
        </w:rPr>
        <w:t>Ключові слова:</w:t>
      </w:r>
      <w:r w:rsidRPr="00B44B71">
        <w:rPr>
          <w:rFonts w:ascii="Times New Roman" w:eastAsia="Times New Roman" w:hAnsi="Times New Roman" w:cs="Times New Roman"/>
          <w:kern w:val="0"/>
          <w:sz w:val="28"/>
          <w:lang w:val="ru-RU"/>
          <w14:ligatures w14:val="none"/>
        </w:rPr>
        <w:t xml:space="preserve"> лідерська компетентність; офіцери оперативного рівня; професійна військова освіта; методологічні підходи; принципи дослідження; НАТО; військове лідерство; </w:t>
      </w:r>
      <w:r w:rsidRPr="00B44B71">
        <w:rPr>
          <w:rFonts w:ascii="Times New Roman" w:eastAsia="Times New Roman" w:hAnsi="Times New Roman" w:cs="Times New Roman"/>
          <w:kern w:val="0"/>
          <w:sz w:val="28"/>
          <w14:ligatures w14:val="none"/>
        </w:rPr>
        <w:t>lessons</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learned</w:t>
      </w:r>
      <w:r w:rsidRPr="00B44B71">
        <w:rPr>
          <w:rFonts w:ascii="Times New Roman" w:eastAsia="Times New Roman" w:hAnsi="Times New Roman" w:cs="Times New Roman"/>
          <w:kern w:val="0"/>
          <w:sz w:val="28"/>
          <w:lang w:val="ru-RU"/>
          <w14:ligatures w14:val="none"/>
        </w:rPr>
        <w:t>; контекстне навчання; андрагогіка.</w:t>
      </w:r>
    </w:p>
    <w:p w14:paraId="5FC1413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b/>
          <w:kern w:val="0"/>
          <w:sz w:val="28"/>
          <w:lang w:val="ru-RU"/>
          <w14:ligatures w14:val="none"/>
        </w:rPr>
        <w:t>Постановка проблеми.</w:t>
      </w:r>
      <w:r w:rsidRPr="00B44B71">
        <w:rPr>
          <w:rFonts w:ascii="Times New Roman" w:eastAsia="Times New Roman" w:hAnsi="Times New Roman" w:cs="Times New Roman"/>
          <w:kern w:val="0"/>
          <w:sz w:val="28"/>
          <w:lang w:val="ru-RU"/>
          <w14:ligatures w14:val="none"/>
        </w:rPr>
        <w:t xml:space="preserve"> Трансформація безпекового середовища, повномасштабна війна проти України, перехід до багаторівневої системи професійної військової освіти та курс на досягнення взаємосумісності зі структурами НАТО актуалізують проблему розвитку лідерської компетентності офіцерів оперативного рівня. Система військової освіти України функціонує на засадах неперервності та наступності, а професійна військова освіта реалізується через </w:t>
      </w:r>
      <w:r w:rsidRPr="00B44B71">
        <w:rPr>
          <w:rFonts w:ascii="Times New Roman" w:eastAsia="Times New Roman" w:hAnsi="Times New Roman" w:cs="Times New Roman"/>
          <w:kern w:val="0"/>
          <w:sz w:val="28"/>
          <w14:ligatures w14:val="none"/>
        </w:rPr>
        <w:t>L</w:t>
      </w:r>
      <w:r w:rsidRPr="00B44B71">
        <w:rPr>
          <w:rFonts w:ascii="Times New Roman" w:eastAsia="Times New Roman" w:hAnsi="Times New Roman" w:cs="Times New Roman"/>
          <w:kern w:val="0"/>
          <w:sz w:val="28"/>
          <w:lang w:val="ru-RU"/>
          <w14:ligatures w14:val="none"/>
        </w:rPr>
        <w:t xml:space="preserve">-курси </w:t>
      </w:r>
      <w:r w:rsidRPr="00B44B71">
        <w:rPr>
          <w:rFonts w:ascii="Times New Roman" w:eastAsia="Times New Roman" w:hAnsi="Times New Roman" w:cs="Times New Roman"/>
          <w:kern w:val="0"/>
          <w:sz w:val="28"/>
          <w14:ligatures w14:val="none"/>
        </w:rPr>
        <w:t>L</w:t>
      </w:r>
      <w:r w:rsidRPr="00B44B71">
        <w:rPr>
          <w:rFonts w:ascii="Times New Roman" w:eastAsia="Times New Roman" w:hAnsi="Times New Roman" w:cs="Times New Roman"/>
          <w:kern w:val="0"/>
          <w:sz w:val="28"/>
          <w:lang w:val="uk-UA"/>
          <w14:ligatures w14:val="none"/>
        </w:rPr>
        <w:t>2</w:t>
      </w:r>
      <w:r w:rsidRPr="00B44B71">
        <w:rPr>
          <w:rFonts w:ascii="Times New Roman" w:eastAsia="Times New Roman" w:hAnsi="Times New Roman" w:cs="Times New Roman"/>
          <w:kern w:val="0"/>
          <w:sz w:val="28"/>
          <w:lang w:val="ru-RU"/>
          <w14:ligatures w14:val="none"/>
        </w:rPr>
        <w:t>–</w:t>
      </w:r>
      <w:r w:rsidRPr="00B44B71">
        <w:rPr>
          <w:rFonts w:ascii="Times New Roman" w:eastAsia="Times New Roman" w:hAnsi="Times New Roman" w:cs="Times New Roman"/>
          <w:kern w:val="0"/>
          <w:sz w:val="28"/>
          <w14:ligatures w14:val="none"/>
        </w:rPr>
        <w:t>L</w:t>
      </w:r>
      <w:r w:rsidRPr="00B44B71">
        <w:rPr>
          <w:rFonts w:ascii="Times New Roman" w:eastAsia="Times New Roman" w:hAnsi="Times New Roman" w:cs="Times New Roman"/>
          <w:kern w:val="0"/>
          <w:sz w:val="28"/>
          <w:lang w:val="ru-RU"/>
          <w14:ligatures w14:val="none"/>
        </w:rPr>
        <w:t>5 для набуття тактичного, оперативного і стратегічного рівнів підготовки. Оперативний рівень орієнтований на підготовку офіцерів до оперативного планування, координації, логістики, міжвидової взаємодії та роботи у складних структурах військового управління [13].</w:t>
      </w:r>
    </w:p>
    <w:p w14:paraId="13EF9ECB"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Особливої актуальності ця проблема набуває у зв’язку з тим, що Україна цілеспрямовано просувається до сертифікації курсів професійної військової освіти за стандартами НАТО. Підготовка до інституційного аудиту, визначення критеріїв оцінювання системи професійної військової освіти та офіційне визнання прогресу України у професіоналізації військової освіти засвідчують перехід від локальних змін у змісті підготовки до системного перегляду її цілей, результатів і механізмів забезпечення якості [9; 10; 11; 12; 14]. У цьому контексті розвиток лідерської компетентності офіцерів оперативного рівня постає як один із ключових індикаторів ефективності професійної військової освіти, що зумовлює необхідність наукового обґрунтування не лише методологічних підходів, а й принципів дослідження цього феномену.</w:t>
      </w:r>
    </w:p>
    <w:p w14:paraId="6AAB93FB"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Отже, наукова проблема полягає у необхідності побудови такої методологічної рамки, яка дозволить розглядати розвиток лідерської компетентності офіцерів оперативного рівня як цілісний, багатовимірний, ціннісно зумовлений і педагогічно керований процес. Така рамка має поєднувати теоретичне осмислення поняття, визначення методологічних підходів, обґрунтування принципів дослідження та окреслення сучасних освітніх і дослідницьких технік, придатних для подальшої діагностики й експериментальної перевірки.</w:t>
      </w:r>
    </w:p>
    <w:p w14:paraId="5358F3E7"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b/>
          <w:kern w:val="0"/>
          <w:sz w:val="28"/>
          <w:lang w:val="ru-RU"/>
          <w14:ligatures w14:val="none"/>
        </w:rPr>
        <w:t>Мета статті –</w:t>
      </w:r>
      <w:r w:rsidRPr="00B44B71">
        <w:rPr>
          <w:rFonts w:ascii="Times New Roman" w:eastAsia="Times New Roman" w:hAnsi="Times New Roman" w:cs="Times New Roman"/>
          <w:kern w:val="0"/>
          <w:sz w:val="28"/>
          <w:lang w:val="ru-RU"/>
          <w14:ligatures w14:val="none"/>
        </w:rPr>
        <w:t xml:space="preserve"> обґрунтувати методологічні підходи і принципи дослідження розвитку лідерської компетентності офіцерів оперативного рівня у системі професійної військової освіти України та визначити їх значення для подальшого моделювання, діагностування й експериментальної перевірки відповідної педагогічної системи.</w:t>
      </w:r>
    </w:p>
    <w:p w14:paraId="1691B817"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b/>
          <w:kern w:val="0"/>
          <w:sz w:val="28"/>
          <w:lang w:val="ru-RU"/>
          <w14:ligatures w14:val="none"/>
        </w:rPr>
        <w:t>Результати.</w:t>
      </w:r>
      <w:r w:rsidRPr="00B44B71">
        <w:rPr>
          <w:rFonts w:ascii="Times New Roman" w:eastAsia="Times New Roman" w:hAnsi="Times New Roman" w:cs="Times New Roman"/>
          <w:kern w:val="0"/>
          <w:sz w:val="28"/>
          <w:lang w:val="ru-RU"/>
          <w14:ligatures w14:val="none"/>
        </w:rPr>
        <w:t xml:space="preserve"> Стаття має теоретико-методологічний характер. Установлено, що дослідження розвитку лідерської компетентності офіцерів оперативного рівня має спиратися на комплекс взаємодоповнювальних методологічних </w:t>
      </w:r>
      <w:r w:rsidRPr="00B44B71">
        <w:rPr>
          <w:rFonts w:ascii="Times New Roman" w:eastAsia="Times New Roman" w:hAnsi="Times New Roman" w:cs="Times New Roman"/>
          <w:kern w:val="0"/>
          <w:sz w:val="28"/>
          <w:lang w:val="ru-RU"/>
          <w14:ligatures w14:val="none"/>
        </w:rPr>
        <w:lastRenderedPageBreak/>
        <w:t>підходів. Системний підхід забезпечує цілісне бачення педагогічної системи розвитку лідерської компетентності; компетентнісний – орієнтацію на результати професійної військової освіти; контекстний – наближення освітнього процесу до реальних умов оперативної діяльності; суб’єктно-діяльнісний – розкриття активної ролі офіцера у професійному розвитку; андрагогічний – урахування досвіду дорослих слухачів; аксіологічний – охоплення етичного і ціннісного виміру військового лідерства. Обґрунтовано систему принципів дослідження, що визначає логіку аналізу, критерії добору методів, зв’язок теорії з практикою та вимоги до подальшої емпіричної перевірки.</w:t>
      </w:r>
    </w:p>
    <w:p w14:paraId="6F5015A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b/>
          <w:kern w:val="0"/>
          <w:sz w:val="28"/>
          <w:lang w:val="ru-RU"/>
          <w14:ligatures w14:val="none"/>
        </w:rPr>
        <w:t>Наукова новизна.</w:t>
      </w:r>
      <w:r w:rsidRPr="00B44B71">
        <w:rPr>
          <w:rFonts w:ascii="Times New Roman" w:eastAsia="Times New Roman" w:hAnsi="Times New Roman" w:cs="Times New Roman"/>
          <w:kern w:val="0"/>
          <w:sz w:val="28"/>
          <w:lang w:val="ru-RU"/>
          <w14:ligatures w14:val="none"/>
        </w:rPr>
        <w:t xml:space="preserve"> Наукова новизна статті полягає в тому, що для проблематики професійної військової освіти в Україні цілісно обґрунтовано інтегровану методологічну рамку дослідження розвитку лідерської компетентності офіцерів оперативного рівня з урахуванням сучасних трансформацій професійної військової освіти, натівських референтних навчальних документів, </w:t>
      </w:r>
      <w:r w:rsidRPr="00B44B71">
        <w:rPr>
          <w:rFonts w:ascii="Times New Roman" w:eastAsia="Times New Roman" w:hAnsi="Times New Roman" w:cs="Times New Roman"/>
          <w:kern w:val="0"/>
          <w:sz w:val="28"/>
          <w14:ligatures w14:val="none"/>
        </w:rPr>
        <w:t>lessons</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learned</w:t>
      </w:r>
      <w:r w:rsidRPr="00B44B71">
        <w:rPr>
          <w:rFonts w:ascii="Times New Roman" w:eastAsia="Times New Roman" w:hAnsi="Times New Roman" w:cs="Times New Roman"/>
          <w:kern w:val="0"/>
          <w:sz w:val="28"/>
          <w:lang w:val="ru-RU"/>
          <w14:ligatures w14:val="none"/>
        </w:rPr>
        <w:t xml:space="preserve"> російсько-української війни та сучасних цифрових, рефлексивних і аналітичних технік дослідження й навчання. Уточнено визначення лідерської компетентності офіцера оперативного рівня, конкретизовано її структуру через ціннісно-мотиваційний, когнітивний, операційно-управлінський, комунікативно-координаційний та рефлексивно-особистісний компоненти, а також обґрунтовано систему принципів дослідження, що забезпечує відповідність назви, мети, змісту і висновків статті.</w:t>
      </w:r>
    </w:p>
    <w:p w14:paraId="6E5BBCE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b/>
          <w:kern w:val="0"/>
          <w:sz w:val="28"/>
          <w:lang w:val="ru-RU"/>
          <w14:ligatures w14:val="none"/>
        </w:rPr>
        <w:t>Аналіз останніх досліджень і публікацій.</w:t>
      </w:r>
      <w:r w:rsidRPr="00B44B71">
        <w:rPr>
          <w:rFonts w:ascii="Times New Roman" w:eastAsia="Times New Roman" w:hAnsi="Times New Roman" w:cs="Times New Roman"/>
          <w:kern w:val="0"/>
          <w:sz w:val="28"/>
          <w:lang w:val="ru-RU"/>
          <w14:ligatures w14:val="none"/>
        </w:rPr>
        <w:t xml:space="preserve"> Останніми роками проблема військового лідерства дедалі активніше розробляється як у вітчизняному, так і в міжнародному науковому дискурсі. На інституційному рівні провідну роль у методичному оновленні професійної військової освіти відіграє </w:t>
      </w:r>
      <w:r w:rsidRPr="00B44B71">
        <w:rPr>
          <w:rFonts w:ascii="Times New Roman" w:eastAsia="Times New Roman" w:hAnsi="Times New Roman" w:cs="Times New Roman"/>
          <w:kern w:val="0"/>
          <w:sz w:val="28"/>
          <w14:ligatures w14:val="none"/>
        </w:rPr>
        <w:t>NATO</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DEEP</w:t>
      </w:r>
      <w:r w:rsidRPr="00B44B71">
        <w:rPr>
          <w:rFonts w:ascii="Times New Roman" w:eastAsia="Times New Roman" w:hAnsi="Times New Roman" w:cs="Times New Roman"/>
          <w:kern w:val="0"/>
          <w:sz w:val="28"/>
          <w:lang w:val="ru-RU"/>
          <w14:ligatures w14:val="none"/>
        </w:rPr>
        <w:t xml:space="preserve">, який працює у напрямах </w:t>
      </w:r>
      <w:r w:rsidRPr="00B44B71">
        <w:rPr>
          <w:rFonts w:ascii="Times New Roman" w:eastAsia="Times New Roman" w:hAnsi="Times New Roman" w:cs="Times New Roman"/>
          <w:kern w:val="0"/>
          <w:sz w:val="28"/>
          <w14:ligatures w14:val="none"/>
        </w:rPr>
        <w:t>curriculum</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development</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faculty</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development</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quality</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assurance</w:t>
      </w:r>
      <w:r w:rsidRPr="00B44B71">
        <w:rPr>
          <w:rFonts w:ascii="Times New Roman" w:eastAsia="Times New Roman" w:hAnsi="Times New Roman" w:cs="Times New Roman"/>
          <w:kern w:val="0"/>
          <w:sz w:val="28"/>
          <w:lang w:val="ru-RU"/>
          <w14:ligatures w14:val="none"/>
        </w:rPr>
        <w:t xml:space="preserve">, розвитку критичного мислення та модернізації військових освітніх інституцій [5]. Особливе значення мають </w:t>
      </w:r>
      <w:r w:rsidRPr="00B44B71">
        <w:rPr>
          <w:rFonts w:ascii="Times New Roman" w:eastAsia="Times New Roman" w:hAnsi="Times New Roman" w:cs="Times New Roman"/>
          <w:kern w:val="0"/>
          <w:sz w:val="28"/>
          <w14:ligatures w14:val="none"/>
        </w:rPr>
        <w:t>Leadership</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and</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Ethics</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Reference</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Curriculum</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Resilience</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Reference</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Curriculum</w:t>
      </w:r>
      <w:r w:rsidRPr="00B44B71">
        <w:rPr>
          <w:rFonts w:ascii="Times New Roman" w:eastAsia="Times New Roman" w:hAnsi="Times New Roman" w:cs="Times New Roman"/>
          <w:kern w:val="0"/>
          <w:sz w:val="28"/>
          <w:lang w:val="ru-RU"/>
          <w14:ligatures w14:val="none"/>
        </w:rPr>
        <w:t xml:space="preserve"> та </w:t>
      </w:r>
      <w:r w:rsidRPr="00B44B71">
        <w:rPr>
          <w:rFonts w:ascii="Times New Roman" w:eastAsia="Times New Roman" w:hAnsi="Times New Roman" w:cs="Times New Roman"/>
          <w:kern w:val="0"/>
          <w:sz w:val="28"/>
          <w14:ligatures w14:val="none"/>
        </w:rPr>
        <w:t>Russian</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War</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Against</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Ukraine</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Lessons</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Learned</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Curriculum</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Guide</w:t>
      </w:r>
      <w:r w:rsidRPr="00B44B71">
        <w:rPr>
          <w:rFonts w:ascii="Times New Roman" w:eastAsia="Times New Roman" w:hAnsi="Times New Roman" w:cs="Times New Roman"/>
          <w:kern w:val="0"/>
          <w:sz w:val="28"/>
          <w:lang w:val="ru-RU"/>
          <w14:ligatures w14:val="none"/>
        </w:rPr>
        <w:t>, у яких відображено сучасне бачення військового лідерства, етики, стійкості та навчання на бойовому досвіді [3; 4; 6].</w:t>
      </w:r>
    </w:p>
    <w:p w14:paraId="506BA35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 xml:space="preserve">У сучасній українській педагогічній літературі також спостерігається посилення інтересу до проблематики військового лідерства. Т. Храбан і М. Храбан акцентують увагу на тому, що для системи вищої військової освіти більш продуктивними є трансформаційне лідерство й лідерство служіння, а не жорстко авторитарні моделі управління [17]. Л. Кримець та співавтори розглядають розвиток військового лідерства як безперервний, ціннісно орієнтований процес професійного й особистісного вдосконалення військовослужбовця [8]. В. Ягупов, Р. Лиман і В. Білошицький розкривають сутність, структуру і зміст лідерської компетентності сучасного офіцера за досвідом країн НАТО [18]. М. Пасько деталізує структуру лідерської компетентності офіцерів військ зв’язку та кібербезпеки [7]. Вагомим для цієї проблематики є також доробок О. Бойка, який обґрунтував теорію і методику формування лідерської компетентності офіцерів </w:t>
      </w:r>
      <w:r w:rsidRPr="00B44B71">
        <w:rPr>
          <w:rFonts w:ascii="Times New Roman" w:eastAsia="Times New Roman" w:hAnsi="Times New Roman" w:cs="Times New Roman"/>
          <w:kern w:val="0"/>
          <w:sz w:val="28"/>
          <w:lang w:val="ru-RU"/>
          <w14:ligatures w14:val="none"/>
        </w:rPr>
        <w:lastRenderedPageBreak/>
        <w:t>Збройних Сил України [2]. Водночас проблема саме методологічних підходів і принципів дослідження розвитку лідерської компетентності офіцерів оперативного рівня у системі професійної військової освіти України досі не отримала цілісного наукового обґрунтування.</w:t>
      </w:r>
    </w:p>
    <w:p w14:paraId="4C663951"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b/>
          <w:kern w:val="0"/>
          <w:sz w:val="28"/>
          <w:lang w:val="ru-RU"/>
          <w14:ligatures w14:val="none"/>
        </w:rPr>
        <w:t>Методи дослідження.</w:t>
      </w:r>
      <w:r w:rsidRPr="00B44B71">
        <w:rPr>
          <w:rFonts w:ascii="Times New Roman" w:eastAsia="Times New Roman" w:hAnsi="Times New Roman" w:cs="Times New Roman"/>
          <w:kern w:val="0"/>
          <w:sz w:val="28"/>
          <w:lang w:val="ru-RU"/>
          <w14:ligatures w14:val="none"/>
        </w:rPr>
        <w:t xml:space="preserve"> У статті використано комплекс теоретичних методів, спеціальних методик і аналітичних процедур. До теоретичних методів належать аналіз, синтез, узагальнення, порівняння, систематизація, контент-аналіз нормативних і програмних документів, а також порівняльно-педагогічний аналіз натівських і вітчизняних освітніх підходів. До спеціальних методик і аналітичних процедур, застосованих у дослідженні, віднесено педагогічне моделювання, картографування освітньої програми (</w:t>
      </w:r>
      <w:r w:rsidRPr="00B44B71">
        <w:rPr>
          <w:rFonts w:ascii="Times New Roman" w:eastAsia="Times New Roman" w:hAnsi="Times New Roman" w:cs="Times New Roman"/>
          <w:kern w:val="0"/>
          <w:sz w:val="28"/>
          <w14:ligatures w14:val="none"/>
        </w:rPr>
        <w:t>curriculum</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mapping</w:t>
      </w:r>
      <w:r w:rsidRPr="00B44B71">
        <w:rPr>
          <w:rFonts w:ascii="Times New Roman" w:eastAsia="Times New Roman" w:hAnsi="Times New Roman" w:cs="Times New Roman"/>
          <w:kern w:val="0"/>
          <w:sz w:val="28"/>
          <w:lang w:val="ru-RU"/>
          <w14:ligatures w14:val="none"/>
        </w:rPr>
        <w:t>), аналіз професійних кейсів (</w:t>
      </w:r>
      <w:r w:rsidRPr="00B44B71">
        <w:rPr>
          <w:rFonts w:ascii="Times New Roman" w:eastAsia="Times New Roman" w:hAnsi="Times New Roman" w:cs="Times New Roman"/>
          <w:kern w:val="0"/>
          <w:sz w:val="28"/>
          <w14:ligatures w14:val="none"/>
        </w:rPr>
        <w:t>case</w:t>
      </w:r>
      <w:r w:rsidRPr="00B44B71">
        <w:rPr>
          <w:rFonts w:ascii="Times New Roman" w:eastAsia="Times New Roman" w:hAnsi="Times New Roman" w:cs="Times New Roman"/>
          <w:kern w:val="0"/>
          <w:sz w:val="28"/>
          <w:lang w:val="ru-RU"/>
          <w14:ligatures w14:val="none"/>
        </w:rPr>
        <w:t>-</w:t>
      </w:r>
      <w:r w:rsidRPr="00B44B71">
        <w:rPr>
          <w:rFonts w:ascii="Times New Roman" w:eastAsia="Times New Roman" w:hAnsi="Times New Roman" w:cs="Times New Roman"/>
          <w:kern w:val="0"/>
          <w:sz w:val="28"/>
          <w14:ligatures w14:val="none"/>
        </w:rPr>
        <w:t>based</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analysis</w:t>
      </w:r>
      <w:r w:rsidRPr="00B44B71">
        <w:rPr>
          <w:rFonts w:ascii="Times New Roman" w:eastAsia="Times New Roman" w:hAnsi="Times New Roman" w:cs="Times New Roman"/>
          <w:kern w:val="0"/>
          <w:sz w:val="28"/>
          <w:lang w:val="ru-RU"/>
          <w14:ligatures w14:val="none"/>
        </w:rPr>
        <w:t>), сценарно-орієнтовану інтерпретацію (</w:t>
      </w:r>
      <w:r w:rsidRPr="00B44B71">
        <w:rPr>
          <w:rFonts w:ascii="Times New Roman" w:eastAsia="Times New Roman" w:hAnsi="Times New Roman" w:cs="Times New Roman"/>
          <w:kern w:val="0"/>
          <w:sz w:val="28"/>
          <w14:ligatures w14:val="none"/>
        </w:rPr>
        <w:t>scenario</w:t>
      </w:r>
      <w:r w:rsidRPr="00B44B71">
        <w:rPr>
          <w:rFonts w:ascii="Times New Roman" w:eastAsia="Times New Roman" w:hAnsi="Times New Roman" w:cs="Times New Roman"/>
          <w:kern w:val="0"/>
          <w:sz w:val="28"/>
          <w:lang w:val="ru-RU"/>
          <w14:ligatures w14:val="none"/>
        </w:rPr>
        <w:t>-</w:t>
      </w:r>
      <w:r w:rsidRPr="00B44B71">
        <w:rPr>
          <w:rFonts w:ascii="Times New Roman" w:eastAsia="Times New Roman" w:hAnsi="Times New Roman" w:cs="Times New Roman"/>
          <w:kern w:val="0"/>
          <w:sz w:val="28"/>
          <w14:ligatures w14:val="none"/>
        </w:rPr>
        <w:t>based</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interpretation</w:t>
      </w:r>
      <w:r w:rsidRPr="00B44B71">
        <w:rPr>
          <w:rFonts w:ascii="Times New Roman" w:eastAsia="Times New Roman" w:hAnsi="Times New Roman" w:cs="Times New Roman"/>
          <w:kern w:val="0"/>
          <w:sz w:val="28"/>
          <w:lang w:val="ru-RU"/>
          <w14:ligatures w14:val="none"/>
        </w:rPr>
        <w:t>) та метод логіко-структурного проєктування системи принципів і критеріїв дослідження. Їх використання є методологічно виправданим, оскільки дає змогу, з одного боку, відтворити цілісну структуру досліджуваного феномену, а з іншого – простежити, яким чином лідерська компетентність офіцерів оперативного рівня представлена в освітньому змісті, професійних ситуаціях і процедурах оцінювання.</w:t>
      </w:r>
    </w:p>
    <w:p w14:paraId="08B1A3CF"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b/>
          <w:kern w:val="0"/>
          <w:sz w:val="28"/>
          <w:lang w:val="ru-RU"/>
          <w14:ligatures w14:val="none"/>
        </w:rPr>
        <w:t>Виклад основного матеріалу.</w:t>
      </w:r>
      <w:r w:rsidRPr="00B44B71">
        <w:rPr>
          <w:rFonts w:ascii="Times New Roman" w:eastAsia="Times New Roman" w:hAnsi="Times New Roman" w:cs="Times New Roman"/>
          <w:kern w:val="0"/>
          <w:sz w:val="28"/>
          <w:lang w:val="ru-RU"/>
          <w14:ligatures w14:val="none"/>
        </w:rPr>
        <w:t xml:space="preserve"> Методологія дослідження розвитку лідерської компетентності офіцерів оперативного рівня у системі професійної військової освіти має ґрунтуватися на сучасному розумінні професійної підготовки як безперервного процесу розвитку військового фахівця, здатного діяти в умовах невизначеності, динамічної зміни оперативної обстановки, міжвидової взаємодії, інформаційного перевантаження та підвищеної моральної відповідальності. За таких умов професійна військова освіта не може розглядатися лише як засвоєння змісту освітніх компонентів або відпрацювання окремих алгоритмів управлінської діяльності. Її сутність полягає у формуванні та розвитку інтегральних професійних характеристик офіцера, серед яких лідерська компетентність займає особливе місце, оскільки забезпечує відповідальне прийняття рішень, організацію спільної діяльності, підтримання морально-психологічної стійкості військового колективу та збереження ціннісних орієнтирів професійної діяльності [4; 8; 14].</w:t>
      </w:r>
    </w:p>
    <w:p w14:paraId="21E5E55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Процес набуття особистістю потенційних можливостей до ефективної професійної діяльності безпосередньо пов’язаний з професійною компетентністю випускників вищого військового навчального закладу. Професійна компетентність є результатом індивідуальної самореалізації особистості, що відображається в ієрархічній структурі мотиваційної сфери, виявляється у цілеспрямованих діях і поведінці та переживається на емоційному рівні як інтерес, захоплення і відчуття професійної перспективи [16, с. 166].</w:t>
      </w:r>
    </w:p>
    <w:p w14:paraId="0B9BE35F"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 xml:space="preserve">У межах цього дослідження компетентність розглядається як інтегральна здатність офіцера результативно здійснювати професійну діяльність у визначеному контексті, тоді як компетенції виступають її структурними елементами, тобто відносно самостійними когнітивними, діяльнісними, </w:t>
      </w:r>
      <w:r w:rsidRPr="00B44B71">
        <w:rPr>
          <w:rFonts w:ascii="Times New Roman" w:eastAsia="Times New Roman" w:hAnsi="Times New Roman" w:cs="Times New Roman"/>
          <w:kern w:val="0"/>
          <w:sz w:val="28"/>
          <w:lang w:val="ru-RU"/>
          <w14:ligatures w14:val="none"/>
        </w:rPr>
        <w:lastRenderedPageBreak/>
        <w:t>ціннісними, комунікативними, рефлексивними та поведінковими характеристиками, які забезпечують таку здатність. Відповідно, лідерська компетентність офіцера оперативного рівня є результатом набуття, інтеграції та мобілізації сукупності відповідних компетенцій, актуалізованих у процесі професійної військової освіти та подальшої службової діяльності.</w:t>
      </w:r>
    </w:p>
    <w:p w14:paraId="766E5FCB"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Таблиця 1</w:t>
      </w:r>
    </w:p>
    <w:p w14:paraId="035DD600" w14:textId="77777777" w:rsidR="00B44B71" w:rsidRPr="00B44B71" w:rsidRDefault="00B44B71" w:rsidP="00023291">
      <w:pPr>
        <w:tabs>
          <w:tab w:val="left" w:pos="9638"/>
        </w:tabs>
        <w:spacing w:after="0" w:line="240" w:lineRule="auto"/>
        <w:jc w:val="center"/>
        <w:rPr>
          <w:rFonts w:ascii="Times New Roman" w:eastAsia="Times New Roman" w:hAnsi="Times New Roman" w:cs="Times New Roman"/>
          <w:b/>
          <w:bCs/>
          <w:kern w:val="0"/>
          <w:sz w:val="28"/>
          <w:lang w:val="ru-RU"/>
          <w14:ligatures w14:val="none"/>
        </w:rPr>
      </w:pPr>
      <w:r w:rsidRPr="00B44B71">
        <w:rPr>
          <w:rFonts w:ascii="Times New Roman" w:eastAsia="Times New Roman" w:hAnsi="Times New Roman" w:cs="Times New Roman"/>
          <w:b/>
          <w:bCs/>
          <w:kern w:val="0"/>
          <w:sz w:val="28"/>
          <w:lang w:val="ru-RU"/>
          <w14:ligatures w14:val="none"/>
        </w:rPr>
        <w:t>Підходи до визначення поняття “лідерська компетентність”</w:t>
      </w:r>
    </w:p>
    <w:tbl>
      <w:tblPr>
        <w:tblStyle w:val="120"/>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2268"/>
        <w:gridCol w:w="4380"/>
        <w:gridCol w:w="3324"/>
      </w:tblGrid>
      <w:tr w:rsidR="00B44B71" w:rsidRPr="00B44B71" w14:paraId="3268A29E" w14:textId="77777777" w:rsidTr="00F918EC">
        <w:trPr>
          <w:tblHeader/>
          <w:jc w:val="center"/>
        </w:trPr>
        <w:tc>
          <w:tcPr>
            <w:tcW w:w="2268" w:type="dxa"/>
          </w:tcPr>
          <w:p w14:paraId="41E77D2A" w14:textId="77777777" w:rsidR="00B44B71" w:rsidRPr="00B44B71" w:rsidRDefault="00B44B71" w:rsidP="00023291">
            <w:pPr>
              <w:tabs>
                <w:tab w:val="left" w:pos="9638"/>
              </w:tabs>
              <w:jc w:val="center"/>
              <w:rPr>
                <w:rFonts w:ascii="Times New Roman" w:eastAsia="Times New Roman" w:hAnsi="Times New Roman" w:cs="Times New Roman"/>
                <w:sz w:val="24"/>
                <w:szCs w:val="24"/>
              </w:rPr>
            </w:pPr>
            <w:r w:rsidRPr="00B44B71">
              <w:rPr>
                <w:rFonts w:ascii="Times New Roman" w:eastAsia="Times New Roman" w:hAnsi="Times New Roman" w:cs="Times New Roman"/>
                <w:b/>
                <w:sz w:val="24"/>
                <w:szCs w:val="24"/>
              </w:rPr>
              <w:t>Автор / джерело</w:t>
            </w:r>
          </w:p>
        </w:tc>
        <w:tc>
          <w:tcPr>
            <w:tcW w:w="4380" w:type="dxa"/>
          </w:tcPr>
          <w:p w14:paraId="68B992D1" w14:textId="77777777" w:rsidR="00B44B71" w:rsidRPr="00B44B71" w:rsidRDefault="00B44B71" w:rsidP="00023291">
            <w:pPr>
              <w:tabs>
                <w:tab w:val="left" w:pos="9638"/>
              </w:tabs>
              <w:jc w:val="center"/>
              <w:rPr>
                <w:rFonts w:ascii="Times New Roman" w:eastAsia="Times New Roman" w:hAnsi="Times New Roman" w:cs="Times New Roman"/>
                <w:sz w:val="24"/>
                <w:szCs w:val="24"/>
              </w:rPr>
            </w:pPr>
            <w:r w:rsidRPr="00B44B71">
              <w:rPr>
                <w:rFonts w:ascii="Times New Roman" w:eastAsia="Times New Roman" w:hAnsi="Times New Roman" w:cs="Times New Roman"/>
                <w:b/>
                <w:sz w:val="24"/>
                <w:szCs w:val="24"/>
              </w:rPr>
              <w:t>Зміст підходу</w:t>
            </w:r>
          </w:p>
        </w:tc>
        <w:tc>
          <w:tcPr>
            <w:tcW w:w="3324" w:type="dxa"/>
          </w:tcPr>
          <w:p w14:paraId="32423E9C" w14:textId="77777777" w:rsidR="00B44B71" w:rsidRPr="00B44B71" w:rsidRDefault="00B44B71" w:rsidP="00023291">
            <w:pPr>
              <w:tabs>
                <w:tab w:val="left" w:pos="9638"/>
              </w:tabs>
              <w:jc w:val="center"/>
              <w:rPr>
                <w:rFonts w:ascii="Times New Roman" w:eastAsia="Times New Roman" w:hAnsi="Times New Roman" w:cs="Times New Roman"/>
                <w:sz w:val="24"/>
                <w:szCs w:val="24"/>
              </w:rPr>
            </w:pPr>
            <w:r w:rsidRPr="00B44B71">
              <w:rPr>
                <w:rFonts w:ascii="Times New Roman" w:eastAsia="Times New Roman" w:hAnsi="Times New Roman" w:cs="Times New Roman"/>
                <w:b/>
                <w:sz w:val="24"/>
                <w:szCs w:val="24"/>
              </w:rPr>
              <w:t>Методологічне значення для дослідження</w:t>
            </w:r>
          </w:p>
        </w:tc>
      </w:tr>
      <w:tr w:rsidR="00B44B71" w:rsidRPr="00F25FCF" w14:paraId="32844229" w14:textId="77777777" w:rsidTr="00F918EC">
        <w:trPr>
          <w:jc w:val="center"/>
        </w:trPr>
        <w:tc>
          <w:tcPr>
            <w:tcW w:w="2268" w:type="dxa"/>
          </w:tcPr>
          <w:p w14:paraId="733346DC" w14:textId="77777777" w:rsidR="00B44B71" w:rsidRPr="00B44B71" w:rsidRDefault="00B44B71" w:rsidP="00023291">
            <w:pPr>
              <w:tabs>
                <w:tab w:val="left" w:pos="9638"/>
              </w:tabs>
              <w:jc w:val="center"/>
              <w:rPr>
                <w:rFonts w:ascii="Times New Roman" w:eastAsia="Times New Roman" w:hAnsi="Times New Roman" w:cs="Times New Roman"/>
                <w:sz w:val="24"/>
                <w:szCs w:val="24"/>
              </w:rPr>
            </w:pPr>
            <w:r w:rsidRPr="00B44B71">
              <w:rPr>
                <w:rFonts w:ascii="Times New Roman" w:eastAsia="Times New Roman" w:hAnsi="Times New Roman" w:cs="Times New Roman"/>
                <w:color w:val="000000"/>
                <w:sz w:val="24"/>
                <w:szCs w:val="24"/>
              </w:rPr>
              <w:t>Gonzаlez J., Wagenaar R.</w:t>
            </w:r>
          </w:p>
        </w:tc>
        <w:tc>
          <w:tcPr>
            <w:tcW w:w="4380" w:type="dxa"/>
          </w:tcPr>
          <w:p w14:paraId="1132605C" w14:textId="77777777" w:rsidR="00B44B71" w:rsidRPr="00B44B71" w:rsidRDefault="00B44B71" w:rsidP="00023291">
            <w:pPr>
              <w:tabs>
                <w:tab w:val="left" w:pos="9638"/>
              </w:tabs>
              <w:jc w:val="center"/>
              <w:rPr>
                <w:rFonts w:ascii="Times New Roman" w:eastAsia="Times New Roman" w:hAnsi="Times New Roman" w:cs="Times New Roman"/>
                <w:sz w:val="24"/>
                <w:szCs w:val="24"/>
              </w:rPr>
            </w:pPr>
            <w:r w:rsidRPr="00B44B71">
              <w:rPr>
                <w:rFonts w:ascii="Times New Roman" w:eastAsia="Times New Roman" w:hAnsi="Times New Roman" w:cs="Times New Roman"/>
                <w:sz w:val="24"/>
                <w:szCs w:val="24"/>
              </w:rPr>
              <w:t>Компетентності трактуються як динамічна комбінація знань, розуміння, умінь, здібностей і цінностей [1].</w:t>
            </w:r>
          </w:p>
        </w:tc>
        <w:tc>
          <w:tcPr>
            <w:tcW w:w="3324" w:type="dxa"/>
          </w:tcPr>
          <w:p w14:paraId="54A75567" w14:textId="77777777" w:rsidR="00B44B71" w:rsidRPr="00B44B71" w:rsidRDefault="00B44B71" w:rsidP="00023291">
            <w:pPr>
              <w:tabs>
                <w:tab w:val="left" w:pos="9638"/>
              </w:tabs>
              <w:jc w:val="center"/>
              <w:rPr>
                <w:rFonts w:ascii="Times New Roman" w:eastAsia="Times New Roman" w:hAnsi="Times New Roman" w:cs="Times New Roman"/>
                <w:sz w:val="24"/>
                <w:szCs w:val="24"/>
                <w:lang w:val="ru-RU"/>
              </w:rPr>
            </w:pPr>
            <w:r w:rsidRPr="00B44B71">
              <w:rPr>
                <w:rFonts w:ascii="Times New Roman" w:eastAsia="Times New Roman" w:hAnsi="Times New Roman" w:cs="Times New Roman"/>
                <w:sz w:val="24"/>
                <w:szCs w:val="24"/>
                <w:lang w:val="ru-RU"/>
              </w:rPr>
              <w:t>Дає основу для розуміння лідерської компетентності як інтегративного утворення.</w:t>
            </w:r>
          </w:p>
        </w:tc>
      </w:tr>
      <w:tr w:rsidR="00B44B71" w:rsidRPr="00F25FCF" w14:paraId="66E7BB4A" w14:textId="77777777" w:rsidTr="00F918EC">
        <w:trPr>
          <w:jc w:val="center"/>
        </w:trPr>
        <w:tc>
          <w:tcPr>
            <w:tcW w:w="2268" w:type="dxa"/>
          </w:tcPr>
          <w:p w14:paraId="16EAEE65" w14:textId="77777777" w:rsidR="00B44B71" w:rsidRPr="00B44B71" w:rsidRDefault="00B44B71" w:rsidP="00023291">
            <w:pPr>
              <w:tabs>
                <w:tab w:val="left" w:pos="9638"/>
              </w:tabs>
              <w:jc w:val="center"/>
              <w:rPr>
                <w:rFonts w:ascii="Times New Roman" w:eastAsia="Times New Roman" w:hAnsi="Times New Roman" w:cs="Times New Roman"/>
                <w:sz w:val="24"/>
                <w:szCs w:val="24"/>
              </w:rPr>
            </w:pPr>
            <w:r w:rsidRPr="00B44B71">
              <w:rPr>
                <w:rFonts w:ascii="Times New Roman" w:eastAsia="Times New Roman" w:hAnsi="Times New Roman" w:cs="Times New Roman"/>
                <w:sz w:val="24"/>
                <w:szCs w:val="24"/>
              </w:rPr>
              <w:t>Бойко О. В.</w:t>
            </w:r>
          </w:p>
        </w:tc>
        <w:tc>
          <w:tcPr>
            <w:tcW w:w="4380" w:type="dxa"/>
          </w:tcPr>
          <w:p w14:paraId="4DC867D1" w14:textId="77777777" w:rsidR="00B44B71" w:rsidRPr="00B44B71" w:rsidRDefault="00B44B71" w:rsidP="00023291">
            <w:pPr>
              <w:tabs>
                <w:tab w:val="left" w:pos="9638"/>
              </w:tabs>
              <w:jc w:val="center"/>
              <w:rPr>
                <w:rFonts w:ascii="Times New Roman" w:eastAsia="Times New Roman" w:hAnsi="Times New Roman" w:cs="Times New Roman"/>
                <w:sz w:val="24"/>
                <w:szCs w:val="24"/>
              </w:rPr>
            </w:pPr>
            <w:r w:rsidRPr="00B44B71">
              <w:rPr>
                <w:rFonts w:ascii="Times New Roman" w:eastAsia="Times New Roman" w:hAnsi="Times New Roman" w:cs="Times New Roman"/>
                <w:sz w:val="24"/>
                <w:szCs w:val="24"/>
              </w:rPr>
              <w:t>Лідерська компетентність офіцера розглядається через поєднання цінностей, мотивації, знань, умінь, здатностей і професійно важливих якостей [2].</w:t>
            </w:r>
          </w:p>
        </w:tc>
        <w:tc>
          <w:tcPr>
            <w:tcW w:w="3324" w:type="dxa"/>
          </w:tcPr>
          <w:p w14:paraId="1C438F93" w14:textId="77777777" w:rsidR="00B44B71" w:rsidRPr="00B44B71" w:rsidRDefault="00B44B71" w:rsidP="00023291">
            <w:pPr>
              <w:tabs>
                <w:tab w:val="left" w:pos="9638"/>
              </w:tabs>
              <w:jc w:val="center"/>
              <w:rPr>
                <w:rFonts w:ascii="Times New Roman" w:eastAsia="Times New Roman" w:hAnsi="Times New Roman" w:cs="Times New Roman"/>
                <w:sz w:val="24"/>
                <w:szCs w:val="24"/>
                <w:lang w:val="ru-RU"/>
              </w:rPr>
            </w:pPr>
            <w:r w:rsidRPr="00B44B71">
              <w:rPr>
                <w:rFonts w:ascii="Times New Roman" w:eastAsia="Times New Roman" w:hAnsi="Times New Roman" w:cs="Times New Roman"/>
                <w:sz w:val="24"/>
                <w:szCs w:val="24"/>
                <w:lang w:val="ru-RU"/>
              </w:rPr>
              <w:t>Забезпечує військово-педагогічний фундамент для трактування поняття в українському контексті.</w:t>
            </w:r>
          </w:p>
        </w:tc>
      </w:tr>
      <w:tr w:rsidR="00B44B71" w:rsidRPr="00F25FCF" w14:paraId="41856171" w14:textId="77777777" w:rsidTr="00F918EC">
        <w:trPr>
          <w:jc w:val="center"/>
        </w:trPr>
        <w:tc>
          <w:tcPr>
            <w:tcW w:w="2268" w:type="dxa"/>
          </w:tcPr>
          <w:p w14:paraId="6308EB42" w14:textId="77777777" w:rsidR="00B44B71" w:rsidRPr="00B44B71" w:rsidRDefault="00B44B71" w:rsidP="00023291">
            <w:pPr>
              <w:tabs>
                <w:tab w:val="left" w:pos="9638"/>
              </w:tabs>
              <w:jc w:val="center"/>
              <w:rPr>
                <w:rFonts w:ascii="Times New Roman" w:eastAsia="Times New Roman" w:hAnsi="Times New Roman" w:cs="Times New Roman"/>
                <w:sz w:val="24"/>
                <w:szCs w:val="24"/>
                <w:lang w:val="ru-RU"/>
              </w:rPr>
            </w:pPr>
            <w:r w:rsidRPr="00B44B71">
              <w:rPr>
                <w:rFonts w:ascii="Times New Roman" w:eastAsia="Times New Roman" w:hAnsi="Times New Roman" w:cs="Times New Roman"/>
                <w:sz w:val="24"/>
                <w:szCs w:val="24"/>
                <w:lang w:val="ru-RU"/>
              </w:rPr>
              <w:t>Ягупов В. В., Лиман Р. М., Білошицький В. В.</w:t>
            </w:r>
          </w:p>
        </w:tc>
        <w:tc>
          <w:tcPr>
            <w:tcW w:w="4380" w:type="dxa"/>
          </w:tcPr>
          <w:p w14:paraId="683639F6" w14:textId="77777777" w:rsidR="00B44B71" w:rsidRPr="00B44B71" w:rsidRDefault="00B44B71" w:rsidP="00023291">
            <w:pPr>
              <w:tabs>
                <w:tab w:val="left" w:pos="9638"/>
              </w:tabs>
              <w:jc w:val="center"/>
              <w:rPr>
                <w:rFonts w:ascii="Times New Roman" w:eastAsia="Times New Roman" w:hAnsi="Times New Roman" w:cs="Times New Roman"/>
                <w:sz w:val="24"/>
                <w:szCs w:val="24"/>
                <w:lang w:val="ru-RU"/>
              </w:rPr>
            </w:pPr>
            <w:r w:rsidRPr="00B44B71">
              <w:rPr>
                <w:rFonts w:ascii="Times New Roman" w:eastAsia="Times New Roman" w:hAnsi="Times New Roman" w:cs="Times New Roman"/>
                <w:sz w:val="24"/>
                <w:szCs w:val="24"/>
                <w:lang w:val="ru-RU"/>
              </w:rPr>
              <w:t>Лідерська компетентність визначається як провідний компонент військово-професійної компетентності сучасного офіцера [18].</w:t>
            </w:r>
          </w:p>
        </w:tc>
        <w:tc>
          <w:tcPr>
            <w:tcW w:w="3324" w:type="dxa"/>
          </w:tcPr>
          <w:p w14:paraId="035A7D4B" w14:textId="77777777" w:rsidR="00B44B71" w:rsidRPr="00B44B71" w:rsidRDefault="00B44B71" w:rsidP="00023291">
            <w:pPr>
              <w:tabs>
                <w:tab w:val="left" w:pos="9638"/>
              </w:tabs>
              <w:jc w:val="center"/>
              <w:rPr>
                <w:rFonts w:ascii="Times New Roman" w:eastAsia="Times New Roman" w:hAnsi="Times New Roman" w:cs="Times New Roman"/>
                <w:sz w:val="24"/>
                <w:szCs w:val="24"/>
                <w:lang w:val="ru-RU"/>
              </w:rPr>
            </w:pPr>
            <w:r w:rsidRPr="00B44B71">
              <w:rPr>
                <w:rFonts w:ascii="Times New Roman" w:eastAsia="Times New Roman" w:hAnsi="Times New Roman" w:cs="Times New Roman"/>
                <w:sz w:val="24"/>
                <w:szCs w:val="24"/>
                <w:lang w:val="ru-RU"/>
              </w:rPr>
              <w:t>Дає підстави визначати компоненти лідерської компетентності в логіці військово-професійної діяльності.</w:t>
            </w:r>
          </w:p>
        </w:tc>
      </w:tr>
      <w:tr w:rsidR="00B44B71" w:rsidRPr="00B44B71" w14:paraId="5BA2A4BD" w14:textId="77777777" w:rsidTr="00F918EC">
        <w:trPr>
          <w:jc w:val="center"/>
        </w:trPr>
        <w:tc>
          <w:tcPr>
            <w:tcW w:w="2268" w:type="dxa"/>
          </w:tcPr>
          <w:p w14:paraId="34F7F28F" w14:textId="77777777" w:rsidR="00B44B71" w:rsidRPr="00B44B71" w:rsidRDefault="00B44B71" w:rsidP="00023291">
            <w:pPr>
              <w:tabs>
                <w:tab w:val="left" w:pos="9638"/>
              </w:tabs>
              <w:jc w:val="center"/>
              <w:rPr>
                <w:rFonts w:ascii="Times New Roman" w:eastAsia="Times New Roman" w:hAnsi="Times New Roman" w:cs="Times New Roman"/>
                <w:sz w:val="24"/>
                <w:szCs w:val="24"/>
              </w:rPr>
            </w:pPr>
            <w:r w:rsidRPr="00B44B71">
              <w:rPr>
                <w:rFonts w:ascii="Times New Roman" w:eastAsia="Times New Roman" w:hAnsi="Times New Roman" w:cs="Times New Roman"/>
                <w:sz w:val="24"/>
                <w:szCs w:val="24"/>
              </w:rPr>
              <w:t>NATO Leadership and Ethics Reference Curriculum</w:t>
            </w:r>
          </w:p>
        </w:tc>
        <w:tc>
          <w:tcPr>
            <w:tcW w:w="4380" w:type="dxa"/>
          </w:tcPr>
          <w:p w14:paraId="27212EDE" w14:textId="77777777" w:rsidR="00B44B71" w:rsidRPr="00B44B71" w:rsidRDefault="00B44B71" w:rsidP="00023291">
            <w:pPr>
              <w:tabs>
                <w:tab w:val="left" w:pos="9638"/>
              </w:tabs>
              <w:jc w:val="center"/>
              <w:rPr>
                <w:rFonts w:ascii="Times New Roman" w:eastAsia="Times New Roman" w:hAnsi="Times New Roman" w:cs="Times New Roman"/>
                <w:sz w:val="24"/>
                <w:szCs w:val="24"/>
              </w:rPr>
            </w:pPr>
            <w:r w:rsidRPr="00B44B71">
              <w:rPr>
                <w:rFonts w:ascii="Times New Roman" w:eastAsia="Times New Roman" w:hAnsi="Times New Roman" w:cs="Times New Roman"/>
                <w:sz w:val="24"/>
                <w:szCs w:val="24"/>
              </w:rPr>
              <w:t>Військове лідерство пов’язується з етичним вибором, відповідальністю, цінностями, професійною поведінкою та командною взаємодією [4].</w:t>
            </w:r>
          </w:p>
        </w:tc>
        <w:tc>
          <w:tcPr>
            <w:tcW w:w="3324" w:type="dxa"/>
          </w:tcPr>
          <w:p w14:paraId="3F0FC919" w14:textId="77777777" w:rsidR="00B44B71" w:rsidRPr="00B44B71" w:rsidRDefault="00B44B71" w:rsidP="00023291">
            <w:pPr>
              <w:tabs>
                <w:tab w:val="left" w:pos="9638"/>
              </w:tabs>
              <w:jc w:val="center"/>
              <w:rPr>
                <w:rFonts w:ascii="Times New Roman" w:eastAsia="Times New Roman" w:hAnsi="Times New Roman" w:cs="Times New Roman"/>
                <w:sz w:val="24"/>
                <w:szCs w:val="24"/>
              </w:rPr>
            </w:pPr>
            <w:r w:rsidRPr="00B44B71">
              <w:rPr>
                <w:rFonts w:ascii="Times New Roman" w:eastAsia="Times New Roman" w:hAnsi="Times New Roman" w:cs="Times New Roman"/>
                <w:sz w:val="24"/>
                <w:szCs w:val="24"/>
              </w:rPr>
              <w:t>Підсилює ціннісно-етичний і організаційний вимір лідерської компетентності офіцера оперативного рівня.</w:t>
            </w:r>
          </w:p>
        </w:tc>
      </w:tr>
      <w:tr w:rsidR="00B44B71" w:rsidRPr="00F25FCF" w14:paraId="0C4DBF07" w14:textId="77777777" w:rsidTr="00F918EC">
        <w:trPr>
          <w:jc w:val="center"/>
        </w:trPr>
        <w:tc>
          <w:tcPr>
            <w:tcW w:w="2268" w:type="dxa"/>
          </w:tcPr>
          <w:p w14:paraId="0996CCA4" w14:textId="77777777" w:rsidR="00B44B71" w:rsidRPr="00B44B71" w:rsidRDefault="00B44B71" w:rsidP="00023291">
            <w:pPr>
              <w:tabs>
                <w:tab w:val="left" w:pos="9638"/>
              </w:tabs>
              <w:jc w:val="center"/>
              <w:rPr>
                <w:rFonts w:ascii="Times New Roman" w:eastAsia="Times New Roman" w:hAnsi="Times New Roman" w:cs="Times New Roman"/>
                <w:sz w:val="24"/>
                <w:szCs w:val="24"/>
                <w:lang w:val="ru-RU"/>
              </w:rPr>
            </w:pPr>
            <w:r w:rsidRPr="00B44B71">
              <w:rPr>
                <w:rFonts w:ascii="Times New Roman" w:eastAsia="Times New Roman" w:hAnsi="Times New Roman" w:cs="Times New Roman"/>
                <w:sz w:val="24"/>
                <w:szCs w:val="24"/>
                <w:lang w:val="ru-RU"/>
              </w:rPr>
              <w:t>Кримець Л. В. та ін.</w:t>
            </w:r>
          </w:p>
        </w:tc>
        <w:tc>
          <w:tcPr>
            <w:tcW w:w="4380" w:type="dxa"/>
          </w:tcPr>
          <w:p w14:paraId="79356B38" w14:textId="77777777" w:rsidR="00B44B71" w:rsidRPr="00B44B71" w:rsidRDefault="00B44B71" w:rsidP="00023291">
            <w:pPr>
              <w:tabs>
                <w:tab w:val="left" w:pos="9638"/>
              </w:tabs>
              <w:jc w:val="center"/>
              <w:rPr>
                <w:rFonts w:ascii="Times New Roman" w:eastAsia="Times New Roman" w:hAnsi="Times New Roman" w:cs="Times New Roman"/>
                <w:sz w:val="24"/>
                <w:szCs w:val="24"/>
                <w:lang w:val="ru-RU"/>
              </w:rPr>
            </w:pPr>
            <w:r w:rsidRPr="00B44B71">
              <w:rPr>
                <w:rFonts w:ascii="Times New Roman" w:eastAsia="Times New Roman" w:hAnsi="Times New Roman" w:cs="Times New Roman"/>
                <w:sz w:val="24"/>
                <w:szCs w:val="24"/>
                <w:lang w:val="ru-RU"/>
              </w:rPr>
              <w:t>Розвиток військового лідерства розглядається як морально зумовлений і ціннісно орієнтований процес професійного становлення військовослужбовця [8].</w:t>
            </w:r>
          </w:p>
        </w:tc>
        <w:tc>
          <w:tcPr>
            <w:tcW w:w="3324" w:type="dxa"/>
          </w:tcPr>
          <w:p w14:paraId="115F33AA" w14:textId="77777777" w:rsidR="00B44B71" w:rsidRPr="00B44B71" w:rsidRDefault="00B44B71" w:rsidP="00023291">
            <w:pPr>
              <w:tabs>
                <w:tab w:val="left" w:pos="9638"/>
              </w:tabs>
              <w:jc w:val="center"/>
              <w:rPr>
                <w:rFonts w:ascii="Times New Roman" w:eastAsia="Times New Roman" w:hAnsi="Times New Roman" w:cs="Times New Roman"/>
                <w:sz w:val="24"/>
                <w:szCs w:val="24"/>
                <w:lang w:val="ru-RU"/>
              </w:rPr>
            </w:pPr>
            <w:r w:rsidRPr="00B44B71">
              <w:rPr>
                <w:rFonts w:ascii="Times New Roman" w:eastAsia="Times New Roman" w:hAnsi="Times New Roman" w:cs="Times New Roman"/>
                <w:sz w:val="24"/>
                <w:szCs w:val="24"/>
                <w:lang w:val="ru-RU"/>
              </w:rPr>
              <w:t>Підтверджує динамічний, процесуальний і ціннісно зумовлений характер лідерської компетентності.</w:t>
            </w:r>
          </w:p>
        </w:tc>
      </w:tr>
    </w:tbl>
    <w:p w14:paraId="1DA620D9" w14:textId="77777777" w:rsidR="00B44B71" w:rsidRPr="00B44B71" w:rsidRDefault="00B44B71" w:rsidP="00023291">
      <w:pPr>
        <w:tabs>
          <w:tab w:val="left" w:pos="9638"/>
        </w:tabs>
        <w:spacing w:after="0" w:line="240" w:lineRule="auto"/>
        <w:rPr>
          <w:rFonts w:ascii="Times New Roman" w:eastAsia="Times New Roman" w:hAnsi="Times New Roman" w:cs="Times New Roman"/>
          <w:kern w:val="0"/>
          <w:sz w:val="28"/>
          <w:lang w:val="ru-RU"/>
          <w14:ligatures w14:val="none"/>
        </w:rPr>
      </w:pPr>
    </w:p>
    <w:p w14:paraId="0946EC3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Порівняльний аналіз наукових підходів дає підстави стверджувати, що в сучасному педагогічному і військово-професійному дискурсі лідерська компетентність не зводиться ані до набору окремих особистісних рис, ані до суто управлінських умінь. Її доцільно трактувати як інтегративний результат поєднання професійних знань, досвіду, цінностей, організаційно-управлінських умінь, комунікативної взаємодії, відповідального прийняття рішень і рефлексивного саморозвитку. Саме таке розуміння є найбільш продуктивним для дослідження професійної військової освіти офіцерів оперативного рівня, оскільки дозволяє поєднати компетентнісну, діяльнісну, ціннісну та організаційну логіку аналізу.</w:t>
      </w:r>
    </w:p>
    <w:p w14:paraId="00E1BDF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 xml:space="preserve">У контексті цього дослідження лідерську компетентність офіцера оперативного рівня доцільно розуміти як інтегрований складник його військово-професійної компетентності, що виявляється у здатності й готовності на основі професійних знань, управлінських умінь, досвіду служби, етичних орієнтирів і </w:t>
      </w:r>
      <w:r w:rsidRPr="00B44B71">
        <w:rPr>
          <w:rFonts w:ascii="Times New Roman" w:eastAsia="Times New Roman" w:hAnsi="Times New Roman" w:cs="Times New Roman"/>
          <w:kern w:val="0"/>
          <w:sz w:val="28"/>
          <w:lang w:val="ru-RU"/>
          <w14:ligatures w14:val="none"/>
        </w:rPr>
        <w:lastRenderedPageBreak/>
        <w:t>рефлексії організовувати та спрямовувати спільну діяльність військових колективів, приймати обґрунтовані рішення, забезпечувати взаємодію, довіру, стійкість і керованість у складному оперативному середовищі.</w:t>
      </w:r>
    </w:p>
    <w:p w14:paraId="6F41BCD1"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 xml:space="preserve">Отже, для </w:t>
      </w:r>
      <w:r w:rsidRPr="00B44B71">
        <w:rPr>
          <w:rFonts w:ascii="Times New Roman" w:eastAsia="Times New Roman" w:hAnsi="Times New Roman" w:cs="Times New Roman"/>
          <w:kern w:val="0"/>
          <w:sz w:val="28"/>
          <w:lang w:val="uk-UA"/>
          <w14:ligatures w14:val="none"/>
        </w:rPr>
        <w:t>мети</w:t>
      </w:r>
      <w:r w:rsidRPr="00B44B71">
        <w:rPr>
          <w:rFonts w:ascii="Times New Roman" w:eastAsia="Times New Roman" w:hAnsi="Times New Roman" w:cs="Times New Roman"/>
          <w:kern w:val="0"/>
          <w:sz w:val="28"/>
          <w:lang w:val="ru-RU"/>
          <w14:ligatures w14:val="none"/>
        </w:rPr>
        <w:t xml:space="preserve"> цього дослідження принципово важливо розглядати лідерську компетентність не як сукупність окремих лідерських якостей і не лише як здатність впливати на інших, а як інтегральну професійну здатність, що набуває реального змісту у зв’язку з конкретним контекстом оперативної діяльності офіцера. Саме тому подальший методологічний аналіз доцільно будувати так, щоб кожен із підходів – системний, компетентнісний, контекстний, суб’єктно-діяльнісний, андрагогічний і аксіологічний – розкривав різні виміри єдиного феномену лідерської компетентності офіцера оперативного рівня.</w:t>
      </w:r>
    </w:p>
    <w:p w14:paraId="47F5831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Першим методологічним орієнтиром є системний підхід, оскільки саме він забезпечує можливість розглядати розвиток лідерської компетентності як цілісну педагогічну систему, елементами якої є мета, зміст, суб’єкти освітнього процесу, освітнє середовище, форми організації навчання, методи, технології, засоби діагностики та очікувані результати. Для офіцера оперативного рівня така системність є принциповою, тому що його професійна діяльність реалізується у складній сукупності взаємодій із підлеглими, старшими начальниками, суміжними підрозділами, органами військового управління та партнерами. Саме тому лідерська компетентність має розглядатися як цілісне інтегральне утворення, що поєднує аналітичне мислення, організаційно-управлінську спроможність, комунікативну взаємодію, ціннісну визначеність, рефлексивність і здатність до адаптації [4; 14].</w:t>
      </w:r>
    </w:p>
    <w:p w14:paraId="30B283E3"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Другим ключовим орієнтиром виступає компетентнісний підхід, який надає дослідженню чіткої орієнтації на результат. Компетентнісний підхід у професійній освіті в умовах військового університету доцільно розглядати як особливу організацію освітнього процесу, за якої посилюється його проблемно-дослідницька, практико-орієнтована та творча спрямованість, а види практичної підготовки набувають прикладного характеру й пов’язуються з виконанням проєктів, орієнтованих на сучасні вимоги [15, с. 43]. Його застосування дозволяє перейти від опису самого процесу навчання до визначення професійно значущих результатів, які повинен демонструвати офіцер оперативного рівня.</w:t>
      </w:r>
    </w:p>
    <w:p w14:paraId="4B7A6B57"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У цьому контексті важливо підкреслити, що лідерська компетентність не обмежується знанням теорії лідерства чи володінням окремими управлінськими прийомами. Вона виявляється у здатності аналізувати ситуацію, прогнозувати розвиток подій, ухвалювати рішення в обмежений час, організовувати спільну діяльність, підтримувати дисципліну і довіру в колективі, діяти етично й відповідально, забезпечувати взаємосумісність та належний рівень професійної комунікації. Саме компетентнісний підхід дає можливість конкретизувати лідерську компетентність через сукупність компетенцій, які можуть бути описані, структуровані, діагностовані та розвинені засобами педагогічного впливу [2; 7; 8; 18].</w:t>
      </w:r>
    </w:p>
    <w:p w14:paraId="3274B43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lastRenderedPageBreak/>
        <w:t xml:space="preserve">Відповідно до запропонованого визначення у структурі лідерської компетентності офіцера оперативного рівня доцільно виокремлювати п’ять взаємопов’язаних компонентів: </w:t>
      </w:r>
      <w:r w:rsidRPr="00B44B71">
        <w:rPr>
          <w:rFonts w:ascii="Times New Roman" w:eastAsia="Times New Roman" w:hAnsi="Times New Roman" w:cs="Times New Roman"/>
          <w:i/>
          <w:iCs/>
          <w:kern w:val="0"/>
          <w:sz w:val="28"/>
          <w:lang w:val="ru-RU"/>
          <w14:ligatures w14:val="none"/>
        </w:rPr>
        <w:t>ціннісно-мотиваційний</w:t>
      </w:r>
      <w:r w:rsidRPr="00B44B71">
        <w:rPr>
          <w:rFonts w:ascii="Times New Roman" w:eastAsia="Times New Roman" w:hAnsi="Times New Roman" w:cs="Times New Roman"/>
          <w:kern w:val="0"/>
          <w:sz w:val="28"/>
          <w:lang w:val="ru-RU"/>
          <w14:ligatures w14:val="none"/>
        </w:rPr>
        <w:t xml:space="preserve"> – відображає професійні цінності офіцера, внутрішню мотивацію до служіння, готовність брати відповідальність, орієнтацію на місію та моральну стійкість; </w:t>
      </w:r>
      <w:r w:rsidRPr="00B44B71">
        <w:rPr>
          <w:rFonts w:ascii="Times New Roman" w:eastAsia="Times New Roman" w:hAnsi="Times New Roman" w:cs="Times New Roman"/>
          <w:i/>
          <w:iCs/>
          <w:kern w:val="0"/>
          <w:sz w:val="28"/>
          <w:lang w:val="ru-RU"/>
          <w14:ligatures w14:val="none"/>
        </w:rPr>
        <w:t>когнітивний</w:t>
      </w:r>
      <w:r w:rsidRPr="00B44B71">
        <w:rPr>
          <w:rFonts w:ascii="Times New Roman" w:eastAsia="Times New Roman" w:hAnsi="Times New Roman" w:cs="Times New Roman"/>
          <w:kern w:val="0"/>
          <w:sz w:val="28"/>
          <w:lang w:val="ru-RU"/>
          <w14:ligatures w14:val="none"/>
        </w:rPr>
        <w:t xml:space="preserve"> – охоплює знання про сутність військового лідерства, функції офіцера оперативного рівня, логіку прийняття рішень, характер сучасних операцій, норми військової культури та етичні засади служби; </w:t>
      </w:r>
      <w:r w:rsidRPr="00B44B71">
        <w:rPr>
          <w:rFonts w:ascii="Times New Roman" w:eastAsia="Times New Roman" w:hAnsi="Times New Roman" w:cs="Times New Roman"/>
          <w:i/>
          <w:iCs/>
          <w:kern w:val="0"/>
          <w:sz w:val="28"/>
          <w:lang w:val="ru-RU"/>
          <w14:ligatures w14:val="none"/>
        </w:rPr>
        <w:t>операційно-управлінський</w:t>
      </w:r>
      <w:r w:rsidRPr="00B44B71">
        <w:rPr>
          <w:rFonts w:ascii="Times New Roman" w:eastAsia="Times New Roman" w:hAnsi="Times New Roman" w:cs="Times New Roman"/>
          <w:kern w:val="0"/>
          <w:sz w:val="28"/>
          <w:lang w:val="ru-RU"/>
          <w14:ligatures w14:val="none"/>
        </w:rPr>
        <w:t xml:space="preserve"> – виявляється у здатності оцінювати обстановку, приймати рішення, організовувати виконання завдань, координувати дії, розподіляти ресурси й забезпечувати керованість у складній ситуації; </w:t>
      </w:r>
      <w:r w:rsidRPr="00B44B71">
        <w:rPr>
          <w:rFonts w:ascii="Times New Roman" w:eastAsia="Times New Roman" w:hAnsi="Times New Roman" w:cs="Times New Roman"/>
          <w:i/>
          <w:iCs/>
          <w:kern w:val="0"/>
          <w:sz w:val="28"/>
          <w:lang w:val="ru-RU"/>
          <w14:ligatures w14:val="none"/>
        </w:rPr>
        <w:t>комунікативно-координаційний</w:t>
      </w:r>
      <w:r w:rsidRPr="00B44B71">
        <w:rPr>
          <w:rFonts w:ascii="Times New Roman" w:eastAsia="Times New Roman" w:hAnsi="Times New Roman" w:cs="Times New Roman"/>
          <w:kern w:val="0"/>
          <w:sz w:val="28"/>
          <w:lang w:val="ru-RU"/>
          <w14:ligatures w14:val="none"/>
        </w:rPr>
        <w:t xml:space="preserve"> – охоплює вміння вибудовувати професійну взаємодію, делегувати, переконувати, підтримувати довіру, врегульовувати суперечності та забезпечувати командну єдність; </w:t>
      </w:r>
      <w:r w:rsidRPr="00B44B71">
        <w:rPr>
          <w:rFonts w:ascii="Times New Roman" w:eastAsia="Times New Roman" w:hAnsi="Times New Roman" w:cs="Times New Roman"/>
          <w:i/>
          <w:iCs/>
          <w:kern w:val="0"/>
          <w:sz w:val="28"/>
          <w:lang w:val="ru-RU"/>
          <w14:ligatures w14:val="none"/>
        </w:rPr>
        <w:t>рефлексивно-особистісний</w:t>
      </w:r>
      <w:r w:rsidRPr="00B44B71">
        <w:rPr>
          <w:rFonts w:ascii="Times New Roman" w:eastAsia="Times New Roman" w:hAnsi="Times New Roman" w:cs="Times New Roman"/>
          <w:kern w:val="0"/>
          <w:sz w:val="28"/>
          <w:lang w:val="ru-RU"/>
          <w14:ligatures w14:val="none"/>
        </w:rPr>
        <w:t xml:space="preserve"> – характеризує здатність офіцера до саморегуляції, критичного осмислення власного досвіду, корекції стилю управлінської й лідерської поведінки, відкритості до зворотного зв’язку та безперервного професійного самовдосконалення.</w:t>
      </w:r>
    </w:p>
    <w:p w14:paraId="423239A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Запропоновані компоненти не існують ізольовано: у реальній професійній діяльності офіцера оперативного рівня вони проявляються одночасно, однак із різною інтенсивністю залежно від характеру завдання, рівня відповідальності, ступеня невизначеності та конфігурації взаємодії. Саме тому їх доцільно розглядати не як механічний перелік, а як внутрішньо пов’язану систему, що формується та розвивається в освітньому середовищі професійної військової освіти.</w:t>
      </w:r>
    </w:p>
    <w:p w14:paraId="1BDACB2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 xml:space="preserve">Наступним важливим орієнтиром виступає </w:t>
      </w:r>
      <w:r w:rsidRPr="00B44B71">
        <w:rPr>
          <w:rFonts w:ascii="Times New Roman" w:eastAsia="Times New Roman" w:hAnsi="Times New Roman" w:cs="Times New Roman"/>
          <w:i/>
          <w:iCs/>
          <w:kern w:val="0"/>
          <w:sz w:val="28"/>
          <w:lang w:val="ru-RU"/>
          <w14:ligatures w14:val="none"/>
        </w:rPr>
        <w:t>контекстний підхід</w:t>
      </w:r>
      <w:r w:rsidRPr="00B44B71">
        <w:rPr>
          <w:rFonts w:ascii="Times New Roman" w:eastAsia="Times New Roman" w:hAnsi="Times New Roman" w:cs="Times New Roman"/>
          <w:kern w:val="0"/>
          <w:sz w:val="28"/>
          <w:lang w:val="ru-RU"/>
          <w14:ligatures w14:val="none"/>
        </w:rPr>
        <w:t>. Його застосування забезпечує принципове наближення змісту та організації навчання до реальних умов майбутньої професійної діяльності офіцера. Якщо в традиційній моделі військової підготовки домінувало відтворення типових завдань, то сучасне освітнє середовище повинно моделювати складні, багатофакторні, непередбачувані ситуації, що вимагають від слухача не лише правильного виконання процедури, а й лідерської позиції, морального вибору, відповідального управлінського рішення та вміння підтримувати цілісність команди.</w:t>
      </w:r>
    </w:p>
    <w:p w14:paraId="33B0914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Саме тому в дослідженні розвитку лідерської компетентності доцільно враховувати можливості таких сучасних технік, як сценарно-орієнтоване навчання (</w:t>
      </w:r>
      <w:r w:rsidRPr="00B44B71">
        <w:rPr>
          <w:rFonts w:ascii="Times New Roman" w:eastAsia="Times New Roman" w:hAnsi="Times New Roman" w:cs="Times New Roman"/>
          <w:kern w:val="0"/>
          <w:sz w:val="28"/>
          <w14:ligatures w14:val="none"/>
        </w:rPr>
        <w:t>scenario</w:t>
      </w:r>
      <w:r w:rsidRPr="00B44B71">
        <w:rPr>
          <w:rFonts w:ascii="Times New Roman" w:eastAsia="Times New Roman" w:hAnsi="Times New Roman" w:cs="Times New Roman"/>
          <w:kern w:val="0"/>
          <w:sz w:val="28"/>
          <w:lang w:val="ru-RU"/>
          <w14:ligatures w14:val="none"/>
        </w:rPr>
        <w:t>-</w:t>
      </w:r>
      <w:r w:rsidRPr="00B44B71">
        <w:rPr>
          <w:rFonts w:ascii="Times New Roman" w:eastAsia="Times New Roman" w:hAnsi="Times New Roman" w:cs="Times New Roman"/>
          <w:kern w:val="0"/>
          <w:sz w:val="28"/>
          <w14:ligatures w14:val="none"/>
        </w:rPr>
        <w:t>based</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learning</w:t>
      </w:r>
      <w:r w:rsidRPr="00B44B71">
        <w:rPr>
          <w:rFonts w:ascii="Times New Roman" w:eastAsia="Times New Roman" w:hAnsi="Times New Roman" w:cs="Times New Roman"/>
          <w:kern w:val="0"/>
          <w:sz w:val="28"/>
          <w:lang w:val="ru-RU"/>
          <w14:ligatures w14:val="none"/>
        </w:rPr>
        <w:t>), аналіз професійних кейсів (</w:t>
      </w:r>
      <w:r w:rsidRPr="00B44B71">
        <w:rPr>
          <w:rFonts w:ascii="Times New Roman" w:eastAsia="Times New Roman" w:hAnsi="Times New Roman" w:cs="Times New Roman"/>
          <w:kern w:val="0"/>
          <w:sz w:val="28"/>
          <w14:ligatures w14:val="none"/>
        </w:rPr>
        <w:t>case</w:t>
      </w:r>
      <w:r w:rsidRPr="00B44B71">
        <w:rPr>
          <w:rFonts w:ascii="Times New Roman" w:eastAsia="Times New Roman" w:hAnsi="Times New Roman" w:cs="Times New Roman"/>
          <w:kern w:val="0"/>
          <w:sz w:val="28"/>
          <w:lang w:val="ru-RU"/>
          <w14:ligatures w14:val="none"/>
        </w:rPr>
        <w:t>-</w:t>
      </w:r>
      <w:r w:rsidRPr="00B44B71">
        <w:rPr>
          <w:rFonts w:ascii="Times New Roman" w:eastAsia="Times New Roman" w:hAnsi="Times New Roman" w:cs="Times New Roman"/>
          <w:kern w:val="0"/>
          <w:sz w:val="28"/>
          <w14:ligatures w14:val="none"/>
        </w:rPr>
        <w:t>based</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analysis</w:t>
      </w:r>
      <w:r w:rsidRPr="00B44B71">
        <w:rPr>
          <w:rFonts w:ascii="Times New Roman" w:eastAsia="Times New Roman" w:hAnsi="Times New Roman" w:cs="Times New Roman"/>
          <w:kern w:val="0"/>
          <w:sz w:val="28"/>
          <w:lang w:val="ru-RU"/>
          <w14:ligatures w14:val="none"/>
        </w:rPr>
        <w:t>), воєнне моделювання або воєнна гра (</w:t>
      </w:r>
      <w:r w:rsidRPr="00B44B71">
        <w:rPr>
          <w:rFonts w:ascii="Times New Roman" w:eastAsia="Times New Roman" w:hAnsi="Times New Roman" w:cs="Times New Roman"/>
          <w:kern w:val="0"/>
          <w:sz w:val="28"/>
          <w14:ligatures w14:val="none"/>
        </w:rPr>
        <w:t>wargaming</w:t>
      </w:r>
      <w:r w:rsidRPr="00B44B71">
        <w:rPr>
          <w:rFonts w:ascii="Times New Roman" w:eastAsia="Times New Roman" w:hAnsi="Times New Roman" w:cs="Times New Roman"/>
          <w:kern w:val="0"/>
          <w:sz w:val="28"/>
          <w:lang w:val="ru-RU"/>
          <w14:ligatures w14:val="none"/>
        </w:rPr>
        <w:t>), тактичні ігри прийняття рішень (</w:t>
      </w:r>
      <w:r w:rsidRPr="00B44B71">
        <w:rPr>
          <w:rFonts w:ascii="Times New Roman" w:eastAsia="Times New Roman" w:hAnsi="Times New Roman" w:cs="Times New Roman"/>
          <w:kern w:val="0"/>
          <w:sz w:val="28"/>
          <w14:ligatures w14:val="none"/>
        </w:rPr>
        <w:t>tactical</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decision</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games</w:t>
      </w:r>
      <w:r w:rsidRPr="00B44B71">
        <w:rPr>
          <w:rFonts w:ascii="Times New Roman" w:eastAsia="Times New Roman" w:hAnsi="Times New Roman" w:cs="Times New Roman"/>
          <w:kern w:val="0"/>
          <w:sz w:val="28"/>
          <w:lang w:val="ru-RU"/>
          <w14:ligatures w14:val="none"/>
        </w:rPr>
        <w:t>), підсумковий розбір дій (</w:t>
      </w:r>
      <w:r w:rsidRPr="00B44B71">
        <w:rPr>
          <w:rFonts w:ascii="Times New Roman" w:eastAsia="Times New Roman" w:hAnsi="Times New Roman" w:cs="Times New Roman"/>
          <w:kern w:val="0"/>
          <w:sz w:val="28"/>
          <w14:ligatures w14:val="none"/>
        </w:rPr>
        <w:t>after</w:t>
      </w:r>
      <w:r w:rsidRPr="00B44B71">
        <w:rPr>
          <w:rFonts w:ascii="Times New Roman" w:eastAsia="Times New Roman" w:hAnsi="Times New Roman" w:cs="Times New Roman"/>
          <w:kern w:val="0"/>
          <w:sz w:val="28"/>
          <w:lang w:val="ru-RU"/>
          <w14:ligatures w14:val="none"/>
        </w:rPr>
        <w:t>-</w:t>
      </w:r>
      <w:r w:rsidRPr="00B44B71">
        <w:rPr>
          <w:rFonts w:ascii="Times New Roman" w:eastAsia="Times New Roman" w:hAnsi="Times New Roman" w:cs="Times New Roman"/>
          <w:kern w:val="0"/>
          <w:sz w:val="28"/>
          <w14:ligatures w14:val="none"/>
        </w:rPr>
        <w:t>action</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review</w:t>
      </w:r>
      <w:r w:rsidRPr="00B44B71">
        <w:rPr>
          <w:rFonts w:ascii="Times New Roman" w:eastAsia="Times New Roman" w:hAnsi="Times New Roman" w:cs="Times New Roman"/>
          <w:kern w:val="0"/>
          <w:sz w:val="28"/>
          <w:lang w:val="ru-RU"/>
          <w14:ligatures w14:val="none"/>
        </w:rPr>
        <w:t>), командно-штабне моделювання, аналіз реальних бойових кейсів і рефлексивні розбори прийнятих рішень. Їх використання є методологічно виправданим, оскільки вони дозволяють досліджувати лідерську компетентність не на рівні абстрактних характеристик, а в умовах, максимально наближених до реальної оперативної діяльності офіцера [3; 5].</w:t>
      </w:r>
    </w:p>
    <w:p w14:paraId="17C313A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lastRenderedPageBreak/>
        <w:t>Так, сценарно-орієнтоване навчання створює змінне професійне середовище, у якому виявляються здатність до прийняття рішень, відповідальність і готовність організовувати спільні дії; аналіз професійних кейсів дає можливість простежити логіку дій офіцера на основі конкретних професійних ситуацій; воєнне моделювання та командно-штабне моделювання відтворюють складну систему координації, взаємодії та управління в багатосуб’єктному середовищі; тактичні ігри прийняття рішень дозволяють оцінити швидкість, обґрунтованість і гнучкість рішень в умовах дефіциту часу; підсумковий розбір дій і рефлексивні розбори забезпечують осмислення досвіду, самокорекцію та виявлення прихованих механізмів професійної поведінки; аналіз реальних бойових кейсів надає дослідженню високого рівня практичної достовірності, оскільки спирається на фактичний досвід сучасної війни.</w:t>
      </w:r>
    </w:p>
    <w:p w14:paraId="31D6085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 xml:space="preserve">Логічним продовженням цієї позиції є </w:t>
      </w:r>
      <w:r w:rsidRPr="00B44B71">
        <w:rPr>
          <w:rFonts w:ascii="Times New Roman" w:eastAsia="Times New Roman" w:hAnsi="Times New Roman" w:cs="Times New Roman"/>
          <w:i/>
          <w:iCs/>
          <w:kern w:val="0"/>
          <w:sz w:val="28"/>
          <w:lang w:val="ru-RU"/>
          <w14:ligatures w14:val="none"/>
        </w:rPr>
        <w:t>суб’єктно-діяльнісний підхід</w:t>
      </w:r>
      <w:r w:rsidRPr="00B44B71">
        <w:rPr>
          <w:rFonts w:ascii="Times New Roman" w:eastAsia="Times New Roman" w:hAnsi="Times New Roman" w:cs="Times New Roman"/>
          <w:kern w:val="0"/>
          <w:sz w:val="28"/>
          <w:lang w:val="ru-RU"/>
          <w14:ligatures w14:val="none"/>
        </w:rPr>
        <w:t>, у межах якого офіцер оперативного рівня розглядається як активний суб’єкт професійного та особистісного розвитку. Це означає, що розвиток лідерської компетентності відбувається не як зовнішнє накладання певних якостей на особистість, а як процес активного залучення офіцера у професійну діяльність, прийняття рішень, взаємодію, рефлексію і самокорекцію. Лідерська компетентність набуває реального змісту лише тоді, коли офіцер здатний мобілізувати знання, уміння, цінності та особистісні ресурси у конкретній діяльнісній ситуації. Тому в межах цього підходу особливого значення набувають такі педагогічні механізми, як активна участь у групових формах роботи, розв’язання професійних проблемних завдань, рефлексія власної поведінки, взаємооцінювання, аналіз індивідуального стилю дій і розвитку [17; 18].</w:t>
      </w:r>
    </w:p>
    <w:p w14:paraId="7B0A0807"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Оскільки слухачами оперативного рівня професійної військової освіти є дорослі військовослужбовці з професійним, управлінським і бойовим досвідом, дослідження має також спиратися на андрагогічний підхід. Його сутність полягає в тому, що дорослий здобувач освіти розглядається як носій попереднього досвіду, власної позиції, професійної ідентичності та сформованих способів діяльності. Відповідно, розвиток лідерської компетентності вимагає не лише навчання нових способів дії, а й критичного осмислення наявного досвіду, порівняння альтернатив, готовності до зміни усталених моделей поведінки та професійного самокоригування.</w:t>
      </w:r>
    </w:p>
    <w:p w14:paraId="4AE2F75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Саме тому в системі дослідження і розвитку лідерської компетентності доцільно використовувати коучинг (</w:t>
      </w:r>
      <w:r w:rsidRPr="00B44B71">
        <w:rPr>
          <w:rFonts w:ascii="Times New Roman" w:eastAsia="Times New Roman" w:hAnsi="Times New Roman" w:cs="Times New Roman"/>
          <w:kern w:val="0"/>
          <w:sz w:val="28"/>
          <w14:ligatures w14:val="none"/>
        </w:rPr>
        <w:t>coaching</w:t>
      </w:r>
      <w:r w:rsidRPr="00B44B71">
        <w:rPr>
          <w:rFonts w:ascii="Times New Roman" w:eastAsia="Times New Roman" w:hAnsi="Times New Roman" w:cs="Times New Roman"/>
          <w:kern w:val="0"/>
          <w:sz w:val="28"/>
          <w:lang w:val="ru-RU"/>
          <w14:ligatures w14:val="none"/>
        </w:rPr>
        <w:t>), менторинг (</w:t>
      </w:r>
      <w:r w:rsidRPr="00B44B71">
        <w:rPr>
          <w:rFonts w:ascii="Times New Roman" w:eastAsia="Times New Roman" w:hAnsi="Times New Roman" w:cs="Times New Roman"/>
          <w:kern w:val="0"/>
          <w:sz w:val="28"/>
          <w14:ligatures w14:val="none"/>
        </w:rPr>
        <w:t>mentoring</w:t>
      </w:r>
      <w:r w:rsidRPr="00B44B71">
        <w:rPr>
          <w:rFonts w:ascii="Times New Roman" w:eastAsia="Times New Roman" w:hAnsi="Times New Roman" w:cs="Times New Roman"/>
          <w:kern w:val="0"/>
          <w:sz w:val="28"/>
          <w:lang w:val="ru-RU"/>
          <w14:ligatures w14:val="none"/>
        </w:rPr>
        <w:t>), навчання рівний рівному (</w:t>
      </w:r>
      <w:r w:rsidRPr="00B44B71">
        <w:rPr>
          <w:rFonts w:ascii="Times New Roman" w:eastAsia="Times New Roman" w:hAnsi="Times New Roman" w:cs="Times New Roman"/>
          <w:kern w:val="0"/>
          <w:sz w:val="28"/>
          <w14:ligatures w14:val="none"/>
        </w:rPr>
        <w:t>peer</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learning</w:t>
      </w:r>
      <w:r w:rsidRPr="00B44B71">
        <w:rPr>
          <w:rFonts w:ascii="Times New Roman" w:eastAsia="Times New Roman" w:hAnsi="Times New Roman" w:cs="Times New Roman"/>
          <w:kern w:val="0"/>
          <w:sz w:val="28"/>
          <w:lang w:val="ru-RU"/>
          <w14:ligatures w14:val="none"/>
        </w:rPr>
        <w:t>), фасилітовану дискусію (</w:t>
      </w:r>
      <w:r w:rsidRPr="00B44B71">
        <w:rPr>
          <w:rFonts w:ascii="Times New Roman" w:eastAsia="Times New Roman" w:hAnsi="Times New Roman" w:cs="Times New Roman"/>
          <w:kern w:val="0"/>
          <w:sz w:val="28"/>
          <w14:ligatures w14:val="none"/>
        </w:rPr>
        <w:t>facilitated</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discussion</w:t>
      </w:r>
      <w:r w:rsidRPr="00B44B71">
        <w:rPr>
          <w:rFonts w:ascii="Times New Roman" w:eastAsia="Times New Roman" w:hAnsi="Times New Roman" w:cs="Times New Roman"/>
          <w:kern w:val="0"/>
          <w:sz w:val="28"/>
          <w:lang w:val="ru-RU"/>
          <w14:ligatures w14:val="none"/>
        </w:rPr>
        <w:t>), взаємне рецензування (</w:t>
      </w:r>
      <w:r w:rsidRPr="00B44B71">
        <w:rPr>
          <w:rFonts w:ascii="Times New Roman" w:eastAsia="Times New Roman" w:hAnsi="Times New Roman" w:cs="Times New Roman"/>
          <w:kern w:val="0"/>
          <w:sz w:val="28"/>
          <w14:ligatures w14:val="none"/>
        </w:rPr>
        <w:t>peer</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review</w:t>
      </w:r>
      <w:r w:rsidRPr="00B44B71">
        <w:rPr>
          <w:rFonts w:ascii="Times New Roman" w:eastAsia="Times New Roman" w:hAnsi="Times New Roman" w:cs="Times New Roman"/>
          <w:kern w:val="0"/>
          <w:sz w:val="28"/>
          <w:lang w:val="ru-RU"/>
          <w14:ligatures w14:val="none"/>
        </w:rPr>
        <w:t>), рефлексивні щоденники (</w:t>
      </w:r>
      <w:r w:rsidRPr="00B44B71">
        <w:rPr>
          <w:rFonts w:ascii="Times New Roman" w:eastAsia="Times New Roman" w:hAnsi="Times New Roman" w:cs="Times New Roman"/>
          <w:kern w:val="0"/>
          <w:sz w:val="28"/>
          <w14:ligatures w14:val="none"/>
        </w:rPr>
        <w:t>reflective</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journals</w:t>
      </w:r>
      <w:r w:rsidRPr="00B44B71">
        <w:rPr>
          <w:rFonts w:ascii="Times New Roman" w:eastAsia="Times New Roman" w:hAnsi="Times New Roman" w:cs="Times New Roman"/>
          <w:kern w:val="0"/>
          <w:sz w:val="28"/>
          <w:lang w:val="ru-RU"/>
          <w14:ligatures w14:val="none"/>
        </w:rPr>
        <w:t>), оцінювання “360 градусів” (360-</w:t>
      </w:r>
      <w:r w:rsidRPr="00B44B71">
        <w:rPr>
          <w:rFonts w:ascii="Times New Roman" w:eastAsia="Times New Roman" w:hAnsi="Times New Roman" w:cs="Times New Roman"/>
          <w:kern w:val="0"/>
          <w:sz w:val="28"/>
          <w14:ligatures w14:val="none"/>
        </w:rPr>
        <w:t>degree</w:t>
      </w:r>
      <w:r w:rsidRPr="00B44B71">
        <w:rPr>
          <w:rFonts w:ascii="Times New Roman" w:eastAsia="Times New Roman" w:hAnsi="Times New Roman" w:cs="Times New Roman"/>
          <w:kern w:val="0"/>
          <w:sz w:val="28"/>
          <w:lang w:val="ru-RU"/>
          <w14:ligatures w14:val="none"/>
        </w:rPr>
        <w:t xml:space="preserve"> </w:t>
      </w:r>
      <w:r w:rsidRPr="00B44B71">
        <w:rPr>
          <w:rFonts w:ascii="Times New Roman" w:eastAsia="Times New Roman" w:hAnsi="Times New Roman" w:cs="Times New Roman"/>
          <w:kern w:val="0"/>
          <w:sz w:val="28"/>
          <w14:ligatures w14:val="none"/>
        </w:rPr>
        <w:t>feedback</w:t>
      </w:r>
      <w:r w:rsidRPr="00B44B71">
        <w:rPr>
          <w:rFonts w:ascii="Times New Roman" w:eastAsia="Times New Roman" w:hAnsi="Times New Roman" w:cs="Times New Roman"/>
          <w:kern w:val="0"/>
          <w:sz w:val="28"/>
          <w:lang w:val="ru-RU"/>
          <w14:ligatures w14:val="none"/>
        </w:rPr>
        <w:t>), індивідуальні траєкторії професійного зростання та аналітику освітньої активності у змішаному форматі навчання. Такі технології дають можливість виявити не лише рівень засвоєння навчального матеріалу, а й характер внутрішніх змін у професійній позиції офіцера [4; 5].</w:t>
      </w:r>
    </w:p>
    <w:p w14:paraId="0038B0B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lastRenderedPageBreak/>
        <w:t xml:space="preserve">Водночас жоден із названих підходів не буде достатнім без аксіологічного виміру дослідження. </w:t>
      </w:r>
      <w:r w:rsidRPr="00B44B71">
        <w:rPr>
          <w:rFonts w:ascii="Times New Roman" w:eastAsia="Times New Roman" w:hAnsi="Times New Roman" w:cs="Times New Roman"/>
          <w:i/>
          <w:iCs/>
          <w:kern w:val="0"/>
          <w:sz w:val="28"/>
          <w:lang w:val="ru-RU"/>
          <w14:ligatures w14:val="none"/>
        </w:rPr>
        <w:t>Аксіологічний підхід</w:t>
      </w:r>
      <w:r w:rsidRPr="00B44B71">
        <w:rPr>
          <w:rFonts w:ascii="Times New Roman" w:eastAsia="Times New Roman" w:hAnsi="Times New Roman" w:cs="Times New Roman"/>
          <w:kern w:val="0"/>
          <w:sz w:val="28"/>
          <w:lang w:val="ru-RU"/>
          <w14:ligatures w14:val="none"/>
        </w:rPr>
        <w:t xml:space="preserve"> дозволяє розглядати лідерську компетентність не лише у функціональному, а й у ціннісному вимірі. Військове лідерство не може бути ефективним, якщо воно позбавлене етичної основи, моральної стійкості, відповідальності, почуття професійної честі та готовності діяти в межах цінностей служби. Для офіцера оперативного рівня це особливо важливо, оскільки його рішення впливають не тільки на результат виконання завдання, а й на безпеку людей, моральний стан колективу, якість командної взаємодії та довіру до системи управління. Відтак, лідерська компетентність повинна охоплювати не лише знання та вміння, а й ціннісні орієнтації, установки, мотиви, внутрішню готовність до відповідального вибору, здатність до морального самоконтролю та етичного судження [4; 8].</w:t>
      </w:r>
    </w:p>
    <w:p w14:paraId="19DEF3C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Узагальнюючи викладене, слід зазначити, що інтеграція системного, компетентнісного, контекстного, суб’єктно-діяльнісного, андрагогічного та аксіологічного підходів дозволяє розглядати розвиток лідерської компетентності офіцерів оперативного рівня як цілісний, багатовимірний і педагогічно керований процес. Саме така інтегрована методологічна рамка забезпечує можливість перейти від загального теоретичного осмислення проблеми до її операціоналізації у дослідницькій площині.</w:t>
      </w:r>
    </w:p>
    <w:p w14:paraId="193A063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ru-RU"/>
          <w14:ligatures w14:val="none"/>
        </w:rPr>
      </w:pPr>
      <w:r w:rsidRPr="00B44B71">
        <w:rPr>
          <w:rFonts w:ascii="Times New Roman" w:eastAsia="Times New Roman" w:hAnsi="Times New Roman" w:cs="Times New Roman"/>
          <w:kern w:val="0"/>
          <w:sz w:val="28"/>
          <w:szCs w:val="28"/>
          <w:lang w:val="ru-RU"/>
          <w14:ligatures w14:val="none"/>
        </w:rPr>
        <w:t>Зазначені методологічні підходи потребують конкретизації через систему принципів, які визначають логіку організації дослідження, добір методів, інтерпретацію результатів і подальше моделювання педагогічної системи розвитку лідерської компетентності офіцерів оперативного рівня. У цьому дослідженні принципи розглядаються не як декларативний перелік, а як регулятивні положення, що задають вимоги до аналізу феномену, добору діагностичних процедур та оцінювання результатів.</w:t>
      </w:r>
    </w:p>
    <w:p w14:paraId="620D1851"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ru-RU"/>
          <w14:ligatures w14:val="none"/>
        </w:rPr>
      </w:pPr>
      <w:r w:rsidRPr="00B44B71">
        <w:rPr>
          <w:rFonts w:ascii="Times New Roman" w:eastAsia="Times New Roman" w:hAnsi="Times New Roman" w:cs="Times New Roman"/>
          <w:i/>
          <w:iCs/>
          <w:kern w:val="0"/>
          <w:sz w:val="28"/>
          <w:szCs w:val="28"/>
          <w:lang w:val="ru-RU"/>
          <w14:ligatures w14:val="none"/>
        </w:rPr>
        <w:t>Принцип науковості</w:t>
      </w:r>
      <w:r w:rsidRPr="00B44B71">
        <w:rPr>
          <w:rFonts w:ascii="Times New Roman" w:eastAsia="Times New Roman" w:hAnsi="Times New Roman" w:cs="Times New Roman"/>
          <w:kern w:val="0"/>
          <w:sz w:val="28"/>
          <w:szCs w:val="28"/>
          <w:lang w:val="ru-RU"/>
          <w14:ligatures w14:val="none"/>
        </w:rPr>
        <w:t>, доказовості та методологічної обґрунтованості передбачає, що дослідження розвитку лідерської компетентності має спиратися на чітко визначений понятійний апарат, теоретичні положення, релевантні джерела, валідні критерії та показники. У контексті професійної військової освіти це потребує поєднання педагогічної теорії, нормативно-доктринальних документів, натівських референтних навчальних матеріалів і досвіду сучасної війни.</w:t>
      </w:r>
    </w:p>
    <w:p w14:paraId="2B6AD17F"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ru-RU"/>
          <w14:ligatures w14:val="none"/>
        </w:rPr>
      </w:pPr>
      <w:r w:rsidRPr="00B44B71">
        <w:rPr>
          <w:rFonts w:ascii="Times New Roman" w:eastAsia="Times New Roman" w:hAnsi="Times New Roman" w:cs="Times New Roman"/>
          <w:i/>
          <w:iCs/>
          <w:kern w:val="0"/>
          <w:sz w:val="28"/>
          <w:szCs w:val="28"/>
          <w:lang w:val="ru-RU"/>
          <w14:ligatures w14:val="none"/>
        </w:rPr>
        <w:t>Принцип системності й цілісності</w:t>
      </w:r>
      <w:r w:rsidRPr="00B44B71">
        <w:rPr>
          <w:rFonts w:ascii="Times New Roman" w:eastAsia="Times New Roman" w:hAnsi="Times New Roman" w:cs="Times New Roman"/>
          <w:kern w:val="0"/>
          <w:sz w:val="28"/>
          <w:szCs w:val="28"/>
          <w:lang w:val="ru-RU"/>
          <w14:ligatures w14:val="none"/>
        </w:rPr>
        <w:t xml:space="preserve"> забезпечує розгляд лідерської компетентності як складного інтегрального утворення, що формується в освітній системі та охоплює ціннісно-мотиваційні, когнітивні, операційно-управлінські, комунікативно-координаційні й рефлексивно-особистісні компоненти. Його дотримання унеможливлює редукцію лідерської компетентності до окремої риси характеру, стилю керівництва або ізольованої управлінської навички.</w:t>
      </w:r>
    </w:p>
    <w:p w14:paraId="3BF3BAAC"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ru-RU"/>
          <w14:ligatures w14:val="none"/>
        </w:rPr>
      </w:pPr>
      <w:r w:rsidRPr="00B44B71">
        <w:rPr>
          <w:rFonts w:ascii="Times New Roman" w:eastAsia="Times New Roman" w:hAnsi="Times New Roman" w:cs="Times New Roman"/>
          <w:i/>
          <w:iCs/>
          <w:kern w:val="0"/>
          <w:sz w:val="28"/>
          <w:szCs w:val="28"/>
          <w:lang w:val="ru-RU"/>
          <w14:ligatures w14:val="none"/>
        </w:rPr>
        <w:t>Принцип професійно-оперативної контекстуалізації</w:t>
      </w:r>
      <w:r w:rsidRPr="00B44B71">
        <w:rPr>
          <w:rFonts w:ascii="Times New Roman" w:eastAsia="Times New Roman" w:hAnsi="Times New Roman" w:cs="Times New Roman"/>
          <w:kern w:val="0"/>
          <w:sz w:val="28"/>
          <w:szCs w:val="28"/>
          <w:lang w:val="ru-RU"/>
          <w14:ligatures w14:val="none"/>
        </w:rPr>
        <w:t xml:space="preserve"> вимагає орієнтації дослідження на реальні завдання офіцера оперативного рівня: аналіз обстановки, планування, координацію, міжвидову взаємодію, управління ресурсами, підтримання командної єдності та прийняття рішень в умовах невизначеності. </w:t>
      </w:r>
      <w:r w:rsidRPr="00B44B71">
        <w:rPr>
          <w:rFonts w:ascii="Times New Roman" w:eastAsia="Times New Roman" w:hAnsi="Times New Roman" w:cs="Times New Roman"/>
          <w:kern w:val="0"/>
          <w:sz w:val="28"/>
          <w:szCs w:val="28"/>
          <w:lang w:val="ru-RU"/>
          <w14:ligatures w14:val="none"/>
        </w:rPr>
        <w:lastRenderedPageBreak/>
        <w:t>Саме цей принцип обґрунтовує використання сценаріїв, кейсів, воєнного моделювання, командно-штабних вправ, тактичних ігор прийняття рішень і підсумкового розбору дій як інструментів не лише навчання, а й діагностики проявів лідерської компетентності.</w:t>
      </w:r>
    </w:p>
    <w:p w14:paraId="104D218B"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ru-RU"/>
          <w14:ligatures w14:val="none"/>
        </w:rPr>
      </w:pPr>
      <w:r w:rsidRPr="00B44B71">
        <w:rPr>
          <w:rFonts w:ascii="Times New Roman" w:eastAsia="Times New Roman" w:hAnsi="Times New Roman" w:cs="Times New Roman"/>
          <w:i/>
          <w:iCs/>
          <w:kern w:val="0"/>
          <w:sz w:val="28"/>
          <w:szCs w:val="28"/>
          <w:lang w:val="ru-RU"/>
          <w14:ligatures w14:val="none"/>
        </w:rPr>
        <w:t>Принцип інтеграції теорії, практики та бойового досвіду</w:t>
      </w:r>
      <w:r w:rsidRPr="00B44B71">
        <w:rPr>
          <w:rFonts w:ascii="Times New Roman" w:eastAsia="Times New Roman" w:hAnsi="Times New Roman" w:cs="Times New Roman"/>
          <w:kern w:val="0"/>
          <w:sz w:val="28"/>
          <w:szCs w:val="28"/>
          <w:lang w:val="ru-RU"/>
          <w14:ligatures w14:val="none"/>
        </w:rPr>
        <w:t xml:space="preserve"> забезпечує зв’язок наукового аналізу з реальним досвідом військової служби, управлінської діяльності та бойового застосування військ. Його реалізація дозволяє уникнути формального перенесення загальнопедагогічних положень у військову освіту без урахування специфіки сучасної війни, оперативного планування, командної взаємодії та </w:t>
      </w:r>
      <w:r w:rsidRPr="00B44B71">
        <w:rPr>
          <w:rFonts w:ascii="Times New Roman" w:eastAsia="Times New Roman" w:hAnsi="Times New Roman" w:cs="Times New Roman"/>
          <w:kern w:val="0"/>
          <w:sz w:val="28"/>
          <w:szCs w:val="28"/>
          <w14:ligatures w14:val="none"/>
        </w:rPr>
        <w:t>lessons</w:t>
      </w:r>
      <w:r w:rsidRPr="00B44B71">
        <w:rPr>
          <w:rFonts w:ascii="Times New Roman" w:eastAsia="Times New Roman" w:hAnsi="Times New Roman" w:cs="Times New Roman"/>
          <w:kern w:val="0"/>
          <w:sz w:val="28"/>
          <w:szCs w:val="28"/>
          <w:lang w:val="ru-RU"/>
          <w14:ligatures w14:val="none"/>
        </w:rPr>
        <w:t xml:space="preserve"> </w:t>
      </w:r>
      <w:r w:rsidRPr="00B44B71">
        <w:rPr>
          <w:rFonts w:ascii="Times New Roman" w:eastAsia="Times New Roman" w:hAnsi="Times New Roman" w:cs="Times New Roman"/>
          <w:kern w:val="0"/>
          <w:sz w:val="28"/>
          <w:szCs w:val="28"/>
          <w14:ligatures w14:val="none"/>
        </w:rPr>
        <w:t>learned</w:t>
      </w:r>
      <w:r w:rsidRPr="00B44B71">
        <w:rPr>
          <w:rFonts w:ascii="Times New Roman" w:eastAsia="Times New Roman" w:hAnsi="Times New Roman" w:cs="Times New Roman"/>
          <w:kern w:val="0"/>
          <w:sz w:val="28"/>
          <w:szCs w:val="28"/>
          <w:lang w:val="ru-RU"/>
          <w14:ligatures w14:val="none"/>
        </w:rPr>
        <w:t>.</w:t>
      </w:r>
    </w:p>
    <w:p w14:paraId="7A0C88CA"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ru-RU"/>
          <w14:ligatures w14:val="none"/>
        </w:rPr>
      </w:pPr>
      <w:r w:rsidRPr="00B44B71">
        <w:rPr>
          <w:rFonts w:ascii="Times New Roman" w:eastAsia="Times New Roman" w:hAnsi="Times New Roman" w:cs="Times New Roman"/>
          <w:i/>
          <w:iCs/>
          <w:kern w:val="0"/>
          <w:sz w:val="28"/>
          <w:szCs w:val="28"/>
          <w:lang w:val="ru-RU"/>
          <w14:ligatures w14:val="none"/>
        </w:rPr>
        <w:t>Принцип суб’єктності та андрагогічної доцільності</w:t>
      </w:r>
      <w:r w:rsidRPr="00B44B71">
        <w:rPr>
          <w:rFonts w:ascii="Times New Roman" w:eastAsia="Times New Roman" w:hAnsi="Times New Roman" w:cs="Times New Roman"/>
          <w:kern w:val="0"/>
          <w:sz w:val="28"/>
          <w:szCs w:val="28"/>
          <w:lang w:val="ru-RU"/>
          <w14:ligatures w14:val="none"/>
        </w:rPr>
        <w:t xml:space="preserve"> передбачає розгляд офіцера оперативного рівня як активного суб’єкта професійного розвитку, який має попередній управлінський, службовий, а часто й бойовий досвід. Тому дослідження має враховувати професійну зрілість слухачів, їхню потребу в практичній значущості навчання, здатність до осмислення власного досвіду, саморегуляції, відповідальності та корекції власних дій.</w:t>
      </w:r>
    </w:p>
    <w:p w14:paraId="4DE8AF88"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ru-RU"/>
          <w14:ligatures w14:val="none"/>
        </w:rPr>
      </w:pPr>
      <w:r w:rsidRPr="00B44B71">
        <w:rPr>
          <w:rFonts w:ascii="Times New Roman" w:eastAsia="Times New Roman" w:hAnsi="Times New Roman" w:cs="Times New Roman"/>
          <w:i/>
          <w:iCs/>
          <w:kern w:val="0"/>
          <w:sz w:val="28"/>
          <w:szCs w:val="28"/>
          <w:lang w:val="ru-RU"/>
          <w14:ligatures w14:val="none"/>
        </w:rPr>
        <w:t>Принцип етико-рефлексивної спрямованості</w:t>
      </w:r>
      <w:r w:rsidRPr="00B44B71">
        <w:rPr>
          <w:rFonts w:ascii="Times New Roman" w:eastAsia="Times New Roman" w:hAnsi="Times New Roman" w:cs="Times New Roman"/>
          <w:kern w:val="0"/>
          <w:sz w:val="28"/>
          <w:szCs w:val="28"/>
          <w:lang w:val="ru-RU"/>
          <w14:ligatures w14:val="none"/>
        </w:rPr>
        <w:t xml:space="preserve"> акцентує, що лідерська компетентність офіцера не може оцінюватися лише за функціональною ефективністю. Вона має співвідноситися з цінностями військової служби, моральною відповідальністю, правомірністю дій, повагою до людини, здатністю підтримувати довіру та діяти в умовах етичної складності. У цьому контексті особливого значення набувають самооцінювання, взаємооцінювання, рефлексивні щоденники, підсумковий розбір дій, оцінювання “360 градусів” і процедури зворотного зв’язку.</w:t>
      </w:r>
    </w:p>
    <w:p w14:paraId="72A2E1E0"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ru-RU"/>
          <w14:ligatures w14:val="none"/>
        </w:rPr>
      </w:pPr>
      <w:r w:rsidRPr="00B44B71">
        <w:rPr>
          <w:rFonts w:ascii="Times New Roman" w:eastAsia="Times New Roman" w:hAnsi="Times New Roman" w:cs="Times New Roman"/>
          <w:i/>
          <w:iCs/>
          <w:kern w:val="0"/>
          <w:sz w:val="28"/>
          <w:szCs w:val="28"/>
          <w:lang w:val="ru-RU"/>
          <w14:ligatures w14:val="none"/>
        </w:rPr>
        <w:t>Принцип адаптивності та взаємосумісності</w:t>
      </w:r>
      <w:r w:rsidRPr="00B44B71">
        <w:rPr>
          <w:rFonts w:ascii="Times New Roman" w:eastAsia="Times New Roman" w:hAnsi="Times New Roman" w:cs="Times New Roman"/>
          <w:kern w:val="0"/>
          <w:sz w:val="28"/>
          <w:szCs w:val="28"/>
          <w:lang w:val="ru-RU"/>
          <w14:ligatures w14:val="none"/>
        </w:rPr>
        <w:t xml:space="preserve"> вимагає, щоб методологія дослідження залишалася відкритою до змін безпекового середовища, бойового досвіду, освітніх технологій і вимог до офіцерів оперативного рівня. Водночас він орієнтує дослідження на узгодження національного досвіду професійної військової освіти з підходами НАТО до освіти, підготовки, етики, лідерства, стійкості та </w:t>
      </w:r>
      <w:r w:rsidRPr="00B44B71">
        <w:rPr>
          <w:rFonts w:ascii="Times New Roman" w:eastAsia="Times New Roman" w:hAnsi="Times New Roman" w:cs="Times New Roman"/>
          <w:kern w:val="0"/>
          <w:sz w:val="28"/>
          <w:szCs w:val="28"/>
          <w14:ligatures w14:val="none"/>
        </w:rPr>
        <w:t>lessons</w:t>
      </w:r>
      <w:r w:rsidRPr="00B44B71">
        <w:rPr>
          <w:rFonts w:ascii="Times New Roman" w:eastAsia="Times New Roman" w:hAnsi="Times New Roman" w:cs="Times New Roman"/>
          <w:kern w:val="0"/>
          <w:sz w:val="28"/>
          <w:szCs w:val="28"/>
          <w:lang w:val="ru-RU"/>
          <w14:ligatures w14:val="none"/>
        </w:rPr>
        <w:t xml:space="preserve"> </w:t>
      </w:r>
      <w:r w:rsidRPr="00B44B71">
        <w:rPr>
          <w:rFonts w:ascii="Times New Roman" w:eastAsia="Times New Roman" w:hAnsi="Times New Roman" w:cs="Times New Roman"/>
          <w:kern w:val="0"/>
          <w:sz w:val="28"/>
          <w:szCs w:val="28"/>
          <w14:ligatures w14:val="none"/>
        </w:rPr>
        <w:t>learned</w:t>
      </w:r>
      <w:r w:rsidRPr="00B44B71">
        <w:rPr>
          <w:rFonts w:ascii="Times New Roman" w:eastAsia="Times New Roman" w:hAnsi="Times New Roman" w:cs="Times New Roman"/>
          <w:kern w:val="0"/>
          <w:sz w:val="28"/>
          <w:szCs w:val="28"/>
          <w:lang w:val="ru-RU"/>
          <w14:ligatures w14:val="none"/>
        </w:rPr>
        <w:t>. Йдеться не про механічне копіювання зовнішніх моделей, а про їх науково обґрунтовану адаптацію до українського бойового, освітнього та інституційного контексту.</w:t>
      </w:r>
    </w:p>
    <w:p w14:paraId="6DC036A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Таким чином, система принципів конкретизує методологічні підходи й забезпечує логічний зв’язок між назвою, метою, змістом і висновками статті. Саме через ці принципи методологічна рамка набуває прикладного значення для подальшого визначення критеріїв, показників, діагностичних процедур, педагогічних умов і експериментальної методики розвитку лідерської компетентності офіцерів оперативного рівня.</w:t>
      </w:r>
    </w:p>
    <w:p w14:paraId="01FE5EB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b/>
          <w:kern w:val="0"/>
          <w:sz w:val="28"/>
          <w:lang w:val="ru-RU"/>
          <w14:ligatures w14:val="none"/>
        </w:rPr>
        <w:t>Висновки.</w:t>
      </w:r>
      <w:r w:rsidRPr="00B44B71">
        <w:rPr>
          <w:rFonts w:ascii="Times New Roman" w:eastAsia="Times New Roman" w:hAnsi="Times New Roman" w:cs="Times New Roman"/>
          <w:kern w:val="0"/>
          <w:sz w:val="28"/>
          <w:lang w:val="ru-RU"/>
          <w14:ligatures w14:val="none"/>
        </w:rPr>
        <w:t xml:space="preserve"> Трансформація професійної військової освіти України, зумовлена повномасштабною війною, курсом на взаємосумісність зі структурами НАТО та потребою у професіоналізації підготовки офіцерських кадрів, актуалізує необхідність методологічного переосмислення дослідження розвитку лідерської компетентності офіцерів оперативного рівня. Установлено, </w:t>
      </w:r>
      <w:r w:rsidRPr="00B44B71">
        <w:rPr>
          <w:rFonts w:ascii="Times New Roman" w:eastAsia="Times New Roman" w:hAnsi="Times New Roman" w:cs="Times New Roman"/>
          <w:kern w:val="0"/>
          <w:sz w:val="28"/>
          <w:lang w:val="ru-RU"/>
          <w14:ligatures w14:val="none"/>
        </w:rPr>
        <w:lastRenderedPageBreak/>
        <w:t>що така проблематика не може бути повноцінно розкрита в межах одного підходу, а вимагає інтеграції системного, компетентнісного, контекстного, суб’єктно-діяльнісного, андрагогічного та аксіологічного підходів.</w:t>
      </w:r>
    </w:p>
    <w:p w14:paraId="1683900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Обґрунтовано систему укрупнених принципів дослідження розвитку лідерської компетентності офіцерів оперативного рівня: науковості, доказовості та методологічної обґрунтованості; системності й цілісності; професійно-оперативної контекстуалізації; інтеграції теорії, практики та бойового досвіду; суб’єктності та андрагогічної доцільності; етико-рефлексивної спрямованості; адаптивності та взаємосумісності. Зазначені принципи виконують регулятивну функцію, оскільки визначають логіку добору теоретичних положень, методів, діагностичних процедур, критеріїв і показників, а також задають методологічні орієнтири для подальшого моделювання педагогічної системи розвитку лідерської компетентності офіцерів оперативного рівня.</w:t>
      </w:r>
    </w:p>
    <w:p w14:paraId="503953A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Уточнено, що лідерська компетентність офіцера оперативного рівня є інтегрованим складником його військово-професійної компетентності, що виявляється у здатності й готовності організовувати та спрямовувати спільну діяльність військових колективів, приймати обґрунтовані рішення, забезпечувати взаємодію, довіру, стійкість і керованість у складному оперативному середовищі. Такий підхід дозволяє уникнути звуження поняття лише до “лідерського впливу” і водночас зберегти його військово-професійний, діяльнісний, ціннісний та рефлексивний зміст.</w:t>
      </w:r>
    </w:p>
    <w:p w14:paraId="424C23B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Конкретизовано структуру лідерської компетентності через ціннісно-мотиваційний, когнітивний, операційно-управлінський, комунікативно-координаційний та рефлексивно-особистісний компоненти. Зазначені компоненти доцільно розглядати як взаємопов’язану систему, що формується в освітньому середовищі професійної військової освіти та виявляється у реальних або змодельованих ситуаціях оперативної діяльності.</w:t>
      </w:r>
    </w:p>
    <w:p w14:paraId="7E02CD5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lang w:val="ru-RU"/>
          <w14:ligatures w14:val="none"/>
        </w:rPr>
      </w:pPr>
      <w:r w:rsidRPr="00B44B71">
        <w:rPr>
          <w:rFonts w:ascii="Times New Roman" w:eastAsia="Times New Roman" w:hAnsi="Times New Roman" w:cs="Times New Roman"/>
          <w:kern w:val="0"/>
          <w:sz w:val="28"/>
          <w:lang w:val="ru-RU"/>
          <w14:ligatures w14:val="none"/>
        </w:rPr>
        <w:t>Практичне значення результатів полягає в тому, що запропонована методологічна рамка може бути використана для розроблення критеріїв і показників діагностування лідерської компетентності, обґрунтування педагогічних умов її розвитку, проєктування змісту освітніх компонентів, добору активних методів навчання та побудови інструментарію експериментальної перевірки. Перспективу подальших досліджень становить створення моделі розвитку лідерської компетентності офіцерів оперативного рівня та її емпірична перевірка в освітньому середовищі професійної військової освіти.</w:t>
      </w:r>
    </w:p>
    <w:p w14:paraId="4C8D573B" w14:textId="77777777" w:rsidR="00B44B71" w:rsidRPr="00B44B71" w:rsidRDefault="00B44B71" w:rsidP="00023291">
      <w:pPr>
        <w:tabs>
          <w:tab w:val="left" w:pos="9638"/>
        </w:tabs>
        <w:spacing w:before="120" w:after="120" w:line="240" w:lineRule="auto"/>
        <w:jc w:val="center"/>
        <w:rPr>
          <w:rFonts w:ascii="Times New Roman" w:eastAsia="Times New Roman" w:hAnsi="Times New Roman" w:cs="Times New Roman"/>
          <w:kern w:val="0"/>
          <w:sz w:val="24"/>
          <w:szCs w:val="24"/>
          <w:lang w:val="ru-RU"/>
          <w14:ligatures w14:val="none"/>
        </w:rPr>
      </w:pPr>
      <w:r w:rsidRPr="00B44B71">
        <w:rPr>
          <w:rFonts w:ascii="Times New Roman" w:eastAsia="Times New Roman" w:hAnsi="Times New Roman" w:cs="Times New Roman"/>
          <w:b/>
          <w:kern w:val="0"/>
          <w:sz w:val="24"/>
          <w:szCs w:val="24"/>
          <w:lang w:val="ru-RU"/>
          <w14:ligatures w14:val="none"/>
        </w:rPr>
        <w:t>ЛІТЕРАТУРА</w:t>
      </w:r>
    </w:p>
    <w:p w14:paraId="65584261"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lang w:val="ru-RU"/>
          <w14:ligatures w14:val="none"/>
        </w:rPr>
        <w:t xml:space="preserve">1. </w:t>
      </w:r>
      <w:r w:rsidRPr="00B44B71">
        <w:rPr>
          <w:rFonts w:ascii="Times New Roman" w:eastAsia="Times New Roman" w:hAnsi="Times New Roman" w:cs="Times New Roman"/>
          <w:kern w:val="0"/>
          <w:sz w:val="24"/>
          <w:szCs w:val="24"/>
          <w14:ligatures w14:val="none"/>
        </w:rPr>
        <w:t>Gonz</w:t>
      </w:r>
      <w:r w:rsidRPr="00B44B71">
        <w:rPr>
          <w:rFonts w:ascii="Times New Roman" w:eastAsia="Times New Roman" w:hAnsi="Times New Roman" w:cs="Times New Roman"/>
          <w:kern w:val="0"/>
          <w:sz w:val="24"/>
          <w:szCs w:val="24"/>
          <w:lang w:val="uk-UA"/>
          <w14:ligatures w14:val="none"/>
        </w:rPr>
        <w:t>а</w:t>
      </w:r>
      <w:r w:rsidRPr="00B44B71">
        <w:rPr>
          <w:rFonts w:ascii="Times New Roman" w:eastAsia="Times New Roman" w:hAnsi="Times New Roman" w:cs="Times New Roman"/>
          <w:kern w:val="0"/>
          <w:sz w:val="24"/>
          <w:szCs w:val="24"/>
          <w14:ligatures w14:val="none"/>
        </w:rPr>
        <w:t>lez</w:t>
      </w:r>
      <w:r w:rsidRPr="00B44B71">
        <w:rPr>
          <w:rFonts w:ascii="Times New Roman" w:eastAsia="Times New Roman" w:hAnsi="Times New Roman" w:cs="Times New Roman"/>
          <w:kern w:val="0"/>
          <w:sz w:val="24"/>
          <w:szCs w:val="24"/>
          <w:lang w:val="ru-RU"/>
          <w14:ligatures w14:val="none"/>
        </w:rPr>
        <w:t xml:space="preserve">, </w:t>
      </w:r>
      <w:r w:rsidRPr="00B44B71">
        <w:rPr>
          <w:rFonts w:ascii="Times New Roman" w:eastAsia="Times New Roman" w:hAnsi="Times New Roman" w:cs="Times New Roman"/>
          <w:kern w:val="0"/>
          <w:sz w:val="24"/>
          <w:szCs w:val="24"/>
          <w14:ligatures w14:val="none"/>
        </w:rPr>
        <w:t>J</w:t>
      </w:r>
      <w:r w:rsidRPr="00B44B71">
        <w:rPr>
          <w:rFonts w:ascii="Times New Roman" w:eastAsia="Times New Roman" w:hAnsi="Times New Roman" w:cs="Times New Roman"/>
          <w:kern w:val="0"/>
          <w:sz w:val="24"/>
          <w:szCs w:val="24"/>
          <w:lang w:val="ru-RU"/>
          <w14:ligatures w14:val="none"/>
        </w:rPr>
        <w:t xml:space="preserve">., &amp; </w:t>
      </w:r>
      <w:r w:rsidRPr="00B44B71">
        <w:rPr>
          <w:rFonts w:ascii="Times New Roman" w:eastAsia="Times New Roman" w:hAnsi="Times New Roman" w:cs="Times New Roman"/>
          <w:kern w:val="0"/>
          <w:sz w:val="24"/>
          <w:szCs w:val="24"/>
          <w14:ligatures w14:val="none"/>
        </w:rPr>
        <w:t>Wagenaar</w:t>
      </w:r>
      <w:r w:rsidRPr="00B44B71">
        <w:rPr>
          <w:rFonts w:ascii="Times New Roman" w:eastAsia="Times New Roman" w:hAnsi="Times New Roman" w:cs="Times New Roman"/>
          <w:kern w:val="0"/>
          <w:sz w:val="24"/>
          <w:szCs w:val="24"/>
          <w:lang w:val="ru-RU"/>
          <w14:ligatures w14:val="none"/>
        </w:rPr>
        <w:t xml:space="preserve">, </w:t>
      </w:r>
      <w:r w:rsidRPr="00B44B71">
        <w:rPr>
          <w:rFonts w:ascii="Times New Roman" w:eastAsia="Times New Roman" w:hAnsi="Times New Roman" w:cs="Times New Roman"/>
          <w:kern w:val="0"/>
          <w:sz w:val="24"/>
          <w:szCs w:val="24"/>
          <w14:ligatures w14:val="none"/>
        </w:rPr>
        <w:t>R</w:t>
      </w:r>
      <w:r w:rsidRPr="00B44B71">
        <w:rPr>
          <w:rFonts w:ascii="Times New Roman" w:eastAsia="Times New Roman" w:hAnsi="Times New Roman" w:cs="Times New Roman"/>
          <w:kern w:val="0"/>
          <w:sz w:val="24"/>
          <w:szCs w:val="24"/>
          <w:lang w:val="ru-RU"/>
          <w14:ligatures w14:val="none"/>
        </w:rPr>
        <w:t>. (</w:t>
      </w:r>
      <w:r w:rsidRPr="00B44B71">
        <w:rPr>
          <w:rFonts w:ascii="Times New Roman" w:eastAsia="Times New Roman" w:hAnsi="Times New Roman" w:cs="Times New Roman"/>
          <w:kern w:val="0"/>
          <w:sz w:val="24"/>
          <w:szCs w:val="24"/>
          <w14:ligatures w14:val="none"/>
        </w:rPr>
        <w:t>Eds</w:t>
      </w:r>
      <w:r w:rsidRPr="00B44B71">
        <w:rPr>
          <w:rFonts w:ascii="Times New Roman" w:eastAsia="Times New Roman" w:hAnsi="Times New Roman" w:cs="Times New Roman"/>
          <w:kern w:val="0"/>
          <w:sz w:val="24"/>
          <w:szCs w:val="24"/>
          <w:lang w:val="ru-RU"/>
          <w14:ligatures w14:val="none"/>
        </w:rPr>
        <w:t xml:space="preserve">.). </w:t>
      </w:r>
      <w:r w:rsidRPr="00B44B71">
        <w:rPr>
          <w:rFonts w:ascii="Times New Roman" w:eastAsia="Times New Roman" w:hAnsi="Times New Roman" w:cs="Times New Roman"/>
          <w:kern w:val="0"/>
          <w:sz w:val="24"/>
          <w:szCs w:val="24"/>
          <w14:ligatures w14:val="none"/>
        </w:rPr>
        <w:t xml:space="preserve">(2005). Tuning educational structures in Europe II: Universities’ contribution to the Bologna Process. University of Deusto &amp; University of Groningen. URL: </w:t>
      </w:r>
      <w:hyperlink r:id="rId279" w:history="1">
        <w:r w:rsidRPr="00B44B71">
          <w:rPr>
            <w:rFonts w:ascii="Times New Roman" w:eastAsia="Times New Roman" w:hAnsi="Times New Roman" w:cs="Times New Roman"/>
            <w:color w:val="0563C1"/>
            <w:kern w:val="0"/>
            <w:sz w:val="24"/>
            <w:szCs w:val="24"/>
            <w:u w:val="single"/>
            <w14:ligatures w14:val="none"/>
          </w:rPr>
          <w:t>https://ehea.info/media.ehea.info/file/Tuning_project/93/2/Tuning-Phase2-Final-Report_</w:t>
        </w:r>
      </w:hyperlink>
      <w:r w:rsidRPr="00B44B71">
        <w:rPr>
          <w:rFonts w:ascii="Times New Roman" w:eastAsia="Times New Roman" w:hAnsi="Times New Roman" w:cs="Times New Roman"/>
          <w:kern w:val="0"/>
          <w:sz w:val="24"/>
          <w:szCs w:val="24"/>
          <w:lang w:val="uk-UA"/>
          <w14:ligatures w14:val="none"/>
        </w:rPr>
        <w:t xml:space="preserve"> </w:t>
      </w:r>
      <w:r w:rsidRPr="00B44B71">
        <w:rPr>
          <w:rFonts w:ascii="Times New Roman" w:eastAsia="Times New Roman" w:hAnsi="Times New Roman" w:cs="Times New Roman"/>
          <w:kern w:val="0"/>
          <w:sz w:val="24"/>
          <w:szCs w:val="24"/>
          <w14:ligatures w14:val="none"/>
        </w:rPr>
        <w:t>575932.pdf</w:t>
      </w:r>
    </w:p>
    <w:p w14:paraId="05F77C2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2. Бойко, О. В. (2020). Теорія і методика формування лідерської компетентності офіцерів Збройних сил України : монографія. Житомир : Вид. О. О. Євенок. 667 с.</w:t>
      </w:r>
    </w:p>
    <w:p w14:paraId="02638445"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lastRenderedPageBreak/>
        <w:t>3. NATO. (2023). Russian War Against Ukraine lessons learned curriculum guide. URL: https://www.nato.int/content/dam/nato/webready/documents/deep/231208-RusWar-Ukraine-Lessons-Curriculum-Guide-en.pdf</w:t>
      </w:r>
    </w:p>
    <w:p w14:paraId="3ED60E3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4. NATO. (2024, July 19). Leadership and ethics reference curriculum. URL: https://www.nato.int/content/dam/nato/webready/documents/deep/240719-deep-leadership-ethics-curr.pdf</w:t>
      </w:r>
    </w:p>
    <w:p w14:paraId="34EBB12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5. NATO. (2025a, February 28). Defence Education Enhancement Programme (DEEP). URL: https://www.nato.int/en/what-we-do/partnerships-and-cooperation/defence-education-enhancement-programme-deep</w:t>
      </w:r>
    </w:p>
    <w:p w14:paraId="50F7912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6. NATO. (2025b, February 21). NATO launches the Resilience Reference Curriculum. URL: https://www.nato.int/en/news-and-events/articles/news/2025/02/21/nato-launches-the-resilience-reference-curriculum</w:t>
      </w:r>
    </w:p>
    <w:p w14:paraId="4488BEF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7. Пасько, М. (2025). Лідерська компетентність офіцерів військ зв’язку та кібербезпеки: сутність, структура і зміст. Збірник наукових праць Національної академії Державної прикордонної служби України. Серія: Педагогічні науки, 42(3), 127–143. DOI: https://doi.org/10.32453/pedzbirnyk.v42i3.1942. URL: https://periodica.nadpsu.edu.ua/index.php/pedzbirnyk/article/view/1942</w:t>
      </w:r>
    </w:p>
    <w:p w14:paraId="4D13DBBB" w14:textId="77777777" w:rsidR="00B44B71" w:rsidRPr="00443B42"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lang w:val="ru-RU"/>
          <w14:ligatures w14:val="none"/>
        </w:rPr>
      </w:pPr>
      <w:r w:rsidRPr="00B44B71">
        <w:rPr>
          <w:rFonts w:ascii="Times New Roman" w:eastAsia="Times New Roman" w:hAnsi="Times New Roman" w:cs="Times New Roman"/>
          <w:kern w:val="0"/>
          <w:sz w:val="24"/>
          <w:szCs w:val="24"/>
          <w:lang w:val="ru-RU"/>
          <w14:ligatures w14:val="none"/>
        </w:rPr>
        <w:t xml:space="preserve">8. Кримець, Л. В., Грилюк, С. М., Недвига, О. В., &amp; Саєнко, О. О. (2024). Моральні якості військового лідера в умовах російсько-української війни в контексті формування моральної готовності. Вісник Національного університету оборони України, 1(77), 90–101. </w:t>
      </w:r>
      <w:r w:rsidRPr="00B44B71">
        <w:rPr>
          <w:rFonts w:ascii="Times New Roman" w:eastAsia="Times New Roman" w:hAnsi="Times New Roman" w:cs="Times New Roman"/>
          <w:kern w:val="0"/>
          <w:sz w:val="24"/>
          <w:szCs w:val="24"/>
          <w14:ligatures w14:val="none"/>
        </w:rPr>
        <w:t>DOI</w:t>
      </w:r>
      <w:r w:rsidRPr="00443B42">
        <w:rPr>
          <w:rFonts w:ascii="Times New Roman" w:eastAsia="Times New Roman" w:hAnsi="Times New Roman" w:cs="Times New Roman"/>
          <w:kern w:val="0"/>
          <w:sz w:val="24"/>
          <w:szCs w:val="24"/>
          <w:lang w:val="ru-RU"/>
          <w14:ligatures w14:val="none"/>
        </w:rPr>
        <w:t xml:space="preserve">: </w:t>
      </w:r>
      <w:r w:rsidRPr="00B44B71">
        <w:rPr>
          <w:rFonts w:ascii="Times New Roman" w:eastAsia="Times New Roman" w:hAnsi="Times New Roman" w:cs="Times New Roman"/>
          <w:kern w:val="0"/>
          <w:sz w:val="24"/>
          <w:szCs w:val="24"/>
          <w14:ligatures w14:val="none"/>
        </w:rPr>
        <w:t>https</w:t>
      </w:r>
      <w:r w:rsidRPr="00443B42">
        <w:rPr>
          <w:rFonts w:ascii="Times New Roman" w:eastAsia="Times New Roman" w:hAnsi="Times New Roman" w:cs="Times New Roman"/>
          <w:kern w:val="0"/>
          <w:sz w:val="24"/>
          <w:szCs w:val="24"/>
          <w:lang w:val="ru-RU"/>
          <w14:ligatures w14:val="none"/>
        </w:rPr>
        <w:t>://</w:t>
      </w:r>
      <w:r w:rsidRPr="00B44B71">
        <w:rPr>
          <w:rFonts w:ascii="Times New Roman" w:eastAsia="Times New Roman" w:hAnsi="Times New Roman" w:cs="Times New Roman"/>
          <w:kern w:val="0"/>
          <w:sz w:val="24"/>
          <w:szCs w:val="24"/>
          <w14:ligatures w14:val="none"/>
        </w:rPr>
        <w:t>doi</w:t>
      </w:r>
      <w:r w:rsidRPr="00443B42">
        <w:rPr>
          <w:rFonts w:ascii="Times New Roman" w:eastAsia="Times New Roman" w:hAnsi="Times New Roman" w:cs="Times New Roman"/>
          <w:kern w:val="0"/>
          <w:sz w:val="24"/>
          <w:szCs w:val="24"/>
          <w:lang w:val="ru-RU"/>
          <w14:ligatures w14:val="none"/>
        </w:rPr>
        <w:t>.</w:t>
      </w:r>
      <w:r w:rsidRPr="00B44B71">
        <w:rPr>
          <w:rFonts w:ascii="Times New Roman" w:eastAsia="Times New Roman" w:hAnsi="Times New Roman" w:cs="Times New Roman"/>
          <w:kern w:val="0"/>
          <w:sz w:val="24"/>
          <w:szCs w:val="24"/>
          <w14:ligatures w14:val="none"/>
        </w:rPr>
        <w:t>org</w:t>
      </w:r>
      <w:r w:rsidRPr="00443B42">
        <w:rPr>
          <w:rFonts w:ascii="Times New Roman" w:eastAsia="Times New Roman" w:hAnsi="Times New Roman" w:cs="Times New Roman"/>
          <w:kern w:val="0"/>
          <w:sz w:val="24"/>
          <w:szCs w:val="24"/>
          <w:lang w:val="ru-RU"/>
          <w14:ligatures w14:val="none"/>
        </w:rPr>
        <w:t xml:space="preserve">/10.33099/2617-6858-2024-77-1-90-101. </w:t>
      </w:r>
      <w:r w:rsidRPr="00B44B71">
        <w:rPr>
          <w:rFonts w:ascii="Times New Roman" w:eastAsia="Times New Roman" w:hAnsi="Times New Roman" w:cs="Times New Roman"/>
          <w:kern w:val="0"/>
          <w:sz w:val="24"/>
          <w:szCs w:val="24"/>
          <w14:ligatures w14:val="none"/>
        </w:rPr>
        <w:t>URL</w:t>
      </w:r>
      <w:r w:rsidRPr="00443B42">
        <w:rPr>
          <w:rFonts w:ascii="Times New Roman" w:eastAsia="Times New Roman" w:hAnsi="Times New Roman" w:cs="Times New Roman"/>
          <w:kern w:val="0"/>
          <w:sz w:val="24"/>
          <w:szCs w:val="24"/>
          <w:lang w:val="ru-RU"/>
          <w14:ligatures w14:val="none"/>
        </w:rPr>
        <w:t xml:space="preserve">: </w:t>
      </w:r>
      <w:hyperlink r:id="rId280" w:history="1">
        <w:r w:rsidRPr="00B44B71">
          <w:rPr>
            <w:rFonts w:ascii="Times New Roman" w:eastAsia="Times New Roman" w:hAnsi="Times New Roman" w:cs="Times New Roman"/>
            <w:color w:val="0563C1"/>
            <w:kern w:val="0"/>
            <w:sz w:val="24"/>
            <w:szCs w:val="24"/>
            <w:u w:val="single"/>
            <w14:ligatures w14:val="none"/>
          </w:rPr>
          <w:t>https</w:t>
        </w:r>
        <w:r w:rsidRPr="00443B42">
          <w:rPr>
            <w:rFonts w:ascii="Times New Roman" w:eastAsia="Times New Roman" w:hAnsi="Times New Roman" w:cs="Times New Roman"/>
            <w:color w:val="0563C1"/>
            <w:kern w:val="0"/>
            <w:sz w:val="24"/>
            <w:szCs w:val="24"/>
            <w:u w:val="single"/>
            <w:lang w:val="ru-RU"/>
            <w14:ligatures w14:val="none"/>
          </w:rPr>
          <w:t>://</w:t>
        </w:r>
        <w:r w:rsidRPr="00B44B71">
          <w:rPr>
            <w:rFonts w:ascii="Times New Roman" w:eastAsia="Times New Roman" w:hAnsi="Times New Roman" w:cs="Times New Roman"/>
            <w:color w:val="0563C1"/>
            <w:kern w:val="0"/>
            <w:sz w:val="24"/>
            <w:szCs w:val="24"/>
            <w:u w:val="single"/>
            <w14:ligatures w14:val="none"/>
          </w:rPr>
          <w:t>visnyk</w:t>
        </w:r>
        <w:r w:rsidRPr="00443B42">
          <w:rPr>
            <w:rFonts w:ascii="Times New Roman" w:eastAsia="Times New Roman" w:hAnsi="Times New Roman" w:cs="Times New Roman"/>
            <w:color w:val="0563C1"/>
            <w:kern w:val="0"/>
            <w:sz w:val="24"/>
            <w:szCs w:val="24"/>
            <w:u w:val="single"/>
            <w:lang w:val="ru-RU"/>
            <w14:ligatures w14:val="none"/>
          </w:rPr>
          <w:t>.</w:t>
        </w:r>
        <w:r w:rsidRPr="00B44B71">
          <w:rPr>
            <w:rFonts w:ascii="Times New Roman" w:eastAsia="Times New Roman" w:hAnsi="Times New Roman" w:cs="Times New Roman"/>
            <w:color w:val="0563C1"/>
            <w:kern w:val="0"/>
            <w:sz w:val="24"/>
            <w:szCs w:val="24"/>
            <w:u w:val="single"/>
            <w14:ligatures w14:val="none"/>
          </w:rPr>
          <w:t>nuou</w:t>
        </w:r>
        <w:r w:rsidRPr="00443B42">
          <w:rPr>
            <w:rFonts w:ascii="Times New Roman" w:eastAsia="Times New Roman" w:hAnsi="Times New Roman" w:cs="Times New Roman"/>
            <w:color w:val="0563C1"/>
            <w:kern w:val="0"/>
            <w:sz w:val="24"/>
            <w:szCs w:val="24"/>
            <w:u w:val="single"/>
            <w:lang w:val="ru-RU"/>
            <w14:ligatures w14:val="none"/>
          </w:rPr>
          <w:t>.</w:t>
        </w:r>
        <w:r w:rsidRPr="00B44B71">
          <w:rPr>
            <w:rFonts w:ascii="Times New Roman" w:eastAsia="Times New Roman" w:hAnsi="Times New Roman" w:cs="Times New Roman"/>
            <w:color w:val="0563C1"/>
            <w:kern w:val="0"/>
            <w:sz w:val="24"/>
            <w:szCs w:val="24"/>
            <w:u w:val="single"/>
            <w14:ligatures w14:val="none"/>
          </w:rPr>
          <w:t>org</w:t>
        </w:r>
        <w:r w:rsidRPr="00443B42">
          <w:rPr>
            <w:rFonts w:ascii="Times New Roman" w:eastAsia="Times New Roman" w:hAnsi="Times New Roman" w:cs="Times New Roman"/>
            <w:color w:val="0563C1"/>
            <w:kern w:val="0"/>
            <w:sz w:val="24"/>
            <w:szCs w:val="24"/>
            <w:u w:val="single"/>
            <w:lang w:val="ru-RU"/>
            <w14:ligatures w14:val="none"/>
          </w:rPr>
          <w:t>.</w:t>
        </w:r>
        <w:r w:rsidRPr="00B44B71">
          <w:rPr>
            <w:rFonts w:ascii="Times New Roman" w:eastAsia="Times New Roman" w:hAnsi="Times New Roman" w:cs="Times New Roman"/>
            <w:color w:val="0563C1"/>
            <w:kern w:val="0"/>
            <w:sz w:val="24"/>
            <w:szCs w:val="24"/>
            <w:u w:val="single"/>
            <w14:ligatures w14:val="none"/>
          </w:rPr>
          <w:t>ua</w:t>
        </w:r>
        <w:r w:rsidRPr="00443B42">
          <w:rPr>
            <w:rFonts w:ascii="Times New Roman" w:eastAsia="Times New Roman" w:hAnsi="Times New Roman" w:cs="Times New Roman"/>
            <w:color w:val="0563C1"/>
            <w:kern w:val="0"/>
            <w:sz w:val="24"/>
            <w:szCs w:val="24"/>
            <w:u w:val="single"/>
            <w:lang w:val="ru-RU"/>
            <w14:ligatures w14:val="none"/>
          </w:rPr>
          <w:t>/</w:t>
        </w:r>
      </w:hyperlink>
      <w:r w:rsidRPr="00443B42">
        <w:rPr>
          <w:rFonts w:ascii="Times New Roman" w:eastAsia="Times New Roman" w:hAnsi="Times New Roman" w:cs="Times New Roman"/>
          <w:kern w:val="0"/>
          <w:sz w:val="24"/>
          <w:szCs w:val="24"/>
          <w:lang w:val="ru-RU"/>
          <w14:ligatures w14:val="none"/>
        </w:rPr>
        <w:t xml:space="preserve"> </w:t>
      </w:r>
      <w:r w:rsidRPr="00B44B71">
        <w:rPr>
          <w:rFonts w:ascii="Times New Roman" w:eastAsia="Times New Roman" w:hAnsi="Times New Roman" w:cs="Times New Roman"/>
          <w:kern w:val="0"/>
          <w:sz w:val="24"/>
          <w:szCs w:val="24"/>
          <w14:ligatures w14:val="none"/>
        </w:rPr>
        <w:t>article</w:t>
      </w:r>
      <w:r w:rsidRPr="00443B42">
        <w:rPr>
          <w:rFonts w:ascii="Times New Roman" w:eastAsia="Times New Roman" w:hAnsi="Times New Roman" w:cs="Times New Roman"/>
          <w:kern w:val="0"/>
          <w:sz w:val="24"/>
          <w:szCs w:val="24"/>
          <w:lang w:val="ru-RU"/>
          <w14:ligatures w14:val="none"/>
        </w:rPr>
        <w:t>/</w:t>
      </w:r>
      <w:r w:rsidRPr="00B44B71">
        <w:rPr>
          <w:rFonts w:ascii="Times New Roman" w:eastAsia="Times New Roman" w:hAnsi="Times New Roman" w:cs="Times New Roman"/>
          <w:kern w:val="0"/>
          <w:sz w:val="24"/>
          <w:szCs w:val="24"/>
          <w14:ligatures w14:val="none"/>
        </w:rPr>
        <w:t>view</w:t>
      </w:r>
      <w:r w:rsidRPr="00443B42">
        <w:rPr>
          <w:rFonts w:ascii="Times New Roman" w:eastAsia="Times New Roman" w:hAnsi="Times New Roman" w:cs="Times New Roman"/>
          <w:kern w:val="0"/>
          <w:sz w:val="24"/>
          <w:szCs w:val="24"/>
          <w:lang w:val="ru-RU"/>
          <w14:ligatures w14:val="none"/>
        </w:rPr>
        <w:t>/292918</w:t>
      </w:r>
    </w:p>
    <w:p w14:paraId="0DE17D63"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lang w:val="ru-RU"/>
          <w14:ligatures w14:val="none"/>
        </w:rPr>
        <w:t xml:space="preserve">9. Міністерство оборони України. (2024, 18 грудня). Україна подасть заявку на сертифікацію курсів професійної військової освіти за стандартами НАТО. </w:t>
      </w:r>
      <w:r w:rsidRPr="00B44B71">
        <w:rPr>
          <w:rFonts w:ascii="Times New Roman" w:eastAsia="Times New Roman" w:hAnsi="Times New Roman" w:cs="Times New Roman"/>
          <w:kern w:val="0"/>
          <w:sz w:val="24"/>
          <w:szCs w:val="24"/>
          <w14:ligatures w14:val="none"/>
        </w:rPr>
        <w:t>URL: https://mod.gov.ua/news/ukrayina-podast-zayavku-na-sertifikacziyu-kursiv-profesijnoyi-vijskovoyi-osviti-za-standartami-nato</w:t>
      </w:r>
    </w:p>
    <w:p w14:paraId="1E93FA63"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lang w:val="ru-RU"/>
          <w14:ligatures w14:val="none"/>
        </w:rPr>
        <w:t>10. Міністерство оборони України. (2025</w:t>
      </w:r>
      <w:r w:rsidRPr="00B44B71">
        <w:rPr>
          <w:rFonts w:ascii="Times New Roman" w:eastAsia="Times New Roman" w:hAnsi="Times New Roman" w:cs="Times New Roman"/>
          <w:kern w:val="0"/>
          <w:sz w:val="24"/>
          <w:szCs w:val="24"/>
          <w14:ligatures w14:val="none"/>
        </w:rPr>
        <w:t>a</w:t>
      </w:r>
      <w:r w:rsidRPr="00B44B71">
        <w:rPr>
          <w:rFonts w:ascii="Times New Roman" w:eastAsia="Times New Roman" w:hAnsi="Times New Roman" w:cs="Times New Roman"/>
          <w:kern w:val="0"/>
          <w:sz w:val="24"/>
          <w:szCs w:val="24"/>
          <w:lang w:val="ru-RU"/>
          <w14:ligatures w14:val="none"/>
        </w:rPr>
        <w:t xml:space="preserve">, 16 квітня). Міноборони долучилося до оновлення стандартів НАТО з питань освіти і підготовки. </w:t>
      </w:r>
      <w:r w:rsidRPr="00B44B71">
        <w:rPr>
          <w:rFonts w:ascii="Times New Roman" w:eastAsia="Times New Roman" w:hAnsi="Times New Roman" w:cs="Times New Roman"/>
          <w:kern w:val="0"/>
          <w:sz w:val="24"/>
          <w:szCs w:val="24"/>
          <w14:ligatures w14:val="none"/>
        </w:rPr>
        <w:t>URL: https://mod.gov.ua/news/minoboroni-doluchilosya-do-onovlennya-standartiv-nato-z-pitan-osviti-i-pidgotovki</w:t>
      </w:r>
    </w:p>
    <w:p w14:paraId="2DF95D0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lang w:val="ru-RU"/>
          <w14:ligatures w14:val="none"/>
        </w:rPr>
        <w:t>11. Міністерство оборони України. (2025</w:t>
      </w:r>
      <w:r w:rsidRPr="00B44B71">
        <w:rPr>
          <w:rFonts w:ascii="Times New Roman" w:eastAsia="Times New Roman" w:hAnsi="Times New Roman" w:cs="Times New Roman"/>
          <w:kern w:val="0"/>
          <w:sz w:val="24"/>
          <w:szCs w:val="24"/>
          <w14:ligatures w14:val="none"/>
        </w:rPr>
        <w:t>b</w:t>
      </w:r>
      <w:r w:rsidRPr="00B44B71">
        <w:rPr>
          <w:rFonts w:ascii="Times New Roman" w:eastAsia="Times New Roman" w:hAnsi="Times New Roman" w:cs="Times New Roman"/>
          <w:kern w:val="0"/>
          <w:sz w:val="24"/>
          <w:szCs w:val="24"/>
          <w:lang w:val="ru-RU"/>
          <w14:ligatures w14:val="none"/>
        </w:rPr>
        <w:t xml:space="preserve">, 30 квітня). НАТО проведе інституційний аудит системи військової освіти в Україні. </w:t>
      </w:r>
      <w:r w:rsidRPr="00B44B71">
        <w:rPr>
          <w:rFonts w:ascii="Times New Roman" w:eastAsia="Times New Roman" w:hAnsi="Times New Roman" w:cs="Times New Roman"/>
          <w:kern w:val="0"/>
          <w:sz w:val="24"/>
          <w:szCs w:val="24"/>
          <w14:ligatures w14:val="none"/>
        </w:rPr>
        <w:t>URL: https://mod.gov.ua/news/nato-provede-instituczijnij-audit-sistemi-vijskovoyi-osviti-v-ukrayini</w:t>
      </w:r>
    </w:p>
    <w:p w14:paraId="52722D0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lang w:val="ru-RU"/>
          <w14:ligatures w14:val="none"/>
        </w:rPr>
        <w:t>12. Міністерство оборони України. (2025</w:t>
      </w:r>
      <w:r w:rsidRPr="00B44B71">
        <w:rPr>
          <w:rFonts w:ascii="Times New Roman" w:eastAsia="Times New Roman" w:hAnsi="Times New Roman" w:cs="Times New Roman"/>
          <w:kern w:val="0"/>
          <w:sz w:val="24"/>
          <w:szCs w:val="24"/>
          <w14:ligatures w14:val="none"/>
        </w:rPr>
        <w:t>c</w:t>
      </w:r>
      <w:r w:rsidRPr="00B44B71">
        <w:rPr>
          <w:rFonts w:ascii="Times New Roman" w:eastAsia="Times New Roman" w:hAnsi="Times New Roman" w:cs="Times New Roman"/>
          <w:kern w:val="0"/>
          <w:sz w:val="24"/>
          <w:szCs w:val="24"/>
          <w:lang w:val="ru-RU"/>
          <w14:ligatures w14:val="none"/>
        </w:rPr>
        <w:t xml:space="preserve">, 20 травня). Міноборони отримало від НАТО критерії для інституційного аудиту системи військової освіти. </w:t>
      </w:r>
      <w:r w:rsidRPr="00B44B71">
        <w:rPr>
          <w:rFonts w:ascii="Times New Roman" w:eastAsia="Times New Roman" w:hAnsi="Times New Roman" w:cs="Times New Roman"/>
          <w:kern w:val="0"/>
          <w:sz w:val="24"/>
          <w:szCs w:val="24"/>
          <w14:ligatures w14:val="none"/>
        </w:rPr>
        <w:t>URL: https://mod.gov.ua/news/minoboroni-otrimalo-vid-nato-kriteriyi-dlya-instituczijnogo-auditu-sistemi-vijskovoyi-osviti</w:t>
      </w:r>
    </w:p>
    <w:p w14:paraId="0135754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lang w:val="ru-RU"/>
          <w14:ligatures w14:val="none"/>
        </w:rPr>
        <w:t xml:space="preserve">13. Міністерство оборони України. (2026). Військова освіта. </w:t>
      </w:r>
      <w:r w:rsidRPr="00B44B71">
        <w:rPr>
          <w:rFonts w:ascii="Times New Roman" w:eastAsia="Times New Roman" w:hAnsi="Times New Roman" w:cs="Times New Roman"/>
          <w:kern w:val="0"/>
          <w:sz w:val="24"/>
          <w:szCs w:val="24"/>
          <w14:ligatures w14:val="none"/>
        </w:rPr>
        <w:t xml:space="preserve">URL: </w:t>
      </w:r>
      <w:hyperlink r:id="rId281" w:history="1">
        <w:r w:rsidRPr="00B44B71">
          <w:rPr>
            <w:rFonts w:ascii="Times New Roman" w:eastAsia="Times New Roman" w:hAnsi="Times New Roman" w:cs="Times New Roman"/>
            <w:color w:val="0563C1"/>
            <w:kern w:val="0"/>
            <w:sz w:val="24"/>
            <w:szCs w:val="24"/>
            <w:u w:val="single"/>
            <w14:ligatures w14:val="none"/>
          </w:rPr>
          <w:t>https://mod.gov</w:t>
        </w:r>
      </w:hyperlink>
      <w:r w:rsidRPr="00B44B71">
        <w:rPr>
          <w:rFonts w:ascii="Times New Roman" w:eastAsia="Times New Roman" w:hAnsi="Times New Roman" w:cs="Times New Roman"/>
          <w:kern w:val="0"/>
          <w:sz w:val="24"/>
          <w:szCs w:val="24"/>
          <w:lang w:val="uk-UA"/>
          <w14:ligatures w14:val="none"/>
        </w:rPr>
        <w:t xml:space="preserve"> </w:t>
      </w:r>
      <w:r w:rsidRPr="00B44B71">
        <w:rPr>
          <w:rFonts w:ascii="Times New Roman" w:eastAsia="Times New Roman" w:hAnsi="Times New Roman" w:cs="Times New Roman"/>
          <w:kern w:val="0"/>
          <w:sz w:val="24"/>
          <w:szCs w:val="24"/>
          <w14:ligatures w14:val="none"/>
        </w:rPr>
        <w:t>.ua/vijskova-osvita</w:t>
      </w:r>
    </w:p>
    <w:p w14:paraId="7AE1E11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lang w:val="ru-RU"/>
          <w14:ligatures w14:val="none"/>
        </w:rPr>
        <w:t xml:space="preserve">14. Міністерство оборони України. (2026, 16 січня). Україна, попри виклики війни, досягла значного прогресу в професіоналізації військової освіти – експерти НАТО. </w:t>
      </w:r>
      <w:r w:rsidRPr="00B44B71">
        <w:rPr>
          <w:rFonts w:ascii="Times New Roman" w:eastAsia="Times New Roman" w:hAnsi="Times New Roman" w:cs="Times New Roman"/>
          <w:kern w:val="0"/>
          <w:sz w:val="24"/>
          <w:szCs w:val="24"/>
          <w14:ligatures w14:val="none"/>
        </w:rPr>
        <w:t>URL: https://mod.gov.ua/news/ukrayina-popri-vikliki-vijni-dosyagla-znachnogo-progresu-v-profesionalizacziyi-vijskovoyi-osviti-eksperti-nato</w:t>
      </w:r>
    </w:p>
    <w:p w14:paraId="468417B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lang w:val="ru-RU"/>
          <w14:ligatures w14:val="none"/>
        </w:rPr>
      </w:pPr>
      <w:r w:rsidRPr="00B44B71">
        <w:rPr>
          <w:rFonts w:ascii="Times New Roman" w:eastAsia="Times New Roman" w:hAnsi="Times New Roman" w:cs="Times New Roman"/>
          <w:kern w:val="0"/>
          <w:sz w:val="24"/>
          <w:szCs w:val="24"/>
          <w:lang w:val="ru-RU"/>
          <w14:ligatures w14:val="none"/>
        </w:rPr>
        <w:t>15. Олійник, Л. В. (2010). Компетентнісний підхід як необхідна умова сучасної освіти у військовому університеті. Проблеми освіти. Науковий збірник Інституту інноваційних технологій і змісту освіти МОН України, 65, 43–48.</w:t>
      </w:r>
    </w:p>
    <w:p w14:paraId="548E2131"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lang w:val="ru-RU"/>
          <w14:ligatures w14:val="none"/>
        </w:rPr>
      </w:pPr>
      <w:r w:rsidRPr="00B44B71">
        <w:rPr>
          <w:rFonts w:ascii="Times New Roman" w:eastAsia="Times New Roman" w:hAnsi="Times New Roman" w:cs="Times New Roman"/>
          <w:kern w:val="0"/>
          <w:sz w:val="24"/>
          <w:szCs w:val="24"/>
          <w:lang w:val="ru-RU"/>
          <w14:ligatures w14:val="none"/>
        </w:rPr>
        <w:t>16. Олійник, Л. В. (2005). Професійна компетентність майбутніх офіцерів-зв’язківців: психолого-педагогічний аспект. Збірник наукових праць Військового інституту Київського національного університету імені Тараса Шевченка, 1, 166–171.</w:t>
      </w:r>
    </w:p>
    <w:p w14:paraId="6B9C359B"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lang w:val="ru-RU"/>
          <w14:ligatures w14:val="none"/>
        </w:rPr>
      </w:pPr>
      <w:r w:rsidRPr="00B44B71">
        <w:rPr>
          <w:rFonts w:ascii="Times New Roman" w:eastAsia="Times New Roman" w:hAnsi="Times New Roman" w:cs="Times New Roman"/>
          <w:kern w:val="0"/>
          <w:sz w:val="24"/>
          <w:szCs w:val="24"/>
          <w:lang w:val="ru-RU"/>
          <w14:ligatures w14:val="none"/>
        </w:rPr>
        <w:lastRenderedPageBreak/>
        <w:t xml:space="preserve">17. Храбан, Т. Є., &amp; Храбан, М. І. (2024). Лідерство як передумова ефективного навчання у системі вищої військової освіти. Вісник Національного університету оборони України, 1(77), 165–172. </w:t>
      </w:r>
      <w:r w:rsidRPr="00B44B71">
        <w:rPr>
          <w:rFonts w:ascii="Times New Roman" w:eastAsia="Times New Roman" w:hAnsi="Times New Roman" w:cs="Times New Roman"/>
          <w:kern w:val="0"/>
          <w:sz w:val="24"/>
          <w:szCs w:val="24"/>
          <w14:ligatures w14:val="none"/>
        </w:rPr>
        <w:t>DOI</w:t>
      </w:r>
      <w:r w:rsidRPr="00B44B71">
        <w:rPr>
          <w:rFonts w:ascii="Times New Roman" w:eastAsia="Times New Roman" w:hAnsi="Times New Roman" w:cs="Times New Roman"/>
          <w:kern w:val="0"/>
          <w:sz w:val="24"/>
          <w:szCs w:val="24"/>
          <w:lang w:val="ru-RU"/>
          <w14:ligatures w14:val="none"/>
        </w:rPr>
        <w:t xml:space="preserve">: </w:t>
      </w:r>
      <w:r w:rsidRPr="00B44B71">
        <w:rPr>
          <w:rFonts w:ascii="Times New Roman" w:eastAsia="Times New Roman" w:hAnsi="Times New Roman" w:cs="Times New Roman"/>
          <w:kern w:val="0"/>
          <w:sz w:val="24"/>
          <w:szCs w:val="24"/>
          <w14:ligatures w14:val="none"/>
        </w:rPr>
        <w:t>https</w:t>
      </w:r>
      <w:r w:rsidRPr="00B44B71">
        <w:rPr>
          <w:rFonts w:ascii="Times New Roman" w:eastAsia="Times New Roman" w:hAnsi="Times New Roman" w:cs="Times New Roman"/>
          <w:kern w:val="0"/>
          <w:sz w:val="24"/>
          <w:szCs w:val="24"/>
          <w:lang w:val="ru-RU"/>
          <w14:ligatures w14:val="none"/>
        </w:rPr>
        <w:t>://</w:t>
      </w:r>
      <w:r w:rsidRPr="00B44B71">
        <w:rPr>
          <w:rFonts w:ascii="Times New Roman" w:eastAsia="Times New Roman" w:hAnsi="Times New Roman" w:cs="Times New Roman"/>
          <w:kern w:val="0"/>
          <w:sz w:val="24"/>
          <w:szCs w:val="24"/>
          <w14:ligatures w14:val="none"/>
        </w:rPr>
        <w:t>doi</w:t>
      </w:r>
      <w:r w:rsidRPr="00B44B71">
        <w:rPr>
          <w:rFonts w:ascii="Times New Roman" w:eastAsia="Times New Roman" w:hAnsi="Times New Roman" w:cs="Times New Roman"/>
          <w:kern w:val="0"/>
          <w:sz w:val="24"/>
          <w:szCs w:val="24"/>
          <w:lang w:val="ru-RU"/>
          <w14:ligatures w14:val="none"/>
        </w:rPr>
        <w:t>.</w:t>
      </w:r>
      <w:r w:rsidRPr="00B44B71">
        <w:rPr>
          <w:rFonts w:ascii="Times New Roman" w:eastAsia="Times New Roman" w:hAnsi="Times New Roman" w:cs="Times New Roman"/>
          <w:kern w:val="0"/>
          <w:sz w:val="24"/>
          <w:szCs w:val="24"/>
          <w14:ligatures w14:val="none"/>
        </w:rPr>
        <w:t>org</w:t>
      </w:r>
      <w:r w:rsidRPr="00B44B71">
        <w:rPr>
          <w:rFonts w:ascii="Times New Roman" w:eastAsia="Times New Roman" w:hAnsi="Times New Roman" w:cs="Times New Roman"/>
          <w:kern w:val="0"/>
          <w:sz w:val="24"/>
          <w:szCs w:val="24"/>
          <w:lang w:val="ru-RU"/>
          <w14:ligatures w14:val="none"/>
        </w:rPr>
        <w:t xml:space="preserve">/10.33099/2617-6858-2024-77-1-165-172. </w:t>
      </w:r>
      <w:r w:rsidRPr="00B44B71">
        <w:rPr>
          <w:rFonts w:ascii="Times New Roman" w:eastAsia="Times New Roman" w:hAnsi="Times New Roman" w:cs="Times New Roman"/>
          <w:kern w:val="0"/>
          <w:sz w:val="24"/>
          <w:szCs w:val="24"/>
          <w14:ligatures w14:val="none"/>
        </w:rPr>
        <w:t>URL</w:t>
      </w:r>
      <w:r w:rsidRPr="00B44B71">
        <w:rPr>
          <w:rFonts w:ascii="Times New Roman" w:eastAsia="Times New Roman" w:hAnsi="Times New Roman" w:cs="Times New Roman"/>
          <w:kern w:val="0"/>
          <w:sz w:val="24"/>
          <w:szCs w:val="24"/>
          <w:lang w:val="ru-RU"/>
          <w14:ligatures w14:val="none"/>
        </w:rPr>
        <w:t xml:space="preserve">: </w:t>
      </w:r>
      <w:r w:rsidRPr="00B44B71">
        <w:rPr>
          <w:rFonts w:ascii="Times New Roman" w:eastAsia="Times New Roman" w:hAnsi="Times New Roman" w:cs="Times New Roman"/>
          <w:kern w:val="0"/>
          <w:sz w:val="24"/>
          <w:szCs w:val="24"/>
          <w14:ligatures w14:val="none"/>
        </w:rPr>
        <w:t>https</w:t>
      </w:r>
      <w:r w:rsidRPr="00B44B71">
        <w:rPr>
          <w:rFonts w:ascii="Times New Roman" w:eastAsia="Times New Roman" w:hAnsi="Times New Roman" w:cs="Times New Roman"/>
          <w:kern w:val="0"/>
          <w:sz w:val="24"/>
          <w:szCs w:val="24"/>
          <w:lang w:val="ru-RU"/>
          <w14:ligatures w14:val="none"/>
        </w:rPr>
        <w:t>://</w:t>
      </w:r>
      <w:r w:rsidRPr="00B44B71">
        <w:rPr>
          <w:rFonts w:ascii="Times New Roman" w:eastAsia="Times New Roman" w:hAnsi="Times New Roman" w:cs="Times New Roman"/>
          <w:kern w:val="0"/>
          <w:sz w:val="24"/>
          <w:szCs w:val="24"/>
          <w14:ligatures w14:val="none"/>
        </w:rPr>
        <w:t>visnyk</w:t>
      </w:r>
      <w:r w:rsidRPr="00B44B71">
        <w:rPr>
          <w:rFonts w:ascii="Times New Roman" w:eastAsia="Times New Roman" w:hAnsi="Times New Roman" w:cs="Times New Roman"/>
          <w:kern w:val="0"/>
          <w:sz w:val="24"/>
          <w:szCs w:val="24"/>
          <w:lang w:val="ru-RU"/>
          <w14:ligatures w14:val="none"/>
        </w:rPr>
        <w:t>.</w:t>
      </w:r>
      <w:r w:rsidRPr="00B44B71">
        <w:rPr>
          <w:rFonts w:ascii="Times New Roman" w:eastAsia="Times New Roman" w:hAnsi="Times New Roman" w:cs="Times New Roman"/>
          <w:kern w:val="0"/>
          <w:sz w:val="24"/>
          <w:szCs w:val="24"/>
          <w14:ligatures w14:val="none"/>
        </w:rPr>
        <w:t>nuou</w:t>
      </w:r>
      <w:r w:rsidRPr="00B44B71">
        <w:rPr>
          <w:rFonts w:ascii="Times New Roman" w:eastAsia="Times New Roman" w:hAnsi="Times New Roman" w:cs="Times New Roman"/>
          <w:kern w:val="0"/>
          <w:sz w:val="24"/>
          <w:szCs w:val="24"/>
          <w:lang w:val="ru-RU"/>
          <w14:ligatures w14:val="none"/>
        </w:rPr>
        <w:t>.</w:t>
      </w:r>
      <w:r w:rsidRPr="00B44B71">
        <w:rPr>
          <w:rFonts w:ascii="Times New Roman" w:eastAsia="Times New Roman" w:hAnsi="Times New Roman" w:cs="Times New Roman"/>
          <w:kern w:val="0"/>
          <w:sz w:val="24"/>
          <w:szCs w:val="24"/>
          <w14:ligatures w14:val="none"/>
        </w:rPr>
        <w:t>org</w:t>
      </w:r>
      <w:r w:rsidRPr="00B44B71">
        <w:rPr>
          <w:rFonts w:ascii="Times New Roman" w:eastAsia="Times New Roman" w:hAnsi="Times New Roman" w:cs="Times New Roman"/>
          <w:kern w:val="0"/>
          <w:sz w:val="24"/>
          <w:szCs w:val="24"/>
          <w:lang w:val="ru-RU"/>
          <w14:ligatures w14:val="none"/>
        </w:rPr>
        <w:t>.</w:t>
      </w:r>
      <w:r w:rsidRPr="00B44B71">
        <w:rPr>
          <w:rFonts w:ascii="Times New Roman" w:eastAsia="Times New Roman" w:hAnsi="Times New Roman" w:cs="Times New Roman"/>
          <w:kern w:val="0"/>
          <w:sz w:val="24"/>
          <w:szCs w:val="24"/>
          <w14:ligatures w14:val="none"/>
        </w:rPr>
        <w:t>ua</w:t>
      </w:r>
      <w:r w:rsidRPr="00B44B71">
        <w:rPr>
          <w:rFonts w:ascii="Times New Roman" w:eastAsia="Times New Roman" w:hAnsi="Times New Roman" w:cs="Times New Roman"/>
          <w:kern w:val="0"/>
          <w:sz w:val="24"/>
          <w:szCs w:val="24"/>
          <w:lang w:val="ru-RU"/>
          <w14:ligatures w14:val="none"/>
        </w:rPr>
        <w:t>/</w:t>
      </w:r>
      <w:r w:rsidRPr="00B44B71">
        <w:rPr>
          <w:rFonts w:ascii="Times New Roman" w:eastAsia="Times New Roman" w:hAnsi="Times New Roman" w:cs="Times New Roman"/>
          <w:kern w:val="0"/>
          <w:sz w:val="24"/>
          <w:szCs w:val="24"/>
          <w14:ligatures w14:val="none"/>
        </w:rPr>
        <w:t>article</w:t>
      </w:r>
      <w:r w:rsidRPr="00B44B71">
        <w:rPr>
          <w:rFonts w:ascii="Times New Roman" w:eastAsia="Times New Roman" w:hAnsi="Times New Roman" w:cs="Times New Roman"/>
          <w:kern w:val="0"/>
          <w:sz w:val="24"/>
          <w:szCs w:val="24"/>
          <w:lang w:val="ru-RU"/>
          <w14:ligatures w14:val="none"/>
        </w:rPr>
        <w:t>/</w:t>
      </w:r>
      <w:r w:rsidRPr="00B44B71">
        <w:rPr>
          <w:rFonts w:ascii="Times New Roman" w:eastAsia="Times New Roman" w:hAnsi="Times New Roman" w:cs="Times New Roman"/>
          <w:kern w:val="0"/>
          <w:sz w:val="24"/>
          <w:szCs w:val="24"/>
          <w14:ligatures w14:val="none"/>
        </w:rPr>
        <w:t>view</w:t>
      </w:r>
      <w:r w:rsidRPr="00B44B71">
        <w:rPr>
          <w:rFonts w:ascii="Times New Roman" w:eastAsia="Times New Roman" w:hAnsi="Times New Roman" w:cs="Times New Roman"/>
          <w:kern w:val="0"/>
          <w:sz w:val="24"/>
          <w:szCs w:val="24"/>
          <w:lang w:val="ru-RU"/>
          <w14:ligatures w14:val="none"/>
        </w:rPr>
        <w:t>/291572</w:t>
      </w:r>
    </w:p>
    <w:p w14:paraId="62C16F3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lang w:val="ru-RU"/>
          <w14:ligatures w14:val="none"/>
        </w:rPr>
        <w:t>18. Ягупов, В. В., Лиман, Р. М., &amp; Білошицький, В. В. (2024). Сутність, структура і зміст лідерської компетентності як провідного компонента військово-професійної компетентності сучасного офіцера за досвідом країн НАТО. Молодь</w:t>
      </w:r>
      <w:r w:rsidRPr="00B44B71">
        <w:rPr>
          <w:rFonts w:ascii="Times New Roman" w:eastAsia="Times New Roman" w:hAnsi="Times New Roman" w:cs="Times New Roman"/>
          <w:kern w:val="0"/>
          <w:sz w:val="24"/>
          <w:szCs w:val="24"/>
          <w14:ligatures w14:val="none"/>
        </w:rPr>
        <w:t xml:space="preserve"> </w:t>
      </w:r>
      <w:r w:rsidRPr="00B44B71">
        <w:rPr>
          <w:rFonts w:ascii="Times New Roman" w:eastAsia="Times New Roman" w:hAnsi="Times New Roman" w:cs="Times New Roman"/>
          <w:kern w:val="0"/>
          <w:sz w:val="24"/>
          <w:szCs w:val="24"/>
          <w:lang w:val="ru-RU"/>
          <w14:ligatures w14:val="none"/>
        </w:rPr>
        <w:t>і</w:t>
      </w:r>
      <w:r w:rsidRPr="00B44B71">
        <w:rPr>
          <w:rFonts w:ascii="Times New Roman" w:eastAsia="Times New Roman" w:hAnsi="Times New Roman" w:cs="Times New Roman"/>
          <w:kern w:val="0"/>
          <w:sz w:val="24"/>
          <w:szCs w:val="24"/>
          <w14:ligatures w14:val="none"/>
        </w:rPr>
        <w:t xml:space="preserve"> </w:t>
      </w:r>
      <w:r w:rsidRPr="00B44B71">
        <w:rPr>
          <w:rFonts w:ascii="Times New Roman" w:eastAsia="Times New Roman" w:hAnsi="Times New Roman" w:cs="Times New Roman"/>
          <w:kern w:val="0"/>
          <w:sz w:val="24"/>
          <w:szCs w:val="24"/>
          <w:lang w:val="ru-RU"/>
          <w14:ligatures w14:val="none"/>
        </w:rPr>
        <w:t>ринок</w:t>
      </w:r>
      <w:r w:rsidRPr="00B44B71">
        <w:rPr>
          <w:rFonts w:ascii="Times New Roman" w:eastAsia="Times New Roman" w:hAnsi="Times New Roman" w:cs="Times New Roman"/>
          <w:kern w:val="0"/>
          <w:sz w:val="24"/>
          <w:szCs w:val="24"/>
          <w14:ligatures w14:val="none"/>
        </w:rPr>
        <w:t xml:space="preserve">, 4(224), 49–61. DOI: https://doi.org/10.24919/2308-4634.2024.304403. URL: </w:t>
      </w:r>
      <w:hyperlink r:id="rId282" w:history="1">
        <w:r w:rsidRPr="00B44B71">
          <w:rPr>
            <w:rFonts w:ascii="Times New Roman" w:eastAsia="Times New Roman" w:hAnsi="Times New Roman" w:cs="Times New Roman"/>
            <w:color w:val="0563C1"/>
            <w:kern w:val="0"/>
            <w:sz w:val="24"/>
            <w:szCs w:val="24"/>
            <w:u w:val="single"/>
            <w14:ligatures w14:val="none"/>
          </w:rPr>
          <w:t>https://mir.dspu.edu.ua/</w:t>
        </w:r>
      </w:hyperlink>
      <w:r w:rsidRPr="00B44B71">
        <w:rPr>
          <w:rFonts w:ascii="Times New Roman" w:eastAsia="Times New Roman" w:hAnsi="Times New Roman" w:cs="Times New Roman"/>
          <w:kern w:val="0"/>
          <w:sz w:val="24"/>
          <w:szCs w:val="24"/>
          <w14:ligatures w14:val="none"/>
        </w:rPr>
        <w:t xml:space="preserve"> article/ view/304403</w:t>
      </w:r>
    </w:p>
    <w:p w14:paraId="31D4B78C" w14:textId="77777777" w:rsidR="00B44B71" w:rsidRPr="00B44B71" w:rsidRDefault="00B44B71" w:rsidP="00023291">
      <w:pPr>
        <w:tabs>
          <w:tab w:val="left" w:pos="9638"/>
        </w:tabs>
        <w:spacing w:before="120" w:after="120" w:line="240" w:lineRule="auto"/>
        <w:ind w:firstLine="709"/>
        <w:jc w:val="center"/>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b/>
          <w:kern w:val="0"/>
          <w:sz w:val="24"/>
          <w:szCs w:val="24"/>
          <w14:ligatures w14:val="none"/>
        </w:rPr>
        <w:t>REFERENCES</w:t>
      </w:r>
    </w:p>
    <w:p w14:paraId="4892478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1. Gonz</w:t>
      </w:r>
      <w:r w:rsidRPr="00B44B71">
        <w:rPr>
          <w:rFonts w:ascii="Times New Roman" w:eastAsia="Times New Roman" w:hAnsi="Times New Roman" w:cs="Times New Roman"/>
          <w:kern w:val="0"/>
          <w:sz w:val="24"/>
          <w:szCs w:val="24"/>
          <w:lang w:val="uk-UA"/>
          <w14:ligatures w14:val="none"/>
        </w:rPr>
        <w:t>а</w:t>
      </w:r>
      <w:r w:rsidRPr="00B44B71">
        <w:rPr>
          <w:rFonts w:ascii="Times New Roman" w:eastAsia="Times New Roman" w:hAnsi="Times New Roman" w:cs="Times New Roman"/>
          <w:kern w:val="0"/>
          <w:sz w:val="24"/>
          <w:szCs w:val="24"/>
          <w14:ligatures w14:val="none"/>
        </w:rPr>
        <w:t>lez, J., &amp; Wagenaar, R. (Eds.). Tuning educational structures in Europe II: Universities’ contribution to the Bologna Process. University of Deusto &amp; University of Groningen, 2005. URL: https://ehea.info/media.ehea.info/file/Tuning_project/93/2/Tuning-Phase2-Final-Report_575932.pdf (in English).</w:t>
      </w:r>
    </w:p>
    <w:p w14:paraId="2ECF05C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2. Boiko, O. V. Teoriia i metodyka formuvannia liderskoi kompetentnosti ofitseriv Zbroinykh syl Ukrainy: monohrafiia [Theory and methods of forming leadership competence of officers of the Armed Forces of Ukraine: monograph]. Zhytomyr: Vyd. O. O. Yevenok, 2020. 667 s. (in Ukrainian).</w:t>
      </w:r>
    </w:p>
    <w:p w14:paraId="571E3155"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3. NATO. Russian War Against Ukraine lessons learned curriculum guide. 2023. URL: https://www.nato.int/content/dam/nato/webready/documents/deep/231208-RusWar-Ukraine-Lessons-Curriculum-Guide-en.pdf (in English).</w:t>
      </w:r>
    </w:p>
    <w:p w14:paraId="3C577BFF"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4. NATO. Leadership and ethics reference curriculum. 19 July 2024. URL: https://www.nato.int/content/dam/nato/webready/documents/deep/240719-deep-leadership-ethics-curr.pdf (in English).</w:t>
      </w:r>
    </w:p>
    <w:p w14:paraId="033CB19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5. NATO. Defence Education Enhancement Programme (DEEP). 28 February 2025. URL: https://www.nato.int/en/what-we-do/partnerships-and-cooperation/defence-education-enhancement-programme-deep (in English).</w:t>
      </w:r>
    </w:p>
    <w:p w14:paraId="4A76B4EB"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6. NATO. NATO launches the Resilience Reference Curriculum. 21 February 2025. URL: https://www.nato.int/en/news-and-events/articles/news/2025/02/21/nato-launches-the-resilience-reference-curriculum (in English).</w:t>
      </w:r>
    </w:p>
    <w:p w14:paraId="47076FE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7. Pasko, M. Liderska kompetentnist ofitseriv viisk zviazku ta kiberbezpeky: sutnist, struktura i zmist [Leadership competence of communications and cybersecurity officers: essence, structure and content]. Zbirnyk naukovykh prats Natsionalnoi akademii Derzhavnoi prykordonnoi sluzhby Ukrainy. Seriia: pedahohichni nauky. 2025. T. 42. № 3. S. 127–143. DOI: https://doi.org/10.32453/pedzbirnyk.v42i3.1942. URL: https://periodica.nadpsu.edu.ua/index.php/pedzbirnyk/article/view/1942 (in Ukrainian).</w:t>
      </w:r>
    </w:p>
    <w:p w14:paraId="035C6A7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8. Krymets, L. V., Hryliuk, S. M., Nedyvyha, O. V., &amp; Saienko, O. O. Moralni yakosti viiskovoho lidera v umovakh rosiisko-ukrainskoi viiny v konteksti formuvannia moralnoi hotovnosti [Moral qualities of a military leader in the conditions of the Russian-Ukrainian war in the context of forming moral readiness]. Visnyk Natsionalnoho universytetu oborony Ukrainy. 2024. T. 77. № 1. S. 90–101. DOI: https://doi.org/10.33099/2617-6858-2024-77-1-90-101. URL: https://visnyk.nuou.org.ua/article/view/292918 (in Ukrainian).</w:t>
      </w:r>
    </w:p>
    <w:p w14:paraId="0B6D8C5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9. Ministerstvo oborony Ukrainy. Ukraina podast zaiavku na sertyfikatsiiu kursiv profesiinoi viiskovoi osvity za standartamy NATO [Ukraine will apply for certification of professional military education courses according to NATO standards]. 18 hrudnia 2024 r. URL: https://mod.gov.ua/news/ukrayina-podast-zayavku-na-sertifikacziyu-kursiv-profesijnoyi-vijskovoyi-osviti-za-standartami-nato (in Ukrainian).</w:t>
      </w:r>
    </w:p>
    <w:p w14:paraId="04AD73B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 xml:space="preserve">10. Ministerstvo oborony Ukrainy. Minoborony doluchylosia do onovlennia standartiv NATO z pytan osvity i pidhotovky [The Ministry of Defence joined the updating of NATO standards in </w:t>
      </w:r>
      <w:r w:rsidRPr="00B44B71">
        <w:rPr>
          <w:rFonts w:ascii="Times New Roman" w:eastAsia="Times New Roman" w:hAnsi="Times New Roman" w:cs="Times New Roman"/>
          <w:kern w:val="0"/>
          <w:sz w:val="24"/>
          <w:szCs w:val="24"/>
          <w14:ligatures w14:val="none"/>
        </w:rPr>
        <w:lastRenderedPageBreak/>
        <w:t>education and training]. 16 kvitnia 2025 r. URL: https://mod.gov.ua/news/minoboroni-doluchilosya-do-onovlennya-standartiv-nato-z-pitan-osviti-i-pidgotovki (in Ukrainian).</w:t>
      </w:r>
    </w:p>
    <w:p w14:paraId="0D3C2CD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11. Ministerstvo oborony Ukrainy. NATO provede instytutsiinyi audyt systemy viiskovoi osvity v Ukraini [NATO will conduct an institutional audit of the military education system in Ukraine]. 30 kvitnia 2025 r. URL: https://mod.gov.ua/news/nato-provede-instituczijnij-audit-sistemi-vijskovoyi-osviti-v-ukrayini (in Ukrainian).</w:t>
      </w:r>
    </w:p>
    <w:p w14:paraId="5890D7E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12. Ministerstvo oborony Ukrainy. Minoborony otrymalo vid NATO kryterii dlia instytutsiinoho audytu systemy viiskovoi osvity [The Ministry of Defence received NATO criteria for the institutional audit of the military education system]. 20 travnia 2025 r. URL: https://mod.gov.ua/news/minoboroni-otrimalo-vid-nato-kriteriyi-dlya-instituczijnogo-auditu-sistemi-vijskovoyi-osviti (in Ukrainian).</w:t>
      </w:r>
    </w:p>
    <w:p w14:paraId="47B84BD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13. Ministerstvo oborony Ukrainy. Viiskova osvita [Military education]. 2026. URL: https://mod.gov.ua/vijskova-osvita (in Ukrainian).</w:t>
      </w:r>
    </w:p>
    <w:p w14:paraId="0441EEB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14. Ministerstvo oborony Ukrainy. Ukraina, popry vyklyky viiny, dosiahla znachnoho prohresu v profesionalizatsii viiskovoi osvity – eksperty NATO [Ukraine, despite the challenges of war, has achieved significant progress in the professionalization of military education – NATO experts]. 16 sichnia 2026 r. URL: https://mod.gov.ua/news/ukrayina-popri-vikliki-vijni-dosyagla-znachnogo-progresu-v-profesionalizacziyi-vijskovoyi-osviti-eksperti-nato (in Ukrainian).</w:t>
      </w:r>
    </w:p>
    <w:p w14:paraId="706FAF21"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15. Oliinyk, L. V. Kompetentnisnyi pidkhid yak neobkhidna umova suchasnoi osvity u viiskovomu universyteti [Competence-based approach as a necessary condition of modern education in a military university]. Problemy osvity. Naukovyi zbirnyk Instytutu innovatsiinykh tekhnolohii i zmistu osvity MON Ukrainy. 2010. Vyp. 65. S. 43–48 (in Ukrainian).</w:t>
      </w:r>
    </w:p>
    <w:p w14:paraId="079E7E3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16. Oliinyk, L. V. Profesiina kompetentnist maibutnikh ofitseriv-zviazkivtsiv: psykholoho-pedahohichnyi aspekt [Professional competence of future communications officers: psychological and pedagogical aspect]. Zbirnyk naukovykh prats Viiskovoho instytutu Kyivskoho natsionalnoho universytetu imeni Tarasa Shevchenka. 2005. № 1. S. 166–171 (in Ukrainian).</w:t>
      </w:r>
    </w:p>
    <w:p w14:paraId="665D26A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17. Khraban, T. Ye., &amp; Khraban, M. I. Liderstvo yak peredumova efektyvnoho navchannia u systemi vyshchoi viiskovoi osvity [Leadership as a prerequisite for effective learning in the system of higher military education]. Visnyk Natsionalnoho universytetu oborony Ukrainy. 2024. T. 77. № 1. S. 165–172. DOI: https://doi.org/10.33099/2617-6858-2024-77-1-165-172. URL: https://visnyk.nuou.org.ua/article/view/291572 (in Ukrainian).</w:t>
      </w:r>
    </w:p>
    <w:p w14:paraId="1EA0954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18. Yahupov, V. V., Lyman, R. M., &amp; Biloshytskyi, V. V. Sutnist, struktura i zmist liderskoi kompetentnosti yak providnoho komponenta viiskovo-profesiinoi kompetentnosti suchasnoho ofitsera za dosvidom krain NATO [Essence, structure and content of leadership competence as a leading component of the military-professional competence of a modern officer based on the experience of NATO countries]. Molod i rynok. 2024. № 4 (224). S. 49–61. DOI: https://doi.org/10.24919/2308-4634.2024.304403. URL: https://mir.dspu.edu.ua/article/view/304403 (in Ukrainian).</w:t>
      </w:r>
    </w:p>
    <w:p w14:paraId="118ACE7C" w14:textId="77777777" w:rsidR="00B44B71" w:rsidRPr="00B44B71" w:rsidRDefault="00B44B71" w:rsidP="00023291">
      <w:pPr>
        <w:tabs>
          <w:tab w:val="left" w:pos="9638"/>
        </w:tabs>
        <w:spacing w:before="120" w:after="120" w:line="240" w:lineRule="auto"/>
        <w:jc w:val="center"/>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b/>
          <w:kern w:val="0"/>
          <w:sz w:val="24"/>
          <w:szCs w:val="24"/>
          <w14:ligatures w14:val="none"/>
        </w:rPr>
        <w:t>SUMMARY</w:t>
      </w:r>
    </w:p>
    <w:p w14:paraId="24D09625" w14:textId="77777777" w:rsidR="00AD7045" w:rsidRPr="00AD7045" w:rsidRDefault="00AD7045" w:rsidP="00AD7045">
      <w:pPr>
        <w:suppressAutoHyphens/>
        <w:spacing w:after="0" w:line="240" w:lineRule="auto"/>
        <w:jc w:val="right"/>
        <w:rPr>
          <w:rFonts w:ascii="Times New Roman" w:eastAsia="Times New Roman" w:hAnsi="Times New Roman" w:cs="Times New Roman"/>
          <w:b/>
          <w:bCs/>
          <w:kern w:val="0"/>
          <w:sz w:val="24"/>
          <w:szCs w:val="24"/>
          <w:lang w:val="uk-UA"/>
          <w14:ligatures w14:val="none"/>
        </w:rPr>
      </w:pPr>
      <w:r w:rsidRPr="00AD7045">
        <w:rPr>
          <w:rFonts w:ascii="Times New Roman" w:eastAsia="Times New Roman" w:hAnsi="Times New Roman" w:cs="Times New Roman"/>
          <w:b/>
          <w:bCs/>
          <w:kern w:val="0"/>
          <w:sz w:val="24"/>
          <w:szCs w:val="24"/>
          <w14:ligatures w14:val="none"/>
        </w:rPr>
        <w:t>Leonid Oliinyk</w:t>
      </w:r>
      <w:r w:rsidRPr="00AD7045">
        <w:rPr>
          <w:rFonts w:ascii="Times New Roman" w:eastAsia="Times New Roman" w:hAnsi="Times New Roman" w:cs="Times New Roman"/>
          <w:b/>
          <w:bCs/>
          <w:kern w:val="0"/>
          <w:sz w:val="24"/>
          <w:szCs w:val="24"/>
          <w:lang w:val="uk-UA"/>
          <w14:ligatures w14:val="none"/>
        </w:rPr>
        <w:t>,</w:t>
      </w:r>
    </w:p>
    <w:p w14:paraId="711CD019" w14:textId="77777777" w:rsidR="00AD7045" w:rsidRPr="008D5CD5" w:rsidRDefault="00AD7045" w:rsidP="00AD7045">
      <w:pPr>
        <w:suppressAutoHyphens/>
        <w:spacing w:after="0" w:line="240" w:lineRule="auto"/>
        <w:jc w:val="right"/>
        <w:rPr>
          <w:rFonts w:ascii="Times New Roman" w:eastAsia="Times New Roman" w:hAnsi="Times New Roman" w:cs="Times New Roman"/>
          <w:kern w:val="0"/>
          <w:sz w:val="24"/>
          <w:szCs w:val="24"/>
          <w14:ligatures w14:val="none"/>
        </w:rPr>
      </w:pPr>
      <w:r w:rsidRPr="00AD7045">
        <w:rPr>
          <w:rFonts w:ascii="Times New Roman" w:eastAsia="Times New Roman" w:hAnsi="Times New Roman" w:cs="Times New Roman"/>
          <w:kern w:val="0"/>
          <w:sz w:val="24"/>
          <w:szCs w:val="24"/>
          <w14:ligatures w14:val="none"/>
        </w:rPr>
        <w:t xml:space="preserve">Doctor of Pedagogical </w:t>
      </w:r>
      <w:r w:rsidRPr="008D5CD5">
        <w:rPr>
          <w:rFonts w:ascii="Times New Roman" w:eastAsia="Times New Roman" w:hAnsi="Times New Roman" w:cs="Times New Roman"/>
          <w:kern w:val="0"/>
          <w:sz w:val="24"/>
          <w:szCs w:val="24"/>
          <w14:ligatures w14:val="none"/>
        </w:rPr>
        <w:t>Sciences, Senior Researcher</w:t>
      </w:r>
    </w:p>
    <w:p w14:paraId="796833EF" w14:textId="029E6F69" w:rsidR="00AD7045" w:rsidRPr="008D5CD5" w:rsidRDefault="00AD7045" w:rsidP="00AD7045">
      <w:pPr>
        <w:suppressAutoHyphens/>
        <w:spacing w:after="0" w:line="240" w:lineRule="auto"/>
        <w:jc w:val="right"/>
        <w:rPr>
          <w:rFonts w:ascii="Times New Roman" w:eastAsia="Times New Roman" w:hAnsi="Times New Roman" w:cs="Times New Roman"/>
          <w:kern w:val="0"/>
          <w:sz w:val="24"/>
          <w:szCs w:val="24"/>
          <w14:ligatures w14:val="none"/>
        </w:rPr>
      </w:pPr>
      <w:r w:rsidRPr="008D5CD5">
        <w:rPr>
          <w:rFonts w:ascii="Times New Roman" w:eastAsia="Times New Roman" w:hAnsi="Times New Roman" w:cs="Times New Roman"/>
          <w:kern w:val="0"/>
          <w:sz w:val="24"/>
          <w:szCs w:val="24"/>
          <w14:ligatures w14:val="none"/>
        </w:rPr>
        <w:t>National Defenc</w:t>
      </w:r>
      <w:r w:rsidR="008D5CD5">
        <w:rPr>
          <w:rFonts w:ascii="Times New Roman" w:eastAsia="Times New Roman" w:hAnsi="Times New Roman" w:cs="Times New Roman"/>
          <w:kern w:val="0"/>
          <w:sz w:val="24"/>
          <w:szCs w:val="24"/>
          <w14:ligatures w14:val="none"/>
        </w:rPr>
        <w:t xml:space="preserve">e </w:t>
      </w:r>
      <w:r w:rsidRPr="008D5CD5">
        <w:rPr>
          <w:rFonts w:ascii="Times New Roman" w:eastAsia="Times New Roman" w:hAnsi="Times New Roman" w:cs="Times New Roman"/>
          <w:kern w:val="0"/>
          <w:sz w:val="24"/>
          <w:szCs w:val="24"/>
          <w14:ligatures w14:val="none"/>
        </w:rPr>
        <w:t xml:space="preserve">University of Ukraine, Kyiv </w:t>
      </w:r>
    </w:p>
    <w:p w14:paraId="2D9D4466" w14:textId="77777777" w:rsidR="00AD7045" w:rsidRPr="008D5CD5" w:rsidRDefault="00AD7045" w:rsidP="00AD7045">
      <w:pPr>
        <w:suppressAutoHyphens/>
        <w:spacing w:after="0" w:line="240" w:lineRule="auto"/>
        <w:jc w:val="right"/>
        <w:rPr>
          <w:rFonts w:ascii="Times New Roman" w:eastAsia="Times New Roman" w:hAnsi="Times New Roman" w:cs="Times New Roman"/>
          <w:b/>
          <w:bCs/>
          <w:kern w:val="0"/>
          <w:sz w:val="24"/>
          <w:szCs w:val="24"/>
          <w:lang w:val="uk-UA"/>
          <w14:ligatures w14:val="none"/>
        </w:rPr>
      </w:pPr>
      <w:r w:rsidRPr="008D5CD5">
        <w:rPr>
          <w:rFonts w:ascii="Times New Roman" w:eastAsia="Times New Roman" w:hAnsi="Times New Roman" w:cs="Times New Roman"/>
          <w:b/>
          <w:bCs/>
          <w:kern w:val="0"/>
          <w:sz w:val="24"/>
          <w:szCs w:val="24"/>
          <w14:ligatures w14:val="none"/>
        </w:rPr>
        <w:t>Inna Savina</w:t>
      </w:r>
      <w:r w:rsidRPr="008D5CD5">
        <w:rPr>
          <w:rFonts w:ascii="Times New Roman" w:eastAsia="Times New Roman" w:hAnsi="Times New Roman" w:cs="Times New Roman"/>
          <w:b/>
          <w:bCs/>
          <w:kern w:val="0"/>
          <w:sz w:val="24"/>
          <w:szCs w:val="24"/>
          <w:lang w:val="uk-UA"/>
          <w14:ligatures w14:val="none"/>
        </w:rPr>
        <w:t>,</w:t>
      </w:r>
    </w:p>
    <w:p w14:paraId="0555B82D" w14:textId="77777777" w:rsidR="00AD7045" w:rsidRPr="008D5CD5" w:rsidRDefault="00AD7045" w:rsidP="00AD7045">
      <w:pPr>
        <w:suppressAutoHyphens/>
        <w:spacing w:after="0" w:line="240" w:lineRule="auto"/>
        <w:jc w:val="right"/>
        <w:rPr>
          <w:rFonts w:ascii="Times New Roman" w:eastAsia="Times New Roman" w:hAnsi="Times New Roman" w:cs="Times New Roman"/>
          <w:kern w:val="0"/>
          <w:sz w:val="24"/>
          <w:szCs w:val="24"/>
          <w14:ligatures w14:val="none"/>
        </w:rPr>
      </w:pPr>
      <w:r w:rsidRPr="008D5CD5">
        <w:rPr>
          <w:rFonts w:ascii="Times New Roman" w:eastAsia="Times New Roman" w:hAnsi="Times New Roman" w:cs="Times New Roman"/>
          <w:kern w:val="0"/>
          <w:sz w:val="24"/>
          <w:szCs w:val="24"/>
          <w14:ligatures w14:val="none"/>
        </w:rPr>
        <w:t>Candidate of Pedagogical Sciences</w:t>
      </w:r>
    </w:p>
    <w:p w14:paraId="448755E3" w14:textId="7059F7CC" w:rsidR="00AD7045" w:rsidRPr="00AD7045" w:rsidRDefault="00AD7045" w:rsidP="00AD7045">
      <w:pPr>
        <w:suppressAutoHyphens/>
        <w:spacing w:after="0" w:line="240" w:lineRule="auto"/>
        <w:jc w:val="right"/>
        <w:rPr>
          <w:rFonts w:ascii="Times New Roman" w:eastAsia="Times New Roman" w:hAnsi="Times New Roman" w:cs="Times New Roman"/>
          <w:kern w:val="0"/>
          <w:sz w:val="24"/>
          <w:szCs w:val="24"/>
          <w:lang w:val="uk-UA"/>
          <w14:ligatures w14:val="none"/>
        </w:rPr>
      </w:pPr>
      <w:r w:rsidRPr="008D5CD5">
        <w:rPr>
          <w:rFonts w:ascii="Times New Roman" w:eastAsia="Times New Roman" w:hAnsi="Times New Roman" w:cs="Times New Roman"/>
          <w:kern w:val="0"/>
          <w:sz w:val="24"/>
          <w:szCs w:val="24"/>
          <w14:ligatures w14:val="none"/>
        </w:rPr>
        <w:t>National Defenc</w:t>
      </w:r>
      <w:r w:rsidR="008D5CD5">
        <w:rPr>
          <w:rFonts w:ascii="Times New Roman" w:eastAsia="Times New Roman" w:hAnsi="Times New Roman" w:cs="Times New Roman"/>
          <w:kern w:val="0"/>
          <w:sz w:val="24"/>
          <w:szCs w:val="24"/>
          <w14:ligatures w14:val="none"/>
        </w:rPr>
        <w:t>e</w:t>
      </w:r>
      <w:r w:rsidR="008D5CD5">
        <w:rPr>
          <w:rFonts w:ascii="Times New Roman" w:eastAsia="Times New Roman" w:hAnsi="Times New Roman" w:cs="Times New Roman"/>
          <w:kern w:val="0"/>
          <w:sz w:val="24"/>
          <w:szCs w:val="24"/>
          <w:lang w:val="uk-UA"/>
          <w14:ligatures w14:val="none"/>
        </w:rPr>
        <w:t xml:space="preserve"> </w:t>
      </w:r>
      <w:r w:rsidRPr="00AD7045">
        <w:rPr>
          <w:rFonts w:ascii="Times New Roman" w:eastAsia="Times New Roman" w:hAnsi="Times New Roman" w:cs="Times New Roman"/>
          <w:kern w:val="0"/>
          <w:sz w:val="24"/>
          <w:szCs w:val="24"/>
          <w14:ligatures w14:val="none"/>
        </w:rPr>
        <w:t>University of Ukraine, Kyiv</w:t>
      </w:r>
    </w:p>
    <w:p w14:paraId="16F6C081" w14:textId="77777777" w:rsidR="00AD7045" w:rsidRPr="00953008" w:rsidRDefault="00AD7045" w:rsidP="00953008">
      <w:pPr>
        <w:suppressAutoHyphens/>
        <w:spacing w:after="0" w:line="240" w:lineRule="auto"/>
        <w:jc w:val="center"/>
        <w:rPr>
          <w:rFonts w:ascii="Times New Roman" w:eastAsia="Times New Roman" w:hAnsi="Times New Roman" w:cs="Times New Roman"/>
          <w:b/>
          <w:kern w:val="0"/>
          <w:sz w:val="24"/>
          <w:szCs w:val="24"/>
          <w14:ligatures w14:val="none"/>
        </w:rPr>
      </w:pPr>
      <w:r w:rsidRPr="00953008">
        <w:rPr>
          <w:rFonts w:ascii="Times New Roman" w:eastAsia="Times New Roman" w:hAnsi="Times New Roman" w:cs="Times New Roman"/>
          <w:b/>
          <w:kern w:val="0"/>
          <w:sz w:val="24"/>
          <w:szCs w:val="24"/>
          <w14:ligatures w14:val="none"/>
        </w:rPr>
        <w:t>Methodological Approaches and Principles for Studying the Development of Leadership Competence in Operational-Level Officers within the System of Professional Military Education</w:t>
      </w:r>
    </w:p>
    <w:p w14:paraId="1343E2F1" w14:textId="6C89D7CB" w:rsidR="00AD7045" w:rsidRPr="00953008" w:rsidRDefault="00AD7045" w:rsidP="00AD7045">
      <w:pPr>
        <w:suppressAutoHyphens/>
        <w:spacing w:after="0" w:line="240" w:lineRule="auto"/>
        <w:ind w:firstLine="709"/>
        <w:jc w:val="both"/>
        <w:rPr>
          <w:rFonts w:ascii="Times New Roman" w:eastAsia="Times New Roman" w:hAnsi="Times New Roman" w:cs="Times New Roman"/>
          <w:i/>
          <w:kern w:val="0"/>
          <w:sz w:val="24"/>
          <w:szCs w:val="24"/>
          <w14:ligatures w14:val="none"/>
        </w:rPr>
      </w:pPr>
      <w:r w:rsidRPr="00AD7045">
        <w:rPr>
          <w:rFonts w:ascii="Times New Roman" w:eastAsia="Times New Roman" w:hAnsi="Times New Roman" w:cs="Times New Roman"/>
          <w:b/>
          <w:kern w:val="0"/>
          <w:sz w:val="24"/>
          <w:szCs w:val="24"/>
          <w14:ligatures w14:val="none"/>
        </w:rPr>
        <w:lastRenderedPageBreak/>
        <w:t xml:space="preserve">Introduction. </w:t>
      </w:r>
      <w:r w:rsidRPr="00953008">
        <w:rPr>
          <w:rFonts w:ascii="Times New Roman" w:eastAsia="Times New Roman" w:hAnsi="Times New Roman" w:cs="Times New Roman"/>
          <w:i/>
          <w:kern w:val="0"/>
          <w:sz w:val="24"/>
          <w:szCs w:val="24"/>
          <w14:ligatures w14:val="none"/>
        </w:rPr>
        <w:t xml:space="preserve">The transformation of the security environment, Ukraine’s experience of full-scale war and the ongoing modernization of professional military education have significantly increased the relevance of research on leadership competence among operational-level officers. In the context of Ukraine’s movement toward interoperability with NATO standards, leadership competence is no longer regarded as a secondary personal characteristic but rather as an integral outcome of professional military education. This necessitates reconsideration not only of educational content but also of the methodological foundations and research principles for studying leadership competence as a multidimensional professional phenomenon. </w:t>
      </w:r>
    </w:p>
    <w:p w14:paraId="510E82FA" w14:textId="77777777" w:rsidR="00B44B71" w:rsidRPr="00953008"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14:ligatures w14:val="none"/>
        </w:rPr>
      </w:pPr>
      <w:r w:rsidRPr="00953008">
        <w:rPr>
          <w:rFonts w:ascii="Times New Roman" w:eastAsia="Times New Roman" w:hAnsi="Times New Roman" w:cs="Times New Roman"/>
          <w:b/>
          <w:i/>
          <w:kern w:val="0"/>
          <w:sz w:val="24"/>
          <w:szCs w:val="24"/>
          <w14:ligatures w14:val="none"/>
        </w:rPr>
        <w:t>Purpose.</w:t>
      </w:r>
      <w:r w:rsidRPr="00953008">
        <w:rPr>
          <w:rFonts w:ascii="Times New Roman" w:eastAsia="Times New Roman" w:hAnsi="Times New Roman" w:cs="Times New Roman"/>
          <w:i/>
          <w:kern w:val="0"/>
          <w:sz w:val="24"/>
          <w:szCs w:val="24"/>
          <w14:ligatures w14:val="none"/>
        </w:rPr>
        <w:t xml:space="preserve"> The purpose of the article is to substantiate the methodological approaches and principles for studying the development of leadership competence in operational-level officers within the system of professional military education of Ukraine.</w:t>
      </w:r>
    </w:p>
    <w:p w14:paraId="34C3966D" w14:textId="77777777" w:rsidR="00B44B71" w:rsidRPr="00953008"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14:ligatures w14:val="none"/>
        </w:rPr>
      </w:pPr>
      <w:r w:rsidRPr="00953008">
        <w:rPr>
          <w:rFonts w:ascii="Times New Roman" w:eastAsia="Times New Roman" w:hAnsi="Times New Roman" w:cs="Times New Roman"/>
          <w:b/>
          <w:i/>
          <w:kern w:val="0"/>
          <w:sz w:val="24"/>
          <w:szCs w:val="24"/>
          <w14:ligatures w14:val="none"/>
        </w:rPr>
        <w:t>Methods.</w:t>
      </w:r>
      <w:r w:rsidRPr="00953008">
        <w:rPr>
          <w:rFonts w:ascii="Times New Roman" w:eastAsia="Times New Roman" w:hAnsi="Times New Roman" w:cs="Times New Roman"/>
          <w:i/>
          <w:kern w:val="0"/>
          <w:sz w:val="24"/>
          <w:szCs w:val="24"/>
          <w14:ligatures w14:val="none"/>
        </w:rPr>
        <w:t xml:space="preserve"> The study is based on a complex of theoretical methods, special methodologies, and analytical procedures. The theoretical methods include analysis, synthesis, generalization, comparison, systematization, content analysis of regulatory and program documents, and comparative pedagogical analysis of NATO and Ukrainian educational approaches. The special methodologies and analytical procedures include pedagogical modeling, curriculum mapping, case-based analysis, scenario-based interpretation, and logical-structural design of the system of research principles and criteria.</w:t>
      </w:r>
    </w:p>
    <w:p w14:paraId="4E6E92C3" w14:textId="77777777" w:rsidR="00B44B71" w:rsidRPr="00953008"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14:ligatures w14:val="none"/>
        </w:rPr>
      </w:pPr>
      <w:r w:rsidRPr="00953008">
        <w:rPr>
          <w:rFonts w:ascii="Times New Roman" w:eastAsia="Times New Roman" w:hAnsi="Times New Roman" w:cs="Times New Roman"/>
          <w:b/>
          <w:i/>
          <w:kern w:val="0"/>
          <w:sz w:val="24"/>
          <w:szCs w:val="24"/>
          <w14:ligatures w14:val="none"/>
        </w:rPr>
        <w:t>Results.</w:t>
      </w:r>
      <w:r w:rsidRPr="00953008">
        <w:rPr>
          <w:rFonts w:ascii="Times New Roman" w:eastAsia="Times New Roman" w:hAnsi="Times New Roman" w:cs="Times New Roman"/>
          <w:i/>
          <w:kern w:val="0"/>
          <w:sz w:val="24"/>
          <w:szCs w:val="24"/>
          <w14:ligatures w14:val="none"/>
        </w:rPr>
        <w:t xml:space="preserve"> The study substantiates that research into the development of leadership competence in operational-level officers should rely on a set of complementary methodological approaches. The systemic approach provides a holistic view of the pedagogical system of leadership competence development; the competence-based approach focuses on the learning outcomes of professional military education; the contextual approach ensures the approximation of training to real operational conditions; the subject-activity approach reveals the active role of the officer in professional development; the andragogical approach takes into account the prior professional and combat experience of adult learners; and the axiological approach incorporates the ethical and value-based dimensions of military leadership. The article clarifies leadership competence in an operational-level officer as an integrated component of military-professional competence manifested in the ability and readiness to organize and direct collective action, make well-grounded decisions, ensure interaction, trust, resilience, and controllability in a complex operational environment. The article also substantiates the principles of scientific validity and evidence, systemic integrity, professional-operational orientation, contextualization, integration of theory and practice, subjectivity, andragogical appropriateness, ethical conditionality, reflexivity, adaptability, and interoperability.</w:t>
      </w:r>
    </w:p>
    <w:p w14:paraId="03012167" w14:textId="77777777" w:rsidR="00B44B71" w:rsidRPr="00953008"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14:ligatures w14:val="none"/>
        </w:rPr>
      </w:pPr>
      <w:r w:rsidRPr="00953008">
        <w:rPr>
          <w:rFonts w:ascii="Times New Roman" w:eastAsia="Times New Roman" w:hAnsi="Times New Roman" w:cs="Times New Roman"/>
          <w:b/>
          <w:i/>
          <w:kern w:val="0"/>
          <w:sz w:val="24"/>
          <w:szCs w:val="24"/>
          <w14:ligatures w14:val="none"/>
        </w:rPr>
        <w:t>Originality.</w:t>
      </w:r>
      <w:r w:rsidRPr="00953008">
        <w:rPr>
          <w:rFonts w:ascii="Times New Roman" w:eastAsia="Times New Roman" w:hAnsi="Times New Roman" w:cs="Times New Roman"/>
          <w:i/>
          <w:kern w:val="0"/>
          <w:sz w:val="24"/>
          <w:szCs w:val="24"/>
          <w14:ligatures w14:val="none"/>
        </w:rPr>
        <w:t xml:space="preserve"> The scientific originality of the article lies in the comprehensive substantiation of an integrated methodological framework for studying the development of leadership competence in operational-level officers in Ukraine. This framework takes into account the current transformation of professional military education, NATO reference curricular documents, lessons learned from the Russian-Ukrainian war, and contemporary digital, reflective, and analytical techniques of research and instruction. The article refines the authorial definition of leadership competence in operational-level officers, specifies its structural components, and substantiates the research principles that ensure the correspondence between the title, purpose, content, and conclusions of the article.</w:t>
      </w:r>
    </w:p>
    <w:p w14:paraId="5D6B28BC" w14:textId="77777777" w:rsidR="00B44B71" w:rsidRPr="00953008"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14:ligatures w14:val="none"/>
        </w:rPr>
      </w:pPr>
      <w:r w:rsidRPr="00953008">
        <w:rPr>
          <w:rFonts w:ascii="Times New Roman" w:eastAsia="Times New Roman" w:hAnsi="Times New Roman" w:cs="Times New Roman"/>
          <w:b/>
          <w:i/>
          <w:kern w:val="0"/>
          <w:sz w:val="24"/>
          <w:szCs w:val="24"/>
          <w14:ligatures w14:val="none"/>
        </w:rPr>
        <w:t>Conclusion.</w:t>
      </w:r>
      <w:r w:rsidRPr="00953008">
        <w:rPr>
          <w:rFonts w:ascii="Times New Roman" w:eastAsia="Times New Roman" w:hAnsi="Times New Roman" w:cs="Times New Roman"/>
          <w:i/>
          <w:kern w:val="0"/>
          <w:sz w:val="24"/>
          <w:szCs w:val="24"/>
          <w14:ligatures w14:val="none"/>
        </w:rPr>
        <w:t xml:space="preserve"> The study concludes that the development of leadership competence in operational-level officers should be examined as a multidimensional, dynamic, value-based, and pedagogically manageable process. Such research cannot be adequately conducted within a single methodological perspective; instead, it requires the integration of systemic, competence-based, contextual, subject-activity, andragogical, and axiological approaches. The substantiated system of research principles creates a methodological foundation for further elaboration of criteria and indicators for diagnosing leadership competence, pedagogical conditions for its development, and </w:t>
      </w:r>
      <w:r w:rsidRPr="00953008">
        <w:rPr>
          <w:rFonts w:ascii="Times New Roman" w:eastAsia="Times New Roman" w:hAnsi="Times New Roman" w:cs="Times New Roman"/>
          <w:i/>
          <w:kern w:val="0"/>
          <w:sz w:val="24"/>
          <w:szCs w:val="24"/>
          <w14:ligatures w14:val="none"/>
        </w:rPr>
        <w:lastRenderedPageBreak/>
        <w:t>experimental verification of an appropriate developmental system within the environment of professional military education.</w:t>
      </w:r>
    </w:p>
    <w:p w14:paraId="7306969A" w14:textId="77777777" w:rsidR="00B44B71" w:rsidRPr="00953008"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lang w:val="uk-UA"/>
          <w14:ligatures w14:val="none"/>
        </w:rPr>
      </w:pPr>
      <w:r w:rsidRPr="00953008">
        <w:rPr>
          <w:rFonts w:ascii="Times New Roman" w:eastAsia="Times New Roman" w:hAnsi="Times New Roman" w:cs="Times New Roman"/>
          <w:b/>
          <w:i/>
          <w:kern w:val="0"/>
          <w:sz w:val="24"/>
          <w:szCs w:val="24"/>
          <w14:ligatures w14:val="none"/>
        </w:rPr>
        <w:t>Keywords:</w:t>
      </w:r>
      <w:r w:rsidRPr="00953008">
        <w:rPr>
          <w:rFonts w:ascii="Times New Roman" w:eastAsia="Times New Roman" w:hAnsi="Times New Roman" w:cs="Times New Roman"/>
          <w:i/>
          <w:kern w:val="0"/>
          <w:sz w:val="24"/>
          <w:szCs w:val="24"/>
          <w14:ligatures w14:val="none"/>
        </w:rPr>
        <w:t xml:space="preserve"> leadership competence; operational-level officers; professional military education; methodological approaches; research principles; NATO; military leadership; lessons learned; contextual learning; andragogy.</w:t>
      </w:r>
    </w:p>
    <w:p w14:paraId="5ECC8EC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lang w:val="uk-UA"/>
          <w14:ligatures w14:val="none"/>
        </w:rPr>
      </w:pPr>
    </w:p>
    <w:p w14:paraId="688E3372"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надійшов до редакції 22.04.2026</w:t>
      </w:r>
    </w:p>
    <w:p w14:paraId="32587D5F"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прийнято до друку після рецензування 10.05.2026</w:t>
      </w:r>
    </w:p>
    <w:p w14:paraId="07CE8101"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Дата публікації 25.05.2026</w:t>
      </w:r>
    </w:p>
    <w:p w14:paraId="1837AE86"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p>
    <w:p w14:paraId="2B2F162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lang w:val="uk-UA"/>
          <w14:ligatures w14:val="none"/>
        </w:rPr>
      </w:pPr>
    </w:p>
    <w:p w14:paraId="4870ECD2" w14:textId="77777777" w:rsidR="00B44B71" w:rsidRPr="00443B42" w:rsidRDefault="00B44B71"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2F39FF4B" w14:textId="77777777" w:rsidR="00B44B71" w:rsidRPr="00443B42" w:rsidRDefault="00B44B71"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10E72C73"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0FA0EAF5"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2B626ECE"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7A419858"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417E5B0F"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2778284A"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47AE708E"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0A20D0FB"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27FDD50C"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4FE2F91C"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517B9983"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0DBD177A"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2A3A517A"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1A548AF7"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3863F0CF"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6D1A0F30"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1BC5840C"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03679183"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3745F734"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12294A9A"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551FBF13"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29DDC9D8" w14:textId="77777777" w:rsidR="00675E45" w:rsidRPr="00443B42" w:rsidRDefault="00675E45"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3DF22088" w14:textId="77777777" w:rsidR="00740AAF" w:rsidRPr="00443B42"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0CD6D913" w14:textId="77777777" w:rsidR="00740AAF" w:rsidRPr="002A5031"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6AA4D767" w14:textId="77777777" w:rsidR="005B0FF4" w:rsidRPr="002A5031" w:rsidRDefault="005B0FF4"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7F43DF2B" w14:textId="77777777" w:rsidR="005B0FF4" w:rsidRPr="002A5031" w:rsidRDefault="005B0FF4"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3E962177" w14:textId="77777777" w:rsidR="005B0FF4" w:rsidRPr="002A5031" w:rsidRDefault="005B0FF4"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19E53D50" w14:textId="77777777" w:rsidR="005B0FF4" w:rsidRPr="002A5031" w:rsidRDefault="005B0FF4"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34282A55" w14:textId="77777777" w:rsidR="005B0FF4" w:rsidRPr="002A5031" w:rsidRDefault="005B0FF4"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2C29ABB9" w14:textId="77777777" w:rsidR="005B0FF4" w:rsidRPr="002A5031" w:rsidRDefault="005B0FF4"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7EF6DD2E" w14:textId="77777777" w:rsidR="005B0FF4" w:rsidRPr="002A5031" w:rsidRDefault="005B0FF4"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3A0A52A6" w14:textId="77777777" w:rsidR="005B0FF4" w:rsidRPr="002A5031" w:rsidRDefault="005B0FF4"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6E720358" w14:textId="77777777" w:rsidR="005B0FF4" w:rsidRPr="002A5031" w:rsidRDefault="005B0FF4"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78388BBB" w14:textId="77777777" w:rsidR="005B0FF4" w:rsidRDefault="005B0FF4"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0C896383" w14:textId="77777777" w:rsidR="00B15B58" w:rsidRPr="002A5031" w:rsidRDefault="00B15B58"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625F1A76" w14:textId="46844E06" w:rsidR="00740AAF" w:rsidRPr="00740AAF" w:rsidRDefault="008D5CD5" w:rsidP="00740AAF">
      <w:pPr>
        <w:tabs>
          <w:tab w:val="left" w:pos="9638"/>
        </w:tabs>
        <w:spacing w:after="0" w:line="240" w:lineRule="auto"/>
        <w:rPr>
          <w:rFonts w:ascii="Times New Roman" w:eastAsia="Times New Roman" w:hAnsi="Times New Roman" w:cs="Times New Roman"/>
          <w:b/>
          <w:kern w:val="0"/>
          <w:sz w:val="24"/>
          <w:szCs w:val="24"/>
          <w:lang w:val="uk-UA"/>
          <w14:ligatures w14:val="none"/>
        </w:rPr>
      </w:pPr>
      <w:r>
        <w:rPr>
          <w:rFonts w:ascii="Times New Roman" w:eastAsia="Times New Roman" w:hAnsi="Times New Roman" w:cs="Times New Roman"/>
          <w:kern w:val="0"/>
          <w:sz w:val="24"/>
          <w:szCs w:val="24"/>
          <w:lang w:val="uk-UA" w:eastAsia="ru-RU"/>
          <w14:ligatures w14:val="none"/>
        </w:rPr>
        <w:br w:type="column"/>
      </w:r>
      <w:r w:rsidR="00740AAF" w:rsidRPr="00740AAF">
        <w:rPr>
          <w:rFonts w:ascii="Times New Roman" w:eastAsia="Times New Roman" w:hAnsi="Times New Roman" w:cs="Times New Roman"/>
          <w:kern w:val="0"/>
          <w:sz w:val="24"/>
          <w:szCs w:val="24"/>
          <w:lang w:val="uk-UA" w:eastAsia="ru-RU"/>
          <w14:ligatures w14:val="none"/>
        </w:rPr>
        <w:lastRenderedPageBreak/>
        <w:t>ISSN:2617-1775</w:t>
      </w:r>
      <w:r w:rsidR="00740AAF" w:rsidRPr="00740AAF">
        <w:rPr>
          <w:rFonts w:ascii="Times New Roman" w:eastAsia="Calibri" w:hAnsi="Times New Roman" w:cs="Times New Roman"/>
          <w:b/>
          <w:kern w:val="0"/>
          <w:sz w:val="24"/>
          <w:szCs w:val="24"/>
          <w:lang w:val="uk-UA"/>
          <w14:ligatures w14:val="none"/>
        </w:rPr>
        <w:t xml:space="preserve">                                                                                    </w:t>
      </w:r>
      <w:r w:rsidR="00740AAF" w:rsidRPr="00443B42">
        <w:rPr>
          <w:rFonts w:ascii="Times New Roman" w:eastAsia="Times New Roman" w:hAnsi="Times New Roman" w:cs="Times New Roman"/>
          <w:b/>
          <w:kern w:val="0"/>
          <w:sz w:val="24"/>
          <w:szCs w:val="24"/>
          <w:lang w:val="uk-UA"/>
          <w14:ligatures w14:val="none"/>
        </w:rPr>
        <w:t>УДК378.018.43:355.23:004.9</w:t>
      </w:r>
    </w:p>
    <w:p w14:paraId="5CC78889" w14:textId="45EAF457" w:rsidR="00740AAF" w:rsidRPr="00740AAF" w:rsidRDefault="00740AAF" w:rsidP="00740AAF">
      <w:pPr>
        <w:tabs>
          <w:tab w:val="left" w:pos="9638"/>
        </w:tabs>
        <w:spacing w:after="0" w:line="240" w:lineRule="auto"/>
        <w:rPr>
          <w:rFonts w:ascii="Times New Roman" w:eastAsia="Times New Roman" w:hAnsi="Times New Roman" w:cs="Times New Roman"/>
          <w:color w:val="0563C1"/>
          <w:kern w:val="0"/>
          <w:sz w:val="24"/>
          <w:szCs w:val="24"/>
          <w:u w:val="single"/>
          <w:lang w:val="uk-UA"/>
          <w14:ligatures w14:val="none"/>
        </w:rPr>
      </w:pPr>
      <w:r w:rsidRPr="00740AAF">
        <w:rPr>
          <w:rFonts w:ascii="Times New Roman" w:eastAsia="Times New Roman" w:hAnsi="Times New Roman" w:cs="Times New Roman"/>
          <w:kern w:val="0"/>
          <w:sz w:val="24"/>
          <w:szCs w:val="24"/>
          <w:lang w:val="uk-UA" w:eastAsia="ru-RU"/>
          <w14:ligatures w14:val="none"/>
        </w:rPr>
        <w:t xml:space="preserve">ISSN: 2617-1783 (online)                                             </w:t>
      </w:r>
      <w:r>
        <w:rPr>
          <w:rFonts w:ascii="Times New Roman" w:eastAsia="Times New Roman" w:hAnsi="Times New Roman" w:cs="Times New Roman"/>
          <w:kern w:val="0"/>
          <w:sz w:val="24"/>
          <w:szCs w:val="24"/>
          <w:lang w:val="uk-UA" w:eastAsia="ru-RU"/>
          <w14:ligatures w14:val="none"/>
        </w:rPr>
        <w:t xml:space="preserve">   </w:t>
      </w:r>
      <w:r w:rsidRPr="00740AAF">
        <w:rPr>
          <w:rFonts w:ascii="Times New Roman" w:eastAsia="Times New Roman" w:hAnsi="Times New Roman" w:cs="Times New Roman"/>
          <w:bCs/>
          <w:smallCaps/>
          <w:color w:val="000000"/>
          <w:kern w:val="0"/>
          <w:sz w:val="24"/>
          <w:szCs w:val="24"/>
          <w:lang w:eastAsia="ru-RU"/>
          <w14:ligatures w14:val="none"/>
        </w:rPr>
        <w:t>DOI</w:t>
      </w:r>
      <w:r w:rsidRPr="00740AAF">
        <w:rPr>
          <w:rFonts w:ascii="Times New Roman" w:eastAsia="Times New Roman" w:hAnsi="Times New Roman" w:cs="Times New Roman"/>
          <w:bCs/>
          <w:smallCaps/>
          <w:color w:val="000000"/>
          <w:kern w:val="0"/>
          <w:sz w:val="24"/>
          <w:szCs w:val="24"/>
          <w:lang w:val="uk-UA" w:eastAsia="ru-RU"/>
          <w14:ligatures w14:val="none"/>
        </w:rPr>
        <w:t>: 10.33099/2617-1775/2026-01/</w:t>
      </w:r>
      <w:r w:rsidR="00F14C3E">
        <w:rPr>
          <w:rFonts w:ascii="Times New Roman" w:eastAsia="Times New Roman" w:hAnsi="Times New Roman" w:cs="Times New Roman"/>
          <w:bCs/>
          <w:smallCaps/>
          <w:color w:val="000000"/>
          <w:kern w:val="0"/>
          <w:sz w:val="24"/>
          <w:szCs w:val="24"/>
          <w:lang w:val="uk-UA" w:eastAsia="ru-RU"/>
          <w14:ligatures w14:val="none"/>
        </w:rPr>
        <w:t>217-236</w:t>
      </w:r>
    </w:p>
    <w:p w14:paraId="3D1B406E" w14:textId="77777777" w:rsidR="00740AAF" w:rsidRPr="00740AAF" w:rsidRDefault="00740AAF" w:rsidP="00023291">
      <w:pPr>
        <w:tabs>
          <w:tab w:val="left" w:pos="9638"/>
        </w:tabs>
        <w:spacing w:after="0" w:line="240" w:lineRule="auto"/>
        <w:rPr>
          <w:rFonts w:ascii="Times New Roman" w:eastAsia="Times New Roman" w:hAnsi="Times New Roman" w:cs="Times New Roman"/>
          <w:b/>
          <w:kern w:val="0"/>
          <w:sz w:val="24"/>
          <w:szCs w:val="24"/>
          <w:lang w:val="uk-UA"/>
          <w14:ligatures w14:val="none"/>
        </w:rPr>
      </w:pPr>
    </w:p>
    <w:p w14:paraId="41864219" w14:textId="77777777" w:rsidR="00B44B71" w:rsidRPr="00740AAF" w:rsidRDefault="00B44B71" w:rsidP="00023291">
      <w:pPr>
        <w:tabs>
          <w:tab w:val="left" w:pos="9638"/>
        </w:tabs>
        <w:spacing w:after="0" w:line="240" w:lineRule="auto"/>
        <w:jc w:val="right"/>
        <w:rPr>
          <w:rFonts w:ascii="Times New Roman" w:eastAsia="Times New Roman" w:hAnsi="Times New Roman" w:cs="Times New Roman"/>
          <w:b/>
          <w:bCs/>
          <w:kern w:val="0"/>
          <w:sz w:val="24"/>
          <w:szCs w:val="24"/>
          <w:lang w:val="uk-UA"/>
          <w14:ligatures w14:val="none"/>
        </w:rPr>
      </w:pPr>
      <w:r w:rsidRPr="00740AAF">
        <w:rPr>
          <w:rFonts w:ascii="Times New Roman" w:eastAsia="Times New Roman" w:hAnsi="Times New Roman" w:cs="Times New Roman"/>
          <w:b/>
          <w:bCs/>
          <w:kern w:val="0"/>
          <w:sz w:val="24"/>
          <w:szCs w:val="24"/>
          <w:lang w:val="uk-UA"/>
          <w14:ligatures w14:val="none"/>
        </w:rPr>
        <w:t>Лідія Паращук,</w:t>
      </w:r>
    </w:p>
    <w:p w14:paraId="56A28B94" w14:textId="77777777" w:rsidR="00B44B71" w:rsidRPr="00740AAF" w:rsidRDefault="00B44B71" w:rsidP="00023291">
      <w:pPr>
        <w:tabs>
          <w:tab w:val="left" w:pos="9638"/>
        </w:tabs>
        <w:spacing w:after="0" w:line="240" w:lineRule="auto"/>
        <w:jc w:val="right"/>
        <w:rPr>
          <w:rFonts w:ascii="Times New Roman" w:eastAsia="Times New Roman" w:hAnsi="Times New Roman" w:cs="Times New Roman"/>
          <w:kern w:val="0"/>
          <w:sz w:val="24"/>
          <w:szCs w:val="24"/>
          <w:lang w:val="uk-UA"/>
          <w14:ligatures w14:val="none"/>
        </w:rPr>
      </w:pPr>
      <w:r w:rsidRPr="00740AAF">
        <w:rPr>
          <w:rFonts w:ascii="Times New Roman" w:eastAsia="Times New Roman" w:hAnsi="Times New Roman" w:cs="Times New Roman"/>
          <w:b/>
          <w:bCs/>
          <w:kern w:val="0"/>
          <w:sz w:val="24"/>
          <w:szCs w:val="24"/>
          <w:lang w:val="uk-UA"/>
          <w14:ligatures w14:val="none"/>
        </w:rPr>
        <w:t xml:space="preserve"> </w:t>
      </w:r>
      <w:r w:rsidRPr="00740AAF">
        <w:rPr>
          <w:rFonts w:ascii="Times New Roman" w:eastAsia="Times New Roman" w:hAnsi="Times New Roman" w:cs="Times New Roman"/>
          <w:kern w:val="0"/>
          <w:sz w:val="24"/>
          <w:szCs w:val="24"/>
          <w:lang w:val="uk-UA"/>
          <w14:ligatures w14:val="none"/>
        </w:rPr>
        <w:t>кандидат технічних наук, доцент</w:t>
      </w:r>
    </w:p>
    <w:p w14:paraId="34D18615" w14:textId="77777777" w:rsidR="00B44B71" w:rsidRPr="00740AAF" w:rsidRDefault="00B44B71" w:rsidP="00023291">
      <w:pPr>
        <w:tabs>
          <w:tab w:val="left" w:pos="9638"/>
        </w:tabs>
        <w:spacing w:after="0" w:line="240" w:lineRule="auto"/>
        <w:jc w:val="right"/>
        <w:rPr>
          <w:rFonts w:ascii="Times New Roman" w:eastAsia="Times New Roman" w:hAnsi="Times New Roman" w:cs="Times New Roman"/>
          <w:kern w:val="0"/>
          <w:sz w:val="24"/>
          <w:szCs w:val="24"/>
          <w:lang w:val="uk-UA"/>
          <w14:ligatures w14:val="none"/>
        </w:rPr>
      </w:pPr>
      <w:r w:rsidRPr="00740AAF">
        <w:rPr>
          <w:rFonts w:ascii="Times New Roman" w:eastAsia="Times New Roman" w:hAnsi="Times New Roman" w:cs="Times New Roman"/>
          <w:b/>
          <w:bCs/>
          <w:kern w:val="0"/>
          <w:sz w:val="24"/>
          <w:szCs w:val="24"/>
          <w:lang w:val="uk-UA"/>
          <w14:ligatures w14:val="none"/>
        </w:rPr>
        <w:t xml:space="preserve"> </w:t>
      </w:r>
      <w:r w:rsidRPr="00740AAF">
        <w:rPr>
          <w:rFonts w:ascii="Times New Roman" w:eastAsia="Times New Roman" w:hAnsi="Times New Roman" w:cs="Times New Roman"/>
          <w:kern w:val="0"/>
          <w:sz w:val="24"/>
          <w:szCs w:val="24"/>
          <w:lang w:val="ru-RU"/>
          <w14:ligatures w14:val="none"/>
        </w:rPr>
        <w:t>Національн</w:t>
      </w:r>
      <w:r w:rsidRPr="00740AAF">
        <w:rPr>
          <w:rFonts w:ascii="Times New Roman" w:eastAsia="Times New Roman" w:hAnsi="Times New Roman" w:cs="Times New Roman"/>
          <w:kern w:val="0"/>
          <w:sz w:val="24"/>
          <w:szCs w:val="24"/>
          <w:lang w:val="uk-UA"/>
          <w14:ligatures w14:val="none"/>
        </w:rPr>
        <w:t>а</w:t>
      </w:r>
      <w:r w:rsidRPr="00740AAF">
        <w:rPr>
          <w:rFonts w:ascii="Times New Roman" w:eastAsia="Times New Roman" w:hAnsi="Times New Roman" w:cs="Times New Roman"/>
          <w:kern w:val="0"/>
          <w:sz w:val="24"/>
          <w:szCs w:val="24"/>
          <w:lang w:val="ru-RU"/>
          <w14:ligatures w14:val="none"/>
        </w:rPr>
        <w:t xml:space="preserve"> академі</w:t>
      </w:r>
      <w:r w:rsidRPr="00740AAF">
        <w:rPr>
          <w:rFonts w:ascii="Times New Roman" w:eastAsia="Times New Roman" w:hAnsi="Times New Roman" w:cs="Times New Roman"/>
          <w:kern w:val="0"/>
          <w:sz w:val="24"/>
          <w:szCs w:val="24"/>
          <w:lang w:val="uk-UA"/>
          <w14:ligatures w14:val="none"/>
        </w:rPr>
        <w:t xml:space="preserve">я </w:t>
      </w:r>
      <w:r w:rsidRPr="00740AAF">
        <w:rPr>
          <w:rFonts w:ascii="Times New Roman" w:eastAsia="Times New Roman" w:hAnsi="Times New Roman" w:cs="Times New Roman"/>
          <w:kern w:val="0"/>
          <w:sz w:val="24"/>
          <w:szCs w:val="24"/>
          <w:lang w:val="ru-RU"/>
          <w14:ligatures w14:val="none"/>
        </w:rPr>
        <w:t xml:space="preserve">сухопутних військ </w:t>
      </w:r>
    </w:p>
    <w:p w14:paraId="65119AE2" w14:textId="77777777" w:rsidR="00B44B71" w:rsidRPr="00740AAF" w:rsidRDefault="00B44B71" w:rsidP="00023291">
      <w:pPr>
        <w:tabs>
          <w:tab w:val="left" w:pos="9638"/>
        </w:tabs>
        <w:spacing w:after="0" w:line="240" w:lineRule="auto"/>
        <w:jc w:val="right"/>
        <w:rPr>
          <w:rFonts w:ascii="Times New Roman" w:eastAsia="Times New Roman" w:hAnsi="Times New Roman" w:cs="Times New Roman"/>
          <w:b/>
          <w:bCs/>
          <w:kern w:val="0"/>
          <w:sz w:val="24"/>
          <w:szCs w:val="24"/>
          <w:lang w:val="uk-UA"/>
          <w14:ligatures w14:val="none"/>
        </w:rPr>
      </w:pPr>
      <w:r w:rsidRPr="00740AAF">
        <w:rPr>
          <w:rFonts w:ascii="Times New Roman" w:eastAsia="Times New Roman" w:hAnsi="Times New Roman" w:cs="Times New Roman"/>
          <w:kern w:val="0"/>
          <w:sz w:val="24"/>
          <w:szCs w:val="24"/>
          <w:lang w:val="ru-RU"/>
          <w14:ligatures w14:val="none"/>
        </w:rPr>
        <w:t>імені гетьмана Петра Сагайдачного</w:t>
      </w:r>
      <w:r w:rsidRPr="00740AAF">
        <w:rPr>
          <w:rFonts w:ascii="Times New Roman" w:eastAsia="Times New Roman" w:hAnsi="Times New Roman" w:cs="Times New Roman"/>
          <w:kern w:val="0"/>
          <w:sz w:val="24"/>
          <w:szCs w:val="24"/>
          <w:lang w:val="uk-UA"/>
          <w14:ligatures w14:val="none"/>
        </w:rPr>
        <w:t>, м. Львів</w:t>
      </w:r>
    </w:p>
    <w:p w14:paraId="6F6FC656" w14:textId="77777777" w:rsidR="00B44B71" w:rsidRPr="00740AAF" w:rsidRDefault="00B44B71" w:rsidP="00023291">
      <w:pPr>
        <w:tabs>
          <w:tab w:val="left" w:pos="9638"/>
        </w:tabs>
        <w:spacing w:after="0" w:line="240" w:lineRule="auto"/>
        <w:jc w:val="right"/>
        <w:rPr>
          <w:rFonts w:ascii="Times New Roman" w:eastAsia="Times New Roman" w:hAnsi="Times New Roman" w:cs="Times New Roman"/>
          <w:b/>
          <w:bCs/>
          <w:kern w:val="0"/>
          <w:sz w:val="24"/>
          <w:szCs w:val="24"/>
          <w:lang w:val="uk-UA"/>
          <w14:ligatures w14:val="none"/>
        </w:rPr>
      </w:pPr>
      <w:r w:rsidRPr="00740AAF">
        <w:rPr>
          <w:rFonts w:ascii="Times New Roman" w:eastAsia="Calibri" w:hAnsi="Times New Roman" w:cs="Times New Roman"/>
          <w:bCs/>
          <w:color w:val="000000"/>
          <w:kern w:val="0"/>
          <w:sz w:val="24"/>
          <w:szCs w:val="24"/>
          <w:lang w:val="uk-UA"/>
          <w14:ligatures w14:val="none"/>
        </w:rPr>
        <w:t>https://orcid.org/0000-0002-4049-2033</w:t>
      </w:r>
    </w:p>
    <w:p w14:paraId="2E18C336" w14:textId="77777777" w:rsidR="00B44B71" w:rsidRPr="00740AAF" w:rsidRDefault="00B44B71" w:rsidP="00023291">
      <w:pPr>
        <w:tabs>
          <w:tab w:val="left" w:pos="9638"/>
        </w:tabs>
        <w:spacing w:after="0" w:line="240" w:lineRule="auto"/>
        <w:jc w:val="right"/>
        <w:rPr>
          <w:rFonts w:ascii="Times New Roman" w:eastAsia="Times New Roman" w:hAnsi="Times New Roman" w:cs="Times New Roman"/>
          <w:b/>
          <w:bCs/>
          <w:kern w:val="0"/>
          <w:sz w:val="24"/>
          <w:szCs w:val="24"/>
          <w:lang w:val="uk-UA"/>
          <w14:ligatures w14:val="none"/>
        </w:rPr>
      </w:pPr>
      <w:r w:rsidRPr="00740AAF">
        <w:rPr>
          <w:rFonts w:ascii="Times New Roman" w:eastAsia="Times New Roman" w:hAnsi="Times New Roman" w:cs="Times New Roman"/>
          <w:b/>
          <w:bCs/>
          <w:kern w:val="0"/>
          <w:sz w:val="24"/>
          <w:szCs w:val="24"/>
          <w:lang w:val="ru-RU"/>
          <w14:ligatures w14:val="none"/>
        </w:rPr>
        <w:t>Любомира Одосій</w:t>
      </w:r>
      <w:r w:rsidRPr="00740AAF">
        <w:rPr>
          <w:rFonts w:ascii="Times New Roman" w:eastAsia="Times New Roman" w:hAnsi="Times New Roman" w:cs="Times New Roman"/>
          <w:b/>
          <w:bCs/>
          <w:kern w:val="0"/>
          <w:sz w:val="24"/>
          <w:szCs w:val="24"/>
          <w:lang w:val="uk-UA"/>
          <w14:ligatures w14:val="none"/>
        </w:rPr>
        <w:t>,</w:t>
      </w:r>
    </w:p>
    <w:p w14:paraId="0705ACBD" w14:textId="77777777" w:rsidR="00B44B71" w:rsidRPr="00740AAF" w:rsidRDefault="00B44B71" w:rsidP="00023291">
      <w:pPr>
        <w:tabs>
          <w:tab w:val="left" w:pos="9638"/>
        </w:tabs>
        <w:spacing w:after="0" w:line="240" w:lineRule="auto"/>
        <w:jc w:val="right"/>
        <w:rPr>
          <w:rFonts w:ascii="Times New Roman" w:eastAsia="Times New Roman" w:hAnsi="Times New Roman" w:cs="Times New Roman"/>
          <w:kern w:val="0"/>
          <w:sz w:val="24"/>
          <w:szCs w:val="24"/>
          <w:lang w:val="uk-UA"/>
          <w14:ligatures w14:val="none"/>
        </w:rPr>
      </w:pPr>
      <w:r w:rsidRPr="00740AAF">
        <w:rPr>
          <w:rFonts w:ascii="Times New Roman" w:eastAsia="Times New Roman" w:hAnsi="Times New Roman" w:cs="Times New Roman"/>
          <w:b/>
          <w:bCs/>
          <w:kern w:val="0"/>
          <w:sz w:val="24"/>
          <w:szCs w:val="24"/>
          <w:lang w:val="ru-RU"/>
          <w14:ligatures w14:val="none"/>
        </w:rPr>
        <w:t xml:space="preserve"> </w:t>
      </w:r>
      <w:r w:rsidRPr="00740AAF">
        <w:rPr>
          <w:rFonts w:ascii="Times New Roman" w:eastAsia="Times New Roman" w:hAnsi="Times New Roman" w:cs="Times New Roman"/>
          <w:kern w:val="0"/>
          <w:sz w:val="24"/>
          <w:szCs w:val="24"/>
          <w:lang w:val="ru-RU"/>
          <w14:ligatures w14:val="none"/>
        </w:rPr>
        <w:t>кандидат хімічних наук, доцент</w:t>
      </w:r>
    </w:p>
    <w:p w14:paraId="7FC07206" w14:textId="77777777" w:rsidR="00B44B71" w:rsidRPr="00740AAF" w:rsidRDefault="00B44B71" w:rsidP="00023291">
      <w:pPr>
        <w:tabs>
          <w:tab w:val="left" w:pos="9638"/>
        </w:tabs>
        <w:spacing w:after="0" w:line="240" w:lineRule="auto"/>
        <w:jc w:val="right"/>
        <w:rPr>
          <w:rFonts w:ascii="Times New Roman" w:eastAsia="Times New Roman" w:hAnsi="Times New Roman" w:cs="Times New Roman"/>
          <w:kern w:val="0"/>
          <w:sz w:val="24"/>
          <w:szCs w:val="24"/>
          <w:lang w:val="uk-UA"/>
          <w14:ligatures w14:val="none"/>
        </w:rPr>
      </w:pPr>
      <w:r w:rsidRPr="00740AAF">
        <w:rPr>
          <w:rFonts w:ascii="Times New Roman" w:eastAsia="Times New Roman" w:hAnsi="Times New Roman" w:cs="Times New Roman"/>
          <w:b/>
          <w:bCs/>
          <w:kern w:val="0"/>
          <w:sz w:val="24"/>
          <w:szCs w:val="24"/>
          <w:lang w:val="uk-UA"/>
          <w14:ligatures w14:val="none"/>
        </w:rPr>
        <w:t xml:space="preserve"> </w:t>
      </w:r>
      <w:r w:rsidRPr="00740AAF">
        <w:rPr>
          <w:rFonts w:ascii="Times New Roman" w:eastAsia="Times New Roman" w:hAnsi="Times New Roman" w:cs="Times New Roman"/>
          <w:kern w:val="0"/>
          <w:sz w:val="24"/>
          <w:szCs w:val="24"/>
          <w:lang w:val="ru-RU"/>
          <w14:ligatures w14:val="none"/>
        </w:rPr>
        <w:t>Національн</w:t>
      </w:r>
      <w:r w:rsidRPr="00740AAF">
        <w:rPr>
          <w:rFonts w:ascii="Times New Roman" w:eastAsia="Times New Roman" w:hAnsi="Times New Roman" w:cs="Times New Roman"/>
          <w:kern w:val="0"/>
          <w:sz w:val="24"/>
          <w:szCs w:val="24"/>
          <w:lang w:val="uk-UA"/>
          <w14:ligatures w14:val="none"/>
        </w:rPr>
        <w:t>а</w:t>
      </w:r>
      <w:r w:rsidRPr="00740AAF">
        <w:rPr>
          <w:rFonts w:ascii="Times New Roman" w:eastAsia="Times New Roman" w:hAnsi="Times New Roman" w:cs="Times New Roman"/>
          <w:kern w:val="0"/>
          <w:sz w:val="24"/>
          <w:szCs w:val="24"/>
          <w:lang w:val="ru-RU"/>
          <w14:ligatures w14:val="none"/>
        </w:rPr>
        <w:t xml:space="preserve"> академі</w:t>
      </w:r>
      <w:r w:rsidRPr="00740AAF">
        <w:rPr>
          <w:rFonts w:ascii="Times New Roman" w:eastAsia="Times New Roman" w:hAnsi="Times New Roman" w:cs="Times New Roman"/>
          <w:kern w:val="0"/>
          <w:sz w:val="24"/>
          <w:szCs w:val="24"/>
          <w:lang w:val="uk-UA"/>
          <w14:ligatures w14:val="none"/>
        </w:rPr>
        <w:t xml:space="preserve">я </w:t>
      </w:r>
      <w:r w:rsidRPr="00740AAF">
        <w:rPr>
          <w:rFonts w:ascii="Times New Roman" w:eastAsia="Times New Roman" w:hAnsi="Times New Roman" w:cs="Times New Roman"/>
          <w:kern w:val="0"/>
          <w:sz w:val="24"/>
          <w:szCs w:val="24"/>
          <w:lang w:val="ru-RU"/>
          <w14:ligatures w14:val="none"/>
        </w:rPr>
        <w:t>сухопутних військ</w:t>
      </w:r>
    </w:p>
    <w:p w14:paraId="14E34632" w14:textId="77777777" w:rsidR="00B44B71" w:rsidRPr="00740AAF" w:rsidRDefault="00B44B71" w:rsidP="00023291">
      <w:pPr>
        <w:tabs>
          <w:tab w:val="left" w:pos="9638"/>
        </w:tabs>
        <w:spacing w:after="0" w:line="240" w:lineRule="auto"/>
        <w:jc w:val="right"/>
        <w:rPr>
          <w:rFonts w:ascii="Times New Roman" w:eastAsia="Times New Roman" w:hAnsi="Times New Roman" w:cs="Times New Roman"/>
          <w:kern w:val="0"/>
          <w:sz w:val="24"/>
          <w:szCs w:val="24"/>
          <w:lang w:val="uk-UA"/>
          <w14:ligatures w14:val="none"/>
        </w:rPr>
      </w:pPr>
      <w:r w:rsidRPr="00740AAF">
        <w:rPr>
          <w:rFonts w:ascii="Times New Roman" w:eastAsia="Times New Roman" w:hAnsi="Times New Roman" w:cs="Times New Roman"/>
          <w:kern w:val="0"/>
          <w:sz w:val="24"/>
          <w:szCs w:val="24"/>
          <w:lang w:val="ru-RU"/>
          <w14:ligatures w14:val="none"/>
        </w:rPr>
        <w:t xml:space="preserve"> імені гетьмана Петра Сагайдачного</w:t>
      </w:r>
      <w:r w:rsidRPr="00740AAF">
        <w:rPr>
          <w:rFonts w:ascii="Times New Roman" w:eastAsia="Times New Roman" w:hAnsi="Times New Roman" w:cs="Times New Roman"/>
          <w:kern w:val="0"/>
          <w:sz w:val="24"/>
          <w:szCs w:val="24"/>
          <w:lang w:val="uk-UA"/>
          <w14:ligatures w14:val="none"/>
        </w:rPr>
        <w:t>, м. Львів</w:t>
      </w:r>
    </w:p>
    <w:p w14:paraId="0D4DDBE4" w14:textId="77777777" w:rsidR="00B8709F" w:rsidRPr="00740AAF" w:rsidRDefault="00B44B71" w:rsidP="00023291">
      <w:pPr>
        <w:tabs>
          <w:tab w:val="left" w:pos="9638"/>
        </w:tabs>
        <w:spacing w:after="0" w:line="240" w:lineRule="auto"/>
        <w:jc w:val="right"/>
        <w:rPr>
          <w:rFonts w:ascii="Times New Roman" w:eastAsia="Calibri" w:hAnsi="Times New Roman" w:cs="Times New Roman"/>
          <w:bCs/>
          <w:color w:val="000000"/>
          <w:kern w:val="0"/>
          <w:sz w:val="24"/>
          <w:szCs w:val="24"/>
          <w:lang w:val="uk-UA"/>
          <w14:ligatures w14:val="none"/>
        </w:rPr>
      </w:pPr>
      <w:r w:rsidRPr="00740AAF">
        <w:rPr>
          <w:rFonts w:ascii="Times New Roman" w:eastAsia="Calibri" w:hAnsi="Times New Roman" w:cs="Times New Roman"/>
          <w:bCs/>
          <w:color w:val="000000"/>
          <w:kern w:val="0"/>
          <w:sz w:val="24"/>
          <w:szCs w:val="24"/>
          <w:lang w:val="uk-UA"/>
          <w14:ligatures w14:val="none"/>
        </w:rPr>
        <w:t xml:space="preserve"> https://orcid.org/ 0000-0003-2438-7759</w:t>
      </w:r>
    </w:p>
    <w:p w14:paraId="5BEC2BFA" w14:textId="77777777" w:rsidR="00B44B71" w:rsidRPr="00B44B71" w:rsidRDefault="00B44B71" w:rsidP="00023291">
      <w:pPr>
        <w:tabs>
          <w:tab w:val="left" w:pos="9638"/>
        </w:tabs>
        <w:spacing w:after="0" w:line="240" w:lineRule="auto"/>
        <w:jc w:val="center"/>
        <w:rPr>
          <w:rFonts w:ascii="Times New Roman" w:eastAsia="Times New Roman" w:hAnsi="Times New Roman" w:cs="Times New Roman"/>
          <w:b/>
          <w:bCs/>
          <w:noProof/>
          <w:kern w:val="0"/>
          <w:sz w:val="24"/>
          <w:szCs w:val="24"/>
          <w:lang w:val="uk-UA"/>
          <w14:ligatures w14:val="none"/>
        </w:rPr>
      </w:pPr>
    </w:p>
    <w:p w14:paraId="0E600278" w14:textId="77777777" w:rsidR="00B44B71" w:rsidRPr="00B44B71" w:rsidRDefault="00B44B71" w:rsidP="00023291">
      <w:pPr>
        <w:tabs>
          <w:tab w:val="left" w:pos="9638"/>
        </w:tabs>
        <w:spacing w:after="0" w:line="240" w:lineRule="auto"/>
        <w:jc w:val="center"/>
        <w:rPr>
          <w:rFonts w:ascii="Times New Roman" w:eastAsia="Times New Roman" w:hAnsi="Times New Roman" w:cs="Times New Roman"/>
          <w:b/>
          <w:bCs/>
          <w:noProof/>
          <w:kern w:val="0"/>
          <w:sz w:val="24"/>
          <w:szCs w:val="24"/>
          <w:lang w:val="uk-UA"/>
          <w14:ligatures w14:val="none"/>
        </w:rPr>
      </w:pPr>
      <w:r w:rsidRPr="00B44B71">
        <w:rPr>
          <w:rFonts w:ascii="Times New Roman" w:eastAsia="Times New Roman" w:hAnsi="Times New Roman" w:cs="Times New Roman"/>
          <w:b/>
          <w:bCs/>
          <w:noProof/>
          <w:kern w:val="0"/>
          <w:sz w:val="24"/>
          <w:szCs w:val="24"/>
          <w:lang w:val="uk-UA"/>
          <w14:ligatures w14:val="none"/>
        </w:rPr>
        <w:t xml:space="preserve">ОСОБЛИВОСТІ РЕАЛІЗАЦІЇ ЗМІШАНОГО НАВЧАННЯ НА ОСНОВІ ЦИФРОВОГО ОСВІТНЬОГО СЕРЕДОВИЩА ЯК ІНСТРУМЕНТУ ВПРОВАДЖЕННЯ ІНДИВІДУАЛЬНОЇ ОСВІТНЬОЇ ТРАЕКТРОІЇ У СИСТЕМУ ПІДГОТОВКИ ВІЙСЬКОВИХ ФАХІВЦІВ </w:t>
      </w:r>
    </w:p>
    <w:p w14:paraId="144B779C"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kern w:val="0"/>
          <w:sz w:val="24"/>
          <w:szCs w:val="24"/>
          <w:lang w:val="uk-UA"/>
          <w14:ligatures w14:val="none"/>
        </w:rPr>
      </w:pPr>
    </w:p>
    <w:p w14:paraId="2E38502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bCs/>
          <w:i/>
          <w:noProof/>
          <w:kern w:val="0"/>
          <w:sz w:val="24"/>
          <w:szCs w:val="24"/>
          <w:lang w:val="uk-UA"/>
          <w14:ligatures w14:val="none"/>
        </w:rPr>
      </w:pPr>
      <w:r w:rsidRPr="00B44B71">
        <w:rPr>
          <w:rFonts w:ascii="Times New Roman" w:eastAsia="Times New Roman" w:hAnsi="Times New Roman" w:cs="Times New Roman"/>
          <w:b/>
          <w:bCs/>
          <w:i/>
          <w:noProof/>
          <w:kern w:val="0"/>
          <w:sz w:val="24"/>
          <w:szCs w:val="24"/>
          <w:lang w:val="uk-UA"/>
          <w14:ligatures w14:val="none"/>
        </w:rPr>
        <w:t>Анотація.</w:t>
      </w:r>
      <w:r w:rsidRPr="00B44B71">
        <w:rPr>
          <w:rFonts w:ascii="Times New Roman" w:eastAsia="Times New Roman" w:hAnsi="Times New Roman" w:cs="Times New Roman"/>
          <w:bCs/>
          <w:i/>
          <w:noProof/>
          <w:kern w:val="0"/>
          <w:sz w:val="24"/>
          <w:szCs w:val="24"/>
          <w:lang w:val="uk-UA"/>
          <w14:ligatures w14:val="none"/>
        </w:rPr>
        <w:t xml:space="preserve">У статті розглянуто особливості впровадження змішаного навчання у систему військової освіти на основі використання інформаційно-освітнього середовища </w:t>
      </w:r>
      <w:r w:rsidRPr="00B44B71">
        <w:rPr>
          <w:rFonts w:ascii="Times New Roman" w:eastAsia="Times New Roman" w:hAnsi="Times New Roman" w:cs="Times New Roman"/>
          <w:bCs/>
          <w:i/>
          <w:noProof/>
          <w:kern w:val="0"/>
          <w:sz w:val="24"/>
          <w:szCs w:val="24"/>
          <w14:ligatures w14:val="none"/>
        </w:rPr>
        <w:t>MOODLE</w:t>
      </w:r>
      <w:r w:rsidRPr="00B44B71">
        <w:rPr>
          <w:rFonts w:ascii="Times New Roman" w:eastAsia="Times New Roman" w:hAnsi="Times New Roman" w:cs="Times New Roman"/>
          <w:bCs/>
          <w:i/>
          <w:noProof/>
          <w:kern w:val="0"/>
          <w:sz w:val="24"/>
          <w:szCs w:val="24"/>
          <w:lang w:val="uk-UA"/>
          <w14:ligatures w14:val="none"/>
        </w:rPr>
        <w:t>. Проведено аналіз організаційно-методичних рішень щодо інтеграції дистанційної та аудиторної форм навчання, зокрема використання інструкцій до курсу, цифрового контенту лабораторних занять, тестових завдань із формувальним оцінюванням та електронного журналу. Визначено ключові аспекти використання змішаного навчання для підвищення ефективності підготовки майбутніх військових фахівців та формування їх професійних компетентностей.</w:t>
      </w:r>
    </w:p>
    <w:p w14:paraId="416694C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bCs/>
          <w:i/>
          <w:noProof/>
          <w:kern w:val="0"/>
          <w:sz w:val="24"/>
          <w:szCs w:val="24"/>
          <w:lang w:val="uk-UA"/>
          <w14:ligatures w14:val="none"/>
        </w:rPr>
      </w:pPr>
      <w:r w:rsidRPr="00B44B71">
        <w:rPr>
          <w:rFonts w:ascii="Times New Roman" w:eastAsia="Times New Roman" w:hAnsi="Times New Roman" w:cs="Times New Roman"/>
          <w:bCs/>
          <w:i/>
          <w:noProof/>
          <w:kern w:val="0"/>
          <w:sz w:val="24"/>
          <w:szCs w:val="24"/>
          <w:lang w:val="uk-UA"/>
          <w14:ligatures w14:val="none"/>
        </w:rPr>
        <w:t>Здійснено аналіз ролі інформаційно-освітнього середовища у трансформації традиційної моделі підготовки військових фахівців, що дозволяє поєднати самостійну дистанційну підготовку із практичною діяльністю під час аудиторних занять. Обґрунтовано, що впровадження покрокових інструкцій та відеофайлів-гайденсів для лабораторних робіт сприяє попередній підготовці здобувачів, оптимізації часу роботи у лабораторії та підвищенню якості практичної підготовки. Встановлено, що розміщення теоретичних матеріалів і задачників у цифровому середовищі забезпечує безперервність навчання, диференціацію освітнього процесу та формування індивідуальних освітніх траєкторій.</w:t>
      </w:r>
    </w:p>
    <w:p w14:paraId="1767204B"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bCs/>
          <w:i/>
          <w:noProof/>
          <w:kern w:val="0"/>
          <w:sz w:val="24"/>
          <w:szCs w:val="24"/>
          <w:lang w:val="uk-UA"/>
          <w14:ligatures w14:val="none"/>
        </w:rPr>
      </w:pPr>
      <w:r w:rsidRPr="00B44B71">
        <w:rPr>
          <w:rFonts w:ascii="Times New Roman" w:eastAsia="Times New Roman" w:hAnsi="Times New Roman" w:cs="Times New Roman"/>
          <w:bCs/>
          <w:i/>
          <w:noProof/>
          <w:kern w:val="0"/>
          <w:sz w:val="24"/>
          <w:szCs w:val="24"/>
          <w:lang w:val="uk-UA"/>
          <w14:ligatures w14:val="none"/>
        </w:rPr>
        <w:t>Описано, що використання тестових завдань із можливістю багаторазового проходження та зарахуванням кращого результату до електронного журналу забезпечує реалізацію формувального оцінювання, підвищує мотивацію здобувачів освіти та створює умови для постійного моніторингу навчальних досягнень. Прогнозовано, що такі інструменти сприяють розвитку самостійності, відповідальності за результати навчання та формуванню професійного мислення майбутніх військових фахівців.</w:t>
      </w:r>
    </w:p>
    <w:p w14:paraId="6A4E89F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bCs/>
          <w:i/>
          <w:noProof/>
          <w:kern w:val="0"/>
          <w:sz w:val="24"/>
          <w:szCs w:val="24"/>
          <w:lang w:val="uk-UA"/>
          <w14:ligatures w14:val="none"/>
        </w:rPr>
      </w:pPr>
      <w:r w:rsidRPr="00B44B71">
        <w:rPr>
          <w:rFonts w:ascii="Times New Roman" w:eastAsia="Times New Roman" w:hAnsi="Times New Roman" w:cs="Times New Roman"/>
          <w:bCs/>
          <w:i/>
          <w:noProof/>
          <w:kern w:val="0"/>
          <w:sz w:val="24"/>
          <w:szCs w:val="24"/>
          <w:lang w:val="uk-UA"/>
          <w14:ligatures w14:val="none"/>
        </w:rPr>
        <w:t>Наукова новизна роботи полягає у комплексному підході до впровадження змішаного навчання у військову освіту шляхом інтеграції цифрових освітніх ресурсів, відеоінструкцій лабораторних занять, адаптивного тестування та електронного моніторингу результатів навчання. Практичне значення дослідження полягає у розробленні шляхів створення цифрового освітнього середовища змішаного навчання для технічних дисциплін військової освіти, що сприяє підвищенню ефективності підготовки та оптимізації використання навчально-матеріальної бази.</w:t>
      </w:r>
    </w:p>
    <w:p w14:paraId="6210268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bCs/>
          <w:noProof/>
          <w:kern w:val="0"/>
          <w:sz w:val="28"/>
          <w:szCs w:val="28"/>
          <w:lang w:val="uk-UA"/>
          <w14:ligatures w14:val="none"/>
        </w:rPr>
      </w:pPr>
      <w:r w:rsidRPr="00B44B71">
        <w:rPr>
          <w:rFonts w:ascii="Times New Roman" w:eastAsia="Times New Roman" w:hAnsi="Times New Roman" w:cs="Times New Roman"/>
          <w:bCs/>
          <w:i/>
          <w:noProof/>
          <w:kern w:val="0"/>
          <w:sz w:val="24"/>
          <w:szCs w:val="24"/>
          <w:lang w:val="uk-UA"/>
          <w14:ligatures w14:val="none"/>
        </w:rPr>
        <w:t xml:space="preserve">Перспективи подальших досліджень пов’язані з розробленням адаптивних моделей змішаного навчання, інтеграцією симуляційних технологій та віртуальних лабораторій, </w:t>
      </w:r>
      <w:r w:rsidRPr="00B44B71">
        <w:rPr>
          <w:rFonts w:ascii="Times New Roman" w:eastAsia="Times New Roman" w:hAnsi="Times New Roman" w:cs="Times New Roman"/>
          <w:bCs/>
          <w:i/>
          <w:noProof/>
          <w:kern w:val="0"/>
          <w:sz w:val="24"/>
          <w:szCs w:val="24"/>
          <w:lang w:val="uk-UA"/>
          <w14:ligatures w14:val="none"/>
        </w:rPr>
        <w:lastRenderedPageBreak/>
        <w:t>використанням аналітики навчальних даних, а також створенням інтелектуальних освітніх середовищ для індивідуалізації підготовки військових фахівців в умовах цифрової трансформації військової освіти.</w:t>
      </w:r>
    </w:p>
    <w:p w14:paraId="20A288F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iCs/>
          <w:noProof/>
          <w:kern w:val="0"/>
          <w:sz w:val="24"/>
          <w:szCs w:val="24"/>
          <w:lang w:val="uk-UA"/>
          <w14:ligatures w14:val="none"/>
        </w:rPr>
      </w:pPr>
      <w:r w:rsidRPr="00B44B71">
        <w:rPr>
          <w:rFonts w:ascii="Times New Roman" w:eastAsia="Times New Roman" w:hAnsi="Times New Roman" w:cs="Times New Roman"/>
          <w:b/>
          <w:bCs/>
          <w:i/>
          <w:iCs/>
          <w:noProof/>
          <w:kern w:val="0"/>
          <w:sz w:val="24"/>
          <w:szCs w:val="24"/>
          <w:lang w:val="uk-UA"/>
          <w14:ligatures w14:val="none"/>
        </w:rPr>
        <w:t>Ключові слова:</w:t>
      </w:r>
      <w:r w:rsidRPr="00B44B71">
        <w:rPr>
          <w:rFonts w:ascii="Times New Roman" w:eastAsia="Times New Roman" w:hAnsi="Times New Roman" w:cs="Times New Roman"/>
          <w:i/>
          <w:iCs/>
          <w:noProof/>
          <w:kern w:val="0"/>
          <w:sz w:val="24"/>
          <w:szCs w:val="24"/>
          <w:lang w:val="uk-UA"/>
          <w14:ligatures w14:val="none"/>
        </w:rPr>
        <w:t xml:space="preserve"> індивідуальна освітня траекторія, змішане навчання, цифрове середовище, </w:t>
      </w:r>
      <w:r w:rsidRPr="00B44B71">
        <w:rPr>
          <w:rFonts w:ascii="Times New Roman" w:eastAsia="Times New Roman" w:hAnsi="Times New Roman" w:cs="Times New Roman"/>
          <w:i/>
          <w:iCs/>
          <w:noProof/>
          <w:kern w:val="0"/>
          <w:sz w:val="24"/>
          <w:szCs w:val="24"/>
          <w14:ligatures w14:val="none"/>
        </w:rPr>
        <w:t>MOODLE</w:t>
      </w:r>
      <w:r w:rsidRPr="00B44B71">
        <w:rPr>
          <w:rFonts w:ascii="Times New Roman" w:eastAsia="Times New Roman" w:hAnsi="Times New Roman" w:cs="Times New Roman"/>
          <w:i/>
          <w:iCs/>
          <w:noProof/>
          <w:kern w:val="0"/>
          <w:sz w:val="24"/>
          <w:szCs w:val="24"/>
          <w:lang w:val="uk-UA"/>
          <w14:ligatures w14:val="none"/>
        </w:rPr>
        <w:t>, якість освіти, вищий військових навчальний заклад, компетентнісний підхід, саморозвиток впродовж життя.</w:t>
      </w:r>
    </w:p>
    <w:p w14:paraId="166D64F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iCs/>
          <w:noProof/>
          <w:kern w:val="0"/>
          <w:sz w:val="24"/>
          <w:szCs w:val="24"/>
          <w:lang w:val="uk-UA"/>
          <w14:ligatures w14:val="none"/>
        </w:rPr>
      </w:pPr>
    </w:p>
    <w:p w14:paraId="6E97EF2D" w14:textId="77777777" w:rsidR="00C653F9" w:rsidRPr="00C653F9" w:rsidRDefault="00C653F9" w:rsidP="00C653F9">
      <w:pPr>
        <w:suppressAutoHyphens/>
        <w:spacing w:after="0" w:line="240" w:lineRule="auto"/>
        <w:jc w:val="right"/>
        <w:rPr>
          <w:rFonts w:ascii="Times New Roman" w:eastAsia="Calibri" w:hAnsi="Times New Roman" w:cs="Times New Roman"/>
          <w:b/>
          <w:bCs/>
          <w:color w:val="000000"/>
          <w:kern w:val="0"/>
          <w:sz w:val="24"/>
          <w:szCs w:val="24"/>
          <w:lang w:val="uk-UA"/>
          <w14:ligatures w14:val="none"/>
        </w:rPr>
      </w:pPr>
      <w:r w:rsidRPr="00C653F9">
        <w:rPr>
          <w:rFonts w:ascii="Times New Roman" w:eastAsia="Calibri" w:hAnsi="Times New Roman" w:cs="Times New Roman"/>
          <w:b/>
          <w:bCs/>
          <w:color w:val="000000"/>
          <w:kern w:val="0"/>
          <w:sz w:val="24"/>
          <w:szCs w:val="24"/>
          <w14:ligatures w14:val="none"/>
        </w:rPr>
        <w:t>Lidiia Parashchuk</w:t>
      </w:r>
      <w:r w:rsidRPr="00C653F9">
        <w:rPr>
          <w:rFonts w:ascii="Times New Roman" w:eastAsia="Calibri" w:hAnsi="Times New Roman" w:cs="Times New Roman"/>
          <w:b/>
          <w:bCs/>
          <w:color w:val="000000"/>
          <w:kern w:val="0"/>
          <w:sz w:val="24"/>
          <w:szCs w:val="24"/>
          <w:lang w:val="uk-UA"/>
          <w14:ligatures w14:val="none"/>
        </w:rPr>
        <w:t>,</w:t>
      </w:r>
    </w:p>
    <w:p w14:paraId="55BF7D8B" w14:textId="77777777" w:rsidR="00C653F9" w:rsidRPr="00953008" w:rsidRDefault="00C653F9" w:rsidP="00C653F9">
      <w:pPr>
        <w:suppressAutoHyphens/>
        <w:spacing w:after="0" w:line="240" w:lineRule="auto"/>
        <w:jc w:val="right"/>
        <w:rPr>
          <w:rFonts w:ascii="Times New Roman" w:eastAsia="Calibri" w:hAnsi="Times New Roman" w:cs="Times New Roman"/>
          <w:bCs/>
          <w:color w:val="000000"/>
          <w:kern w:val="0"/>
          <w:sz w:val="24"/>
          <w:szCs w:val="24"/>
          <w14:ligatures w14:val="none"/>
        </w:rPr>
      </w:pPr>
      <w:r w:rsidRPr="00C653F9">
        <w:rPr>
          <w:rFonts w:ascii="Times New Roman" w:eastAsia="Calibri" w:hAnsi="Times New Roman" w:cs="Times New Roman"/>
          <w:bCs/>
          <w:color w:val="000000"/>
          <w:kern w:val="0"/>
          <w:sz w:val="24"/>
          <w:szCs w:val="24"/>
          <w14:ligatures w14:val="none"/>
        </w:rPr>
        <w:t xml:space="preserve"> </w:t>
      </w:r>
      <w:r w:rsidRPr="00C653F9">
        <w:rPr>
          <w:rFonts w:ascii="Times New Roman" w:eastAsia="Calibri" w:hAnsi="Times New Roman" w:cs="Times New Roman"/>
          <w:bCs/>
          <w:color w:val="000000"/>
          <w:kern w:val="0"/>
          <w:sz w:val="24"/>
          <w:szCs w:val="24"/>
          <w:lang w:val="uk-UA"/>
          <w14:ligatures w14:val="none"/>
        </w:rPr>
        <w:t xml:space="preserve">PhD in </w:t>
      </w:r>
      <w:r w:rsidRPr="00953008">
        <w:rPr>
          <w:rFonts w:ascii="Times New Roman" w:eastAsia="Calibri" w:hAnsi="Times New Roman" w:cs="Times New Roman"/>
          <w:bCs/>
          <w:color w:val="000000"/>
          <w:kern w:val="0"/>
          <w:sz w:val="24"/>
          <w:szCs w:val="24"/>
          <w14:ligatures w14:val="none"/>
        </w:rPr>
        <w:t xml:space="preserve">Technical </w:t>
      </w:r>
      <w:r w:rsidRPr="00C653F9">
        <w:rPr>
          <w:rFonts w:ascii="Times New Roman" w:eastAsia="Calibri" w:hAnsi="Times New Roman" w:cs="Times New Roman"/>
          <w:bCs/>
          <w:color w:val="000000"/>
          <w:kern w:val="0"/>
          <w:sz w:val="24"/>
          <w:szCs w:val="24"/>
          <w14:ligatures w14:val="none"/>
        </w:rPr>
        <w:t>S</w:t>
      </w:r>
      <w:r w:rsidRPr="00C653F9">
        <w:rPr>
          <w:rFonts w:ascii="Times New Roman" w:eastAsia="Calibri" w:hAnsi="Times New Roman" w:cs="Times New Roman"/>
          <w:bCs/>
          <w:color w:val="000000"/>
          <w:kern w:val="0"/>
          <w:sz w:val="24"/>
          <w:szCs w:val="24"/>
          <w:lang w:val="uk-UA"/>
          <w14:ligatures w14:val="none"/>
        </w:rPr>
        <w:t xml:space="preserve">ciences, </w:t>
      </w:r>
      <w:r w:rsidRPr="00953008">
        <w:rPr>
          <w:rFonts w:ascii="Times New Roman" w:eastAsia="Calibri" w:hAnsi="Times New Roman" w:cs="Times New Roman"/>
          <w:bCs/>
          <w:color w:val="000000"/>
          <w:kern w:val="0"/>
          <w:sz w:val="24"/>
          <w:szCs w:val="24"/>
          <w14:ligatures w14:val="none"/>
        </w:rPr>
        <w:t>Associate Professor</w:t>
      </w:r>
    </w:p>
    <w:p w14:paraId="2E40226D" w14:textId="77777777" w:rsidR="00C653F9" w:rsidRPr="00C653F9" w:rsidRDefault="00C653F9" w:rsidP="00C653F9">
      <w:pPr>
        <w:suppressAutoHyphens/>
        <w:spacing w:after="0" w:line="240" w:lineRule="auto"/>
        <w:jc w:val="right"/>
        <w:rPr>
          <w:rFonts w:ascii="Times New Roman" w:eastAsia="Calibri" w:hAnsi="Times New Roman" w:cs="Times New Roman"/>
          <w:bCs/>
          <w:color w:val="000000"/>
          <w:kern w:val="0"/>
          <w:sz w:val="24"/>
          <w:szCs w:val="24"/>
          <w:lang w:val="uk-UA"/>
          <w14:ligatures w14:val="none"/>
        </w:rPr>
      </w:pPr>
      <w:r w:rsidRPr="00C653F9">
        <w:rPr>
          <w:rFonts w:ascii="Times New Roman" w:eastAsia="Calibri" w:hAnsi="Times New Roman" w:cs="Times New Roman"/>
          <w:bCs/>
          <w:color w:val="000000"/>
          <w:kern w:val="0"/>
          <w:sz w:val="24"/>
          <w:szCs w:val="24"/>
          <w:lang w:val="uk-UA"/>
          <w14:ligatures w14:val="none"/>
        </w:rPr>
        <w:t xml:space="preserve"> Hetman Petro Sahaidachnyi National Army Academy, </w:t>
      </w:r>
      <w:r w:rsidRPr="00C653F9">
        <w:rPr>
          <w:rFonts w:ascii="Times New Roman" w:eastAsia="Calibri" w:hAnsi="Times New Roman" w:cs="Times New Roman"/>
          <w:bCs/>
          <w:color w:val="000000"/>
          <w:kern w:val="0"/>
          <w:sz w:val="24"/>
          <w:szCs w:val="24"/>
          <w14:ligatures w14:val="none"/>
        </w:rPr>
        <w:t>Lviv</w:t>
      </w:r>
    </w:p>
    <w:p w14:paraId="6D757CC5" w14:textId="77777777" w:rsidR="00C653F9" w:rsidRPr="00C653F9" w:rsidRDefault="00C653F9" w:rsidP="00C653F9">
      <w:pPr>
        <w:suppressAutoHyphens/>
        <w:spacing w:after="0" w:line="240" w:lineRule="auto"/>
        <w:jc w:val="right"/>
        <w:rPr>
          <w:rFonts w:ascii="Times New Roman" w:eastAsia="Calibri" w:hAnsi="Times New Roman" w:cs="Times New Roman"/>
          <w:b/>
          <w:bCs/>
          <w:color w:val="000000"/>
          <w:kern w:val="0"/>
          <w:sz w:val="24"/>
          <w:szCs w:val="24"/>
          <w:lang w:val="uk-UA"/>
          <w14:ligatures w14:val="none"/>
        </w:rPr>
      </w:pPr>
      <w:r w:rsidRPr="00C653F9">
        <w:rPr>
          <w:rFonts w:ascii="Times New Roman" w:eastAsia="Calibri" w:hAnsi="Times New Roman" w:cs="Times New Roman"/>
          <w:b/>
          <w:bCs/>
          <w:color w:val="000000"/>
          <w:kern w:val="0"/>
          <w:sz w:val="24"/>
          <w:szCs w:val="24"/>
          <w:lang w:val="uk-UA"/>
          <w14:ligatures w14:val="none"/>
        </w:rPr>
        <w:t>Liubomyra Odosii,</w:t>
      </w:r>
    </w:p>
    <w:p w14:paraId="4F409537" w14:textId="77777777" w:rsidR="00C653F9" w:rsidRPr="00C653F9" w:rsidRDefault="00C653F9" w:rsidP="00C653F9">
      <w:pPr>
        <w:suppressAutoHyphens/>
        <w:spacing w:after="0" w:line="240" w:lineRule="auto"/>
        <w:jc w:val="right"/>
        <w:rPr>
          <w:rFonts w:ascii="Times New Roman" w:eastAsia="Calibri" w:hAnsi="Times New Roman" w:cs="Times New Roman"/>
          <w:bCs/>
          <w:color w:val="000000"/>
          <w:kern w:val="0"/>
          <w:sz w:val="24"/>
          <w:szCs w:val="24"/>
          <w:lang w:val="uk-UA"/>
          <w14:ligatures w14:val="none"/>
        </w:rPr>
      </w:pPr>
      <w:r w:rsidRPr="00C653F9">
        <w:rPr>
          <w:rFonts w:ascii="Times New Roman" w:eastAsia="Calibri" w:hAnsi="Times New Roman" w:cs="Times New Roman"/>
          <w:b/>
          <w:bCs/>
          <w:color w:val="000000"/>
          <w:kern w:val="0"/>
          <w:sz w:val="24"/>
          <w:szCs w:val="24"/>
          <w:lang w:val="uk-UA"/>
          <w14:ligatures w14:val="none"/>
        </w:rPr>
        <w:t xml:space="preserve"> </w:t>
      </w:r>
      <w:r w:rsidRPr="00C653F9">
        <w:rPr>
          <w:rFonts w:ascii="Times New Roman" w:eastAsia="Calibri" w:hAnsi="Times New Roman" w:cs="Times New Roman"/>
          <w:bCs/>
          <w:color w:val="000000"/>
          <w:kern w:val="0"/>
          <w:sz w:val="24"/>
          <w:szCs w:val="24"/>
          <w:lang w:val="uk-UA"/>
          <w14:ligatures w14:val="none"/>
        </w:rPr>
        <w:t xml:space="preserve">PhD in </w:t>
      </w:r>
      <w:r w:rsidRPr="00953008">
        <w:rPr>
          <w:rFonts w:ascii="Times New Roman" w:eastAsia="Calibri" w:hAnsi="Times New Roman" w:cs="Times New Roman"/>
          <w:bCs/>
          <w:color w:val="000000"/>
          <w:kern w:val="0"/>
          <w:sz w:val="24"/>
          <w:szCs w:val="24"/>
          <w:lang w:val="uk-UA"/>
          <w14:ligatures w14:val="none"/>
        </w:rPr>
        <w:t>C</w:t>
      </w:r>
      <w:r w:rsidRPr="00C653F9">
        <w:rPr>
          <w:rFonts w:ascii="Times New Roman" w:eastAsia="Calibri" w:hAnsi="Times New Roman" w:cs="Times New Roman"/>
          <w:bCs/>
          <w:color w:val="000000"/>
          <w:kern w:val="0"/>
          <w:sz w:val="24"/>
          <w:szCs w:val="24"/>
          <w:lang w:val="uk-UA"/>
          <w14:ligatures w14:val="none"/>
        </w:rPr>
        <w:t xml:space="preserve">hemical </w:t>
      </w:r>
      <w:r w:rsidRPr="00953008">
        <w:rPr>
          <w:rFonts w:ascii="Times New Roman" w:eastAsia="Calibri" w:hAnsi="Times New Roman" w:cs="Times New Roman"/>
          <w:bCs/>
          <w:color w:val="000000"/>
          <w:kern w:val="0"/>
          <w:sz w:val="24"/>
          <w:szCs w:val="24"/>
          <w:lang w:val="uk-UA"/>
          <w14:ligatures w14:val="none"/>
        </w:rPr>
        <w:t>S</w:t>
      </w:r>
      <w:r w:rsidRPr="00C653F9">
        <w:rPr>
          <w:rFonts w:ascii="Times New Roman" w:eastAsia="Calibri" w:hAnsi="Times New Roman" w:cs="Times New Roman"/>
          <w:bCs/>
          <w:color w:val="000000"/>
          <w:kern w:val="0"/>
          <w:sz w:val="24"/>
          <w:szCs w:val="24"/>
          <w:lang w:val="uk-UA"/>
          <w14:ligatures w14:val="none"/>
        </w:rPr>
        <w:t xml:space="preserve">ciences, </w:t>
      </w:r>
      <w:r w:rsidRPr="00953008">
        <w:rPr>
          <w:rFonts w:ascii="Times New Roman" w:eastAsia="Calibri" w:hAnsi="Times New Roman" w:cs="Times New Roman"/>
          <w:bCs/>
          <w:color w:val="000000"/>
          <w:kern w:val="0"/>
          <w:sz w:val="24"/>
          <w:szCs w:val="24"/>
          <w:lang w:val="uk-UA"/>
          <w14:ligatures w14:val="none"/>
        </w:rPr>
        <w:t>A</w:t>
      </w:r>
      <w:r w:rsidRPr="00C653F9">
        <w:rPr>
          <w:rFonts w:ascii="Times New Roman" w:eastAsia="Calibri" w:hAnsi="Times New Roman" w:cs="Times New Roman"/>
          <w:bCs/>
          <w:color w:val="000000"/>
          <w:kern w:val="0"/>
          <w:sz w:val="24"/>
          <w:szCs w:val="24"/>
          <w:lang w:val="uk-UA"/>
          <w14:ligatures w14:val="none"/>
        </w:rPr>
        <w:t xml:space="preserve">ssociate </w:t>
      </w:r>
      <w:r w:rsidRPr="00953008">
        <w:rPr>
          <w:rFonts w:ascii="Times New Roman" w:eastAsia="Calibri" w:hAnsi="Times New Roman" w:cs="Times New Roman"/>
          <w:bCs/>
          <w:color w:val="000000"/>
          <w:kern w:val="0"/>
          <w:sz w:val="24"/>
          <w:szCs w:val="24"/>
          <w:lang w:val="uk-UA"/>
          <w14:ligatures w14:val="none"/>
        </w:rPr>
        <w:t>P</w:t>
      </w:r>
      <w:r w:rsidRPr="00C653F9">
        <w:rPr>
          <w:rFonts w:ascii="Times New Roman" w:eastAsia="Calibri" w:hAnsi="Times New Roman" w:cs="Times New Roman"/>
          <w:bCs/>
          <w:color w:val="000000"/>
          <w:kern w:val="0"/>
          <w:sz w:val="24"/>
          <w:szCs w:val="24"/>
          <w:lang w:val="uk-UA"/>
          <w14:ligatures w14:val="none"/>
        </w:rPr>
        <w:t>rofessor</w:t>
      </w:r>
    </w:p>
    <w:p w14:paraId="7BA93E5C" w14:textId="77777777" w:rsidR="00C653F9" w:rsidRPr="00C653F9" w:rsidRDefault="00C653F9" w:rsidP="00C653F9">
      <w:pPr>
        <w:suppressAutoHyphens/>
        <w:spacing w:after="0" w:line="240" w:lineRule="auto"/>
        <w:jc w:val="right"/>
        <w:rPr>
          <w:rFonts w:ascii="Times New Roman" w:eastAsia="Calibri" w:hAnsi="Times New Roman" w:cs="Times New Roman"/>
          <w:bCs/>
          <w:color w:val="000000"/>
          <w:kern w:val="0"/>
          <w:sz w:val="24"/>
          <w:szCs w:val="24"/>
          <w:lang w:val="uk-UA"/>
          <w14:ligatures w14:val="none"/>
        </w:rPr>
      </w:pPr>
      <w:r w:rsidRPr="00C653F9">
        <w:rPr>
          <w:rFonts w:ascii="Times New Roman" w:eastAsia="Calibri" w:hAnsi="Times New Roman" w:cs="Times New Roman"/>
          <w:bCs/>
          <w:color w:val="000000"/>
          <w:kern w:val="0"/>
          <w:sz w:val="24"/>
          <w:szCs w:val="24"/>
          <w:lang w:val="uk-UA"/>
          <w14:ligatures w14:val="none"/>
        </w:rPr>
        <w:t xml:space="preserve"> Hetman Petro Sahaidachnyi National Army Academy</w:t>
      </w:r>
      <w:r w:rsidRPr="00C653F9">
        <w:rPr>
          <w:rFonts w:ascii="Times New Roman" w:eastAsia="Calibri" w:hAnsi="Times New Roman" w:cs="Times New Roman"/>
          <w:bCs/>
          <w:color w:val="000000"/>
          <w:kern w:val="0"/>
          <w:sz w:val="24"/>
          <w:szCs w:val="24"/>
          <w14:ligatures w14:val="none"/>
        </w:rPr>
        <w:t xml:space="preserve"> Lviv</w:t>
      </w:r>
    </w:p>
    <w:p w14:paraId="26CA5865" w14:textId="77777777" w:rsidR="00C653F9" w:rsidRPr="00C653F9" w:rsidRDefault="00C653F9" w:rsidP="00C653F9">
      <w:pPr>
        <w:suppressAutoHyphens/>
        <w:spacing w:after="0" w:line="240" w:lineRule="auto"/>
        <w:jc w:val="right"/>
        <w:rPr>
          <w:rFonts w:ascii="Times New Roman" w:eastAsia="Calibri" w:hAnsi="Times New Roman" w:cs="Times New Roman"/>
          <w:bCs/>
          <w:color w:val="000000"/>
          <w:kern w:val="0"/>
          <w:sz w:val="24"/>
          <w:szCs w:val="24"/>
          <w:lang w:val="uk-UA"/>
          <w14:ligatures w14:val="none"/>
        </w:rPr>
      </w:pPr>
    </w:p>
    <w:p w14:paraId="3BADCFAB" w14:textId="77777777" w:rsidR="00C653F9" w:rsidRPr="00C653F9" w:rsidRDefault="00C653F9" w:rsidP="00C653F9">
      <w:pPr>
        <w:suppressAutoHyphens/>
        <w:spacing w:after="0" w:line="240" w:lineRule="auto"/>
        <w:jc w:val="center"/>
        <w:rPr>
          <w:rFonts w:ascii="Times New Roman" w:eastAsia="Times New Roman" w:hAnsi="Times New Roman" w:cs="Times New Roman"/>
          <w:b/>
          <w:bCs/>
          <w:kern w:val="0"/>
          <w:sz w:val="24"/>
          <w:szCs w:val="24"/>
          <w14:ligatures w14:val="none"/>
        </w:rPr>
      </w:pPr>
      <w:r w:rsidRPr="00C653F9">
        <w:rPr>
          <w:rFonts w:ascii="Times New Roman" w:eastAsia="Times New Roman" w:hAnsi="Times New Roman" w:cs="Times New Roman"/>
          <w:b/>
          <w:bCs/>
          <w:kern w:val="0"/>
          <w:sz w:val="24"/>
          <w:szCs w:val="24"/>
          <w14:ligatures w14:val="none"/>
        </w:rPr>
        <w:t xml:space="preserve">Features of Implementing Blended Learning Based on a Digital Educational Environment as a </w:t>
      </w:r>
      <w:r w:rsidRPr="00953008">
        <w:rPr>
          <w:rFonts w:ascii="Times New Roman" w:eastAsia="Times New Roman" w:hAnsi="Times New Roman" w:cs="Times New Roman"/>
          <w:b/>
          <w:bCs/>
          <w:kern w:val="0"/>
          <w:sz w:val="24"/>
          <w:szCs w:val="24"/>
          <w14:ligatures w14:val="none"/>
        </w:rPr>
        <w:t>Tool</w:t>
      </w:r>
      <w:r w:rsidRPr="00C653F9">
        <w:rPr>
          <w:rFonts w:ascii="Times New Roman" w:eastAsia="Times New Roman" w:hAnsi="Times New Roman" w:cs="Times New Roman"/>
          <w:b/>
          <w:bCs/>
          <w:kern w:val="0"/>
          <w:sz w:val="24"/>
          <w:szCs w:val="24"/>
          <w14:ligatures w14:val="none"/>
        </w:rPr>
        <w:t xml:space="preserve"> for </w:t>
      </w:r>
      <w:r w:rsidRPr="00953008">
        <w:rPr>
          <w:rFonts w:ascii="Times New Roman" w:eastAsia="Times New Roman" w:hAnsi="Times New Roman" w:cs="Times New Roman"/>
          <w:b/>
          <w:bCs/>
          <w:kern w:val="0"/>
          <w:sz w:val="24"/>
          <w:szCs w:val="24"/>
          <w14:ligatures w14:val="none"/>
        </w:rPr>
        <w:t>Implementing</w:t>
      </w:r>
      <w:r w:rsidRPr="00C653F9">
        <w:rPr>
          <w:rFonts w:ascii="Times New Roman" w:eastAsia="Times New Roman" w:hAnsi="Times New Roman" w:cs="Times New Roman"/>
          <w:b/>
          <w:bCs/>
          <w:kern w:val="0"/>
          <w:sz w:val="24"/>
          <w:szCs w:val="24"/>
          <w14:ligatures w14:val="none"/>
        </w:rPr>
        <w:t xml:space="preserve"> an </w:t>
      </w:r>
      <w:r w:rsidRPr="00953008">
        <w:rPr>
          <w:rFonts w:ascii="Times New Roman" w:eastAsia="Times New Roman" w:hAnsi="Times New Roman" w:cs="Times New Roman"/>
          <w:b/>
          <w:bCs/>
          <w:kern w:val="0"/>
          <w:sz w:val="24"/>
          <w:szCs w:val="24"/>
          <w14:ligatures w14:val="none"/>
        </w:rPr>
        <w:t>Individual</w:t>
      </w:r>
      <w:r w:rsidRPr="00C653F9">
        <w:rPr>
          <w:rFonts w:ascii="Times New Roman" w:eastAsia="Times New Roman" w:hAnsi="Times New Roman" w:cs="Times New Roman"/>
          <w:b/>
          <w:bCs/>
          <w:kern w:val="0"/>
          <w:sz w:val="24"/>
          <w:szCs w:val="24"/>
          <w14:ligatures w14:val="none"/>
        </w:rPr>
        <w:t xml:space="preserve"> </w:t>
      </w:r>
      <w:r w:rsidRPr="00953008">
        <w:rPr>
          <w:rFonts w:ascii="Times New Roman" w:eastAsia="Times New Roman" w:hAnsi="Times New Roman" w:cs="Times New Roman"/>
          <w:b/>
          <w:bCs/>
          <w:kern w:val="0"/>
          <w:sz w:val="24"/>
          <w:szCs w:val="24"/>
          <w14:ligatures w14:val="none"/>
        </w:rPr>
        <w:t>Educational Path</w:t>
      </w:r>
      <w:r w:rsidRPr="00C653F9">
        <w:rPr>
          <w:rFonts w:ascii="Times New Roman" w:eastAsia="Times New Roman" w:hAnsi="Times New Roman" w:cs="Times New Roman"/>
          <w:b/>
          <w:bCs/>
          <w:kern w:val="0"/>
          <w:sz w:val="24"/>
          <w:szCs w:val="24"/>
          <w14:ligatures w14:val="none"/>
        </w:rPr>
        <w:t xml:space="preserve"> into the </w:t>
      </w:r>
      <w:r w:rsidRPr="00953008">
        <w:rPr>
          <w:rFonts w:ascii="Times New Roman" w:eastAsia="Times New Roman" w:hAnsi="Times New Roman" w:cs="Times New Roman"/>
          <w:b/>
          <w:bCs/>
          <w:kern w:val="0"/>
          <w:sz w:val="24"/>
          <w:szCs w:val="24"/>
          <w14:ligatures w14:val="none"/>
        </w:rPr>
        <w:t>Training</w:t>
      </w:r>
      <w:r w:rsidRPr="00C653F9">
        <w:rPr>
          <w:rFonts w:ascii="Times New Roman" w:eastAsia="Times New Roman" w:hAnsi="Times New Roman" w:cs="Times New Roman"/>
          <w:b/>
          <w:bCs/>
          <w:kern w:val="0"/>
          <w:sz w:val="24"/>
          <w:szCs w:val="24"/>
          <w14:ligatures w14:val="none"/>
        </w:rPr>
        <w:t xml:space="preserve"> </w:t>
      </w:r>
      <w:r w:rsidRPr="00953008">
        <w:rPr>
          <w:rFonts w:ascii="Times New Roman" w:eastAsia="Times New Roman" w:hAnsi="Times New Roman" w:cs="Times New Roman"/>
          <w:b/>
          <w:bCs/>
          <w:kern w:val="0"/>
          <w:sz w:val="24"/>
          <w:szCs w:val="24"/>
          <w14:ligatures w14:val="none"/>
        </w:rPr>
        <w:t>System</w:t>
      </w:r>
      <w:r w:rsidRPr="00C653F9">
        <w:rPr>
          <w:rFonts w:ascii="Times New Roman" w:eastAsia="Times New Roman" w:hAnsi="Times New Roman" w:cs="Times New Roman"/>
          <w:b/>
          <w:bCs/>
          <w:kern w:val="0"/>
          <w:sz w:val="24"/>
          <w:szCs w:val="24"/>
          <w14:ligatures w14:val="none"/>
        </w:rPr>
        <w:t xml:space="preserve"> of </w:t>
      </w:r>
      <w:r w:rsidRPr="00953008">
        <w:rPr>
          <w:rFonts w:ascii="Times New Roman" w:eastAsia="Times New Roman" w:hAnsi="Times New Roman" w:cs="Times New Roman"/>
          <w:b/>
          <w:bCs/>
          <w:kern w:val="0"/>
          <w:sz w:val="24"/>
          <w:szCs w:val="24"/>
          <w14:ligatures w14:val="none"/>
        </w:rPr>
        <w:t>Military</w:t>
      </w:r>
      <w:r w:rsidRPr="00C653F9">
        <w:rPr>
          <w:rFonts w:ascii="Times New Roman" w:eastAsia="Times New Roman" w:hAnsi="Times New Roman" w:cs="Times New Roman"/>
          <w:b/>
          <w:bCs/>
          <w:kern w:val="0"/>
          <w:sz w:val="24"/>
          <w:szCs w:val="24"/>
          <w14:ligatures w14:val="none"/>
        </w:rPr>
        <w:t xml:space="preserve"> </w:t>
      </w:r>
      <w:r w:rsidRPr="00953008">
        <w:rPr>
          <w:rFonts w:ascii="Times New Roman" w:eastAsia="Times New Roman" w:hAnsi="Times New Roman" w:cs="Times New Roman"/>
          <w:b/>
          <w:bCs/>
          <w:kern w:val="0"/>
          <w:sz w:val="24"/>
          <w:szCs w:val="24"/>
          <w14:ligatures w14:val="none"/>
        </w:rPr>
        <w:t>Specialists</w:t>
      </w:r>
    </w:p>
    <w:p w14:paraId="160496B6" w14:textId="77777777" w:rsidR="00C653F9" w:rsidRPr="00C653F9" w:rsidRDefault="00C653F9" w:rsidP="00C653F9">
      <w:pPr>
        <w:suppressAutoHyphens/>
        <w:spacing w:after="0" w:line="240" w:lineRule="auto"/>
        <w:jc w:val="center"/>
        <w:rPr>
          <w:rFonts w:ascii="Times New Roman" w:eastAsia="Times New Roman" w:hAnsi="Times New Roman" w:cs="Times New Roman"/>
          <w:b/>
          <w:bCs/>
          <w:kern w:val="0"/>
          <w:sz w:val="24"/>
          <w:szCs w:val="24"/>
          <w14:ligatures w14:val="none"/>
        </w:rPr>
      </w:pPr>
    </w:p>
    <w:p w14:paraId="24DCCE89" w14:textId="7C4DC5B6" w:rsidR="00B44B71" w:rsidRPr="00B44B71" w:rsidRDefault="00C653F9" w:rsidP="00953008">
      <w:pPr>
        <w:tabs>
          <w:tab w:val="left" w:pos="9638"/>
        </w:tabs>
        <w:spacing w:after="0" w:line="240" w:lineRule="auto"/>
        <w:ind w:firstLine="709"/>
        <w:jc w:val="both"/>
        <w:rPr>
          <w:rFonts w:ascii="Times New Roman" w:eastAsia="Times New Roman" w:hAnsi="Times New Roman" w:cs="Times New Roman"/>
          <w:i/>
          <w:iCs/>
          <w:kern w:val="0"/>
          <w:sz w:val="24"/>
          <w:szCs w:val="24"/>
          <w14:ligatures w14:val="none"/>
        </w:rPr>
      </w:pPr>
      <w:r w:rsidRPr="00953008">
        <w:rPr>
          <w:rFonts w:ascii="Times New Roman" w:eastAsia="Times New Roman" w:hAnsi="Times New Roman" w:cs="Times New Roman"/>
          <w:b/>
          <w:i/>
          <w:iCs/>
          <w:kern w:val="0"/>
          <w:sz w:val="24"/>
          <w:szCs w:val="24"/>
          <w14:ligatures w14:val="none"/>
        </w:rPr>
        <w:t>Abstract.</w:t>
      </w:r>
      <w:r w:rsidR="00B44B71" w:rsidRPr="00B44B71">
        <w:rPr>
          <w:rFonts w:ascii="Times New Roman" w:eastAsia="Times New Roman" w:hAnsi="Times New Roman" w:cs="Times New Roman"/>
          <w:i/>
          <w:iCs/>
          <w:noProof/>
          <w:kern w:val="0"/>
          <w:sz w:val="24"/>
          <w:szCs w:val="24"/>
          <w:lang w:val="uk-UA"/>
          <w14:ligatures w14:val="none"/>
        </w:rPr>
        <w:t xml:space="preserve"> </w:t>
      </w:r>
      <w:r w:rsidR="00B44B71" w:rsidRPr="00B44B71">
        <w:rPr>
          <w:rFonts w:ascii="Times New Roman" w:eastAsia="Times New Roman" w:hAnsi="Times New Roman" w:cs="Times New Roman"/>
          <w:i/>
          <w:iCs/>
          <w:kern w:val="0"/>
          <w:sz w:val="24"/>
          <w:szCs w:val="24"/>
          <w14:ligatures w14:val="none"/>
        </w:rPr>
        <w:t>The article considers the features of the implementation of blended learning in the military education system based on the use of the information and educational environment MOODLE. An analysis of organizational and methodological solutions for the integration of distance and classroom forms of learning is carried out, in particular, the use of course instructions, digital content of laboratory classes, test tasks with formative assessment and an electronic journal. Key aspects of the use of blended learning to increase the effectiveness of the training of future military specialists and the formation of their professional competencies are identified. The role of the information and educational environment in the transformation of the traditional model of training of military specialists is analyzed, which allows combining independent distance training with practical activities during classroom classes. It is substantiated that the implementation of step-by-step instructions and video files-guides for laboratory work contributes to the preliminary preparation of applicants, optimization of work time in the laboratory and improvement of the quality of practical training. It has been established that the placement of theoretical materials and problem books in a digital environment ensures the continuity of learning, differentiation of the educational process and the formation of individual educational trajectories.</w:t>
      </w:r>
    </w:p>
    <w:p w14:paraId="45EC1C2F" w14:textId="77777777" w:rsidR="00B44B71" w:rsidRPr="00B44B71" w:rsidRDefault="00B44B71" w:rsidP="00953008">
      <w:pPr>
        <w:tabs>
          <w:tab w:val="left" w:pos="9638"/>
        </w:tabs>
        <w:spacing w:after="0" w:line="240" w:lineRule="auto"/>
        <w:ind w:firstLine="709"/>
        <w:jc w:val="both"/>
        <w:rPr>
          <w:rFonts w:ascii="Times New Roman" w:eastAsia="Times New Roman" w:hAnsi="Times New Roman" w:cs="Times New Roman"/>
          <w:i/>
          <w:iCs/>
          <w:kern w:val="0"/>
          <w:sz w:val="24"/>
          <w:szCs w:val="24"/>
          <w14:ligatures w14:val="none"/>
        </w:rPr>
      </w:pPr>
      <w:r w:rsidRPr="00B44B71">
        <w:rPr>
          <w:rFonts w:ascii="Times New Roman" w:eastAsia="Times New Roman" w:hAnsi="Times New Roman" w:cs="Times New Roman"/>
          <w:i/>
          <w:iCs/>
          <w:kern w:val="0"/>
          <w:sz w:val="24"/>
          <w:szCs w:val="24"/>
          <w14:ligatures w14:val="none"/>
        </w:rPr>
        <w:t>It is described that the use of test tasks with the possibility of multiple passing and the inclusion of the best result in an electronic journal ensures the implementation of formative assessment, increases the motivation of education seekers and creates conditions for constant monitoring of educational achievements. It is predicted that such tools contribute to the development of independence, responsibility for learning outcomes and the formation of professional thinking of future military specialists.</w:t>
      </w:r>
    </w:p>
    <w:p w14:paraId="0E021CAE" w14:textId="77777777" w:rsidR="00B44B71" w:rsidRPr="00B44B71" w:rsidRDefault="00B44B71" w:rsidP="00953008">
      <w:pPr>
        <w:tabs>
          <w:tab w:val="left" w:pos="9638"/>
        </w:tabs>
        <w:spacing w:after="0" w:line="240" w:lineRule="auto"/>
        <w:ind w:firstLine="709"/>
        <w:jc w:val="both"/>
        <w:rPr>
          <w:rFonts w:ascii="Times New Roman" w:eastAsia="Times New Roman" w:hAnsi="Times New Roman" w:cs="Times New Roman"/>
          <w:i/>
          <w:iCs/>
          <w:kern w:val="0"/>
          <w:sz w:val="24"/>
          <w:szCs w:val="24"/>
          <w14:ligatures w14:val="none"/>
        </w:rPr>
      </w:pPr>
      <w:r w:rsidRPr="00B44B71">
        <w:rPr>
          <w:rFonts w:ascii="Times New Roman" w:eastAsia="Times New Roman" w:hAnsi="Times New Roman" w:cs="Times New Roman"/>
          <w:i/>
          <w:iCs/>
          <w:kern w:val="0"/>
          <w:sz w:val="24"/>
          <w:szCs w:val="24"/>
          <w14:ligatures w14:val="none"/>
        </w:rPr>
        <w:t>The scientific novelty of the work lies in the comprehensive approach to the implementation of blended learning in military education by integrating digital educational resources, video instructions for laboratory classes, adaptive testing and electronic monitoring of learning outcomes. The practical significance of the study lies in the development of ways to create a digital educational environment of blended learning for technical disciplines of military education, which contributes to increasing the efficiency of training and optimizing the use of educational and material resources.</w:t>
      </w:r>
    </w:p>
    <w:p w14:paraId="0212FE61" w14:textId="77777777" w:rsidR="00B44B71" w:rsidRPr="00B44B71" w:rsidRDefault="00B44B71" w:rsidP="00953008">
      <w:pPr>
        <w:tabs>
          <w:tab w:val="left" w:pos="9638"/>
        </w:tabs>
        <w:spacing w:after="0" w:line="240" w:lineRule="auto"/>
        <w:ind w:firstLine="709"/>
        <w:jc w:val="both"/>
        <w:rPr>
          <w:rFonts w:ascii="Times New Roman" w:eastAsia="Times New Roman" w:hAnsi="Times New Roman" w:cs="Times New Roman"/>
          <w:i/>
          <w:iCs/>
          <w:kern w:val="0"/>
          <w:sz w:val="24"/>
          <w:szCs w:val="24"/>
          <w:lang w:val="uk-UA"/>
          <w14:ligatures w14:val="none"/>
        </w:rPr>
      </w:pPr>
      <w:r w:rsidRPr="00B44B71">
        <w:rPr>
          <w:rFonts w:ascii="Times New Roman" w:eastAsia="Times New Roman" w:hAnsi="Times New Roman" w:cs="Times New Roman"/>
          <w:i/>
          <w:iCs/>
          <w:kern w:val="0"/>
          <w:sz w:val="24"/>
          <w:szCs w:val="24"/>
          <w14:ligatures w14:val="none"/>
        </w:rPr>
        <w:t>Prospects for further research are related to the development of adaptive blended learning models, the integration of simulation technologies and virtual laboratories, the use of training data analytics, and the creation of intelligent educational environments for individualizing the training of military specialists in the context of the digital transformation of military education.</w:t>
      </w:r>
    </w:p>
    <w:p w14:paraId="2DB5877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iCs/>
          <w:kern w:val="0"/>
          <w:sz w:val="24"/>
          <w:szCs w:val="24"/>
          <w:lang w:val="uk-UA"/>
          <w14:ligatures w14:val="none"/>
        </w:rPr>
      </w:pPr>
      <w:r w:rsidRPr="00B44B71">
        <w:rPr>
          <w:rFonts w:ascii="Times New Roman" w:eastAsia="Times New Roman" w:hAnsi="Times New Roman" w:cs="Times New Roman"/>
          <w:b/>
          <w:bCs/>
          <w:i/>
          <w:iCs/>
          <w:kern w:val="0"/>
          <w:sz w:val="24"/>
          <w:szCs w:val="24"/>
          <w:lang w:val="uk-UA"/>
          <w14:ligatures w14:val="none"/>
        </w:rPr>
        <w:lastRenderedPageBreak/>
        <w:t xml:space="preserve">Keywords: </w:t>
      </w:r>
      <w:r w:rsidRPr="00B44B71">
        <w:rPr>
          <w:rFonts w:ascii="Times New Roman" w:eastAsia="Times New Roman" w:hAnsi="Times New Roman" w:cs="Times New Roman"/>
          <w:i/>
          <w:iCs/>
          <w:kern w:val="0"/>
          <w:sz w:val="24"/>
          <w:szCs w:val="24"/>
          <w:lang w:val="en"/>
          <w14:ligatures w14:val="none"/>
        </w:rPr>
        <w:t>individual educational trajectory, blended learning, digital environment, MOODLE, quality of education, higher military educational institution, competency-based approach, lifelong self-development.</w:t>
      </w:r>
    </w:p>
    <w:p w14:paraId="28199002" w14:textId="77777777" w:rsidR="00B44B71" w:rsidRPr="00B44B71" w:rsidRDefault="00B44B71" w:rsidP="00023291">
      <w:pPr>
        <w:tabs>
          <w:tab w:val="left" w:pos="9638"/>
        </w:tabs>
        <w:spacing w:after="0" w:line="240" w:lineRule="auto"/>
        <w:jc w:val="right"/>
        <w:rPr>
          <w:rFonts w:ascii="Times New Roman" w:eastAsia="Calibri" w:hAnsi="Times New Roman" w:cs="Times New Roman"/>
          <w:b/>
          <w:bCs/>
          <w:i/>
          <w:color w:val="000000"/>
          <w:kern w:val="0"/>
          <w:sz w:val="24"/>
          <w:szCs w:val="24"/>
          <w:lang w:val="uk-UA"/>
          <w14:ligatures w14:val="none"/>
        </w:rPr>
      </w:pPr>
    </w:p>
    <w:p w14:paraId="2CE6F63F"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b/>
          <w:color w:val="000000"/>
          <w:spacing w:val="-2"/>
          <w:kern w:val="0"/>
          <w:sz w:val="28"/>
          <w:szCs w:val="24"/>
          <w:lang w:val="uk-UA"/>
          <w14:ligatures w14:val="none"/>
        </w:rPr>
        <w:t>Постановка проблеми</w:t>
      </w:r>
      <w:r w:rsidRPr="00B44B71">
        <w:rPr>
          <w:rFonts w:ascii="Times New Roman" w:eastAsia="Times New Roman" w:hAnsi="Times New Roman" w:cs="Times New Roman"/>
          <w:b/>
          <w:noProof/>
          <w:kern w:val="0"/>
          <w:sz w:val="28"/>
          <w:szCs w:val="28"/>
          <w:lang w:val="uk-UA"/>
          <w14:ligatures w14:val="none"/>
        </w:rPr>
        <w:t>.</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noProof/>
          <w:spacing w:val="-6"/>
          <w:kern w:val="0"/>
          <w:sz w:val="28"/>
          <w:szCs w:val="28"/>
          <w:lang w:val="uk-UA"/>
          <w14:ligatures w14:val="none"/>
        </w:rPr>
        <w:t>Вимогами</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noProof/>
          <w:spacing w:val="-6"/>
          <w:kern w:val="0"/>
          <w:sz w:val="28"/>
          <w:szCs w:val="28"/>
          <w:lang w:val="uk-UA"/>
          <w14:ligatures w14:val="none"/>
        </w:rPr>
        <w:t xml:space="preserve">сучасного суспільства до вищої освіти є професійна підготовка фахівців, які здатні підходити творчо до розв’язання неординарних питань, володіють базовими знаннями, уміннями та навичками, здатними до безперервної самоосвіти або освіти впродовж життя. Це є фундаментальним положенням імплементації компетентнісного підходу в професійну підготовку фахівців, що також є базовим завданням сучасної вищої освіти. </w:t>
      </w:r>
      <w:r w:rsidRPr="00B44B71">
        <w:rPr>
          <w:rFonts w:ascii="Times New Roman" w:eastAsia="Times New Roman" w:hAnsi="Times New Roman" w:cs="Times New Roman"/>
          <w:noProof/>
          <w:spacing w:val="-6"/>
          <w:kern w:val="0"/>
          <w:sz w:val="28"/>
          <w:szCs w:val="28"/>
          <w:lang w:val="ru-RU"/>
          <w14:ligatures w14:val="none"/>
        </w:rPr>
        <w:t xml:space="preserve">Основну увагу </w:t>
      </w:r>
      <w:r w:rsidRPr="00B44B71">
        <w:rPr>
          <w:rFonts w:ascii="Times New Roman" w:eastAsia="Times New Roman" w:hAnsi="Times New Roman" w:cs="Times New Roman"/>
          <w:noProof/>
          <w:spacing w:val="-6"/>
          <w:kern w:val="0"/>
          <w:sz w:val="28"/>
          <w:szCs w:val="28"/>
          <w:lang w:val="uk-UA"/>
          <w14:ligatures w14:val="none"/>
        </w:rPr>
        <w:t xml:space="preserve">щодо такого підходу </w:t>
      </w:r>
      <w:r w:rsidRPr="00B44B71">
        <w:rPr>
          <w:rFonts w:ascii="Times New Roman" w:eastAsia="Times New Roman" w:hAnsi="Times New Roman" w:cs="Times New Roman"/>
          <w:noProof/>
          <w:spacing w:val="-6"/>
          <w:kern w:val="0"/>
          <w:sz w:val="28"/>
          <w:szCs w:val="28"/>
          <w:lang w:val="ru-RU"/>
          <w14:ligatures w14:val="none"/>
        </w:rPr>
        <w:t xml:space="preserve">зосереджено на компетенціях та компетентностях, що сприяють адаптації фахівців до бурхливого розвитку науки й техніки, а також мінливих умов сучасного ринку праці. </w:t>
      </w:r>
      <w:r w:rsidRPr="00B44B71">
        <w:rPr>
          <w:rFonts w:ascii="Times New Roman" w:eastAsia="Times New Roman" w:hAnsi="Times New Roman" w:cs="Times New Roman"/>
          <w:noProof/>
          <w:spacing w:val="-6"/>
          <w:kern w:val="0"/>
          <w:sz w:val="28"/>
          <w:szCs w:val="28"/>
          <w:lang w:val="uk-UA"/>
          <w14:ligatures w14:val="none"/>
        </w:rPr>
        <w:t>Саме т</w:t>
      </w:r>
      <w:r w:rsidRPr="00B44B71">
        <w:rPr>
          <w:rFonts w:ascii="Times New Roman" w:eastAsia="Times New Roman" w:hAnsi="Times New Roman" w:cs="Times New Roman"/>
          <w:noProof/>
          <w:spacing w:val="-6"/>
          <w:kern w:val="0"/>
          <w:sz w:val="28"/>
          <w:szCs w:val="28"/>
          <w:lang w:val="ru-RU"/>
          <w14:ligatures w14:val="none"/>
        </w:rPr>
        <w:t xml:space="preserve">ому </w:t>
      </w:r>
      <w:r w:rsidRPr="00B44B71">
        <w:rPr>
          <w:rFonts w:ascii="Times New Roman" w:eastAsia="Times New Roman" w:hAnsi="Times New Roman" w:cs="Times New Roman"/>
          <w:noProof/>
          <w:spacing w:val="-6"/>
          <w:kern w:val="0"/>
          <w:sz w:val="28"/>
          <w:szCs w:val="28"/>
          <w:lang w:val="uk-UA"/>
          <w14:ligatures w14:val="none"/>
        </w:rPr>
        <w:t>на сьогодні</w:t>
      </w:r>
      <w:r w:rsidRPr="00B44B71">
        <w:rPr>
          <w:rFonts w:ascii="Times New Roman" w:eastAsia="Times New Roman" w:hAnsi="Times New Roman" w:cs="Times New Roman"/>
          <w:noProof/>
          <w:spacing w:val="-6"/>
          <w:kern w:val="0"/>
          <w:sz w:val="28"/>
          <w:szCs w:val="28"/>
          <w:lang w:val="ru-RU"/>
          <w14:ligatures w14:val="none"/>
        </w:rPr>
        <w:t xml:space="preserve"> компетентнісний підхід </w:t>
      </w:r>
      <w:r w:rsidRPr="00B44B71">
        <w:rPr>
          <w:rFonts w:ascii="Times New Roman" w:eastAsia="Times New Roman" w:hAnsi="Times New Roman" w:cs="Times New Roman"/>
          <w:noProof/>
          <w:spacing w:val="-6"/>
          <w:kern w:val="0"/>
          <w:sz w:val="28"/>
          <w:szCs w:val="28"/>
          <w:lang w:val="uk-UA"/>
          <w14:ligatures w14:val="none"/>
        </w:rPr>
        <w:t>по</w:t>
      </w:r>
      <w:r w:rsidRPr="00B44B71">
        <w:rPr>
          <w:rFonts w:ascii="Times New Roman" w:eastAsia="Times New Roman" w:hAnsi="Times New Roman" w:cs="Times New Roman"/>
          <w:noProof/>
          <w:spacing w:val="-6"/>
          <w:kern w:val="0"/>
          <w:sz w:val="28"/>
          <w:szCs w:val="28"/>
          <w:lang w:val="ru-RU"/>
          <w14:ligatures w14:val="none"/>
        </w:rPr>
        <w:t>стає невід’ємн</w:t>
      </w:r>
      <w:r w:rsidRPr="00B44B71">
        <w:rPr>
          <w:rFonts w:ascii="Times New Roman" w:eastAsia="Times New Roman" w:hAnsi="Times New Roman" w:cs="Times New Roman"/>
          <w:noProof/>
          <w:spacing w:val="-6"/>
          <w:kern w:val="0"/>
          <w:sz w:val="28"/>
          <w:szCs w:val="28"/>
          <w:lang w:val="uk-UA"/>
          <w14:ligatures w14:val="none"/>
        </w:rPr>
        <w:t>ою</w:t>
      </w:r>
      <w:r w:rsidRPr="00B44B71">
        <w:rPr>
          <w:rFonts w:ascii="Times New Roman" w:eastAsia="Times New Roman" w:hAnsi="Times New Roman" w:cs="Times New Roman"/>
          <w:noProof/>
          <w:spacing w:val="-6"/>
          <w:kern w:val="0"/>
          <w:sz w:val="28"/>
          <w:szCs w:val="28"/>
          <w:lang w:val="ru-RU"/>
          <w14:ligatures w14:val="none"/>
        </w:rPr>
        <w:t xml:space="preserve"> склад</w:t>
      </w:r>
      <w:r w:rsidRPr="00B44B71">
        <w:rPr>
          <w:rFonts w:ascii="Times New Roman" w:eastAsia="Times New Roman" w:hAnsi="Times New Roman" w:cs="Times New Roman"/>
          <w:noProof/>
          <w:spacing w:val="-6"/>
          <w:kern w:val="0"/>
          <w:sz w:val="28"/>
          <w:szCs w:val="28"/>
          <w:lang w:val="uk-UA"/>
          <w14:ligatures w14:val="none"/>
        </w:rPr>
        <w:t>овою</w:t>
      </w:r>
      <w:r w:rsidRPr="00B44B71">
        <w:rPr>
          <w:rFonts w:ascii="Times New Roman" w:eastAsia="Times New Roman" w:hAnsi="Times New Roman" w:cs="Times New Roman"/>
          <w:noProof/>
          <w:spacing w:val="-6"/>
          <w:kern w:val="0"/>
          <w:sz w:val="28"/>
          <w:szCs w:val="28"/>
          <w:lang w:val="ru-RU"/>
          <w14:ligatures w14:val="none"/>
        </w:rPr>
        <w:t xml:space="preserve"> освітньої галузі.</w:t>
      </w:r>
    </w:p>
    <w:p w14:paraId="3381A3E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spacing w:val="-8"/>
          <w:kern w:val="0"/>
          <w:sz w:val="28"/>
          <w:szCs w:val="28"/>
          <w:lang w:val="uk-UA"/>
          <w14:ligatures w14:val="none"/>
        </w:rPr>
      </w:pPr>
      <w:r w:rsidRPr="00B44B71">
        <w:rPr>
          <w:rFonts w:ascii="Times New Roman" w:eastAsia="Times New Roman" w:hAnsi="Times New Roman" w:cs="Times New Roman"/>
          <w:noProof/>
          <w:spacing w:val="-8"/>
          <w:kern w:val="0"/>
          <w:sz w:val="28"/>
          <w:szCs w:val="28"/>
          <w:lang w:val="ru-RU"/>
          <w14:ligatures w14:val="none"/>
        </w:rPr>
        <w:t xml:space="preserve">У центрі сучасних освітніх трансформацій перебуває ідея переходу від одноманітного, стандартизованого навчального процесу до персоналізованої моделі освіти, що орієнтована на потреби, здібності, інтереси та професійну мету кожного здобувача. Саме така модель </w:t>
      </w:r>
      <w:r w:rsidRPr="00B44B71">
        <w:rPr>
          <w:rFonts w:ascii="Times New Roman" w:eastAsia="Times New Roman" w:hAnsi="Times New Roman" w:cs="Times New Roman"/>
          <w:noProof/>
          <w:spacing w:val="-8"/>
          <w:kern w:val="0"/>
          <w:sz w:val="28"/>
          <w:szCs w:val="28"/>
          <w:lang w:val="uk-UA"/>
          <w14:ligatures w14:val="none"/>
        </w:rPr>
        <w:t xml:space="preserve">компетентісного підходу </w:t>
      </w:r>
      <w:r w:rsidRPr="00B44B71">
        <w:rPr>
          <w:rFonts w:ascii="Times New Roman" w:eastAsia="Times New Roman" w:hAnsi="Times New Roman" w:cs="Times New Roman"/>
          <w:noProof/>
          <w:spacing w:val="-8"/>
          <w:kern w:val="0"/>
          <w:sz w:val="28"/>
          <w:szCs w:val="28"/>
          <w:lang w:val="ru-RU"/>
          <w14:ligatures w14:val="none"/>
        </w:rPr>
        <w:t>реалізується через поняття індивідуальної освітньої траєкторії (ІОТ), що стає стратегічним інструментом розвитку особистості впродовж усього життя</w:t>
      </w:r>
      <w:r w:rsidRPr="00B44B71">
        <w:rPr>
          <w:rFonts w:ascii="Times New Roman" w:eastAsia="Times New Roman" w:hAnsi="Times New Roman" w:cs="Times New Roman"/>
          <w:noProof/>
          <w:spacing w:val="-8"/>
          <w:kern w:val="0"/>
          <w:sz w:val="28"/>
          <w:szCs w:val="28"/>
          <w:lang w:val="uk-UA"/>
          <w14:ligatures w14:val="none"/>
        </w:rPr>
        <w:t>.</w:t>
      </w:r>
    </w:p>
    <w:p w14:paraId="0F7AC18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Актуальність проблеми впровадження компетентісного підходу полягає ще й у тому, що в умовах гібридних викликів і швидкої зміни вимог до військово-професійної діяльності традиційні підходи до підготовки офіцерів поступово втрачають ефективність. Впровадження нових механізмів, зокрема індивідуальної освітньої траєкторії, дає змогу не лише забезпечити гнучкість та адаптивність навчального процесу, а й створити умови для підвищення якості освітньої діяльності, орієнтованої на потреби особистості й потреби оборонної сфери держави.</w:t>
      </w:r>
    </w:p>
    <w:p w14:paraId="735EDFE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b/>
          <w:bCs/>
          <w:noProof/>
          <w:kern w:val="0"/>
          <w:sz w:val="28"/>
          <w:szCs w:val="28"/>
          <w:lang w:val="uk-UA"/>
          <w14:ligatures w14:val="none"/>
        </w:rPr>
        <w:t>Аналіз останніх досліджень і публікацій.</w:t>
      </w:r>
      <w:r w:rsidRPr="00B44B71">
        <w:rPr>
          <w:rFonts w:ascii="Times New Roman" w:eastAsia="Times New Roman" w:hAnsi="Times New Roman" w:cs="Times New Roman"/>
          <w:noProof/>
          <w:kern w:val="0"/>
          <w:sz w:val="28"/>
          <w:szCs w:val="28"/>
          <w:lang w:val="uk-UA"/>
          <w14:ligatures w14:val="none"/>
        </w:rPr>
        <w:t xml:space="preserve"> Проблеми формування професійної компетентності майбутніх фахівців під час навчання у вищому закладі освіти постають предметом та об'єктом досліджень наукових розробок та монографій багатьох науковців. Їх зацікавленість цим питанням зумовлена переходом світової спільноти до інформаційного суспільства, у якому пріоритетними вважаються не лише накопичення майбутніми фахівцями знань, певних умінь і навичок, але й вироблення уміння вчитися, формування навичок пошуку інформації, здатності до саморозвитку протягом життя.</w:t>
      </w:r>
    </w:p>
    <w:p w14:paraId="19C0CA4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Вивчаючи наукові доробки провідних українських вчених щодо компотентісного підходу (Байдацька Н.М. (2019), Бібік Н.М. (2017), Величко Л.П. (2015), Єрмакова І.Г. (2007), Заблоцька О.С. (2014), Зязюн І.А. (2008), Локшина О.І. (2019), Равен Дж. (2002), Раков С.А. (2013), Родигіна І.В. (2014), Трубачева С.Е. (2018), Удовиченко Г.(2020), Ярошенко О.Г. (2024)) та аналізуючи літературні джерела щодо реформування національної освіти відповідно до загальноєвропейських зразків (</w:t>
      </w:r>
      <w:r w:rsidRPr="00B44B71">
        <w:rPr>
          <w:rFonts w:ascii="Times New Roman" w:eastAsia="Times New Roman" w:hAnsi="Times New Roman" w:cs="Times New Roman"/>
          <w:noProof/>
          <w:kern w:val="0"/>
          <w:sz w:val="28"/>
          <w:szCs w:val="28"/>
          <w:lang w:val="ru-RU"/>
          <w14:ligatures w14:val="none"/>
        </w:rPr>
        <w:t>Bykov</w:t>
      </w:r>
      <w:r w:rsidRPr="00B44B71">
        <w:rPr>
          <w:rFonts w:ascii="Times New Roman" w:eastAsia="Times New Roman" w:hAnsi="Times New Roman" w:cs="Times New Roman"/>
          <w:noProof/>
          <w:kern w:val="0"/>
          <w:sz w:val="28"/>
          <w:szCs w:val="28"/>
          <w:lang w:val="uk-UA"/>
          <w14:ligatures w14:val="none"/>
        </w:rPr>
        <w:t xml:space="preserve">, 2023), а також створення </w:t>
      </w:r>
      <w:r w:rsidRPr="00B44B71">
        <w:rPr>
          <w:rFonts w:ascii="Times New Roman" w:eastAsia="Times New Roman" w:hAnsi="Times New Roman" w:cs="Times New Roman"/>
          <w:noProof/>
          <w:kern w:val="0"/>
          <w:sz w:val="28"/>
          <w:szCs w:val="28"/>
          <w:lang w:val="uk-UA"/>
          <w14:ligatures w14:val="none"/>
        </w:rPr>
        <w:lastRenderedPageBreak/>
        <w:t>нової освітньої парадигми на основі компетентісного підходу (</w:t>
      </w:r>
      <w:r w:rsidRPr="00B44B71">
        <w:rPr>
          <w:rFonts w:ascii="Times New Roman" w:eastAsia="Times New Roman" w:hAnsi="Times New Roman" w:cs="Times New Roman"/>
          <w:noProof/>
          <w:kern w:val="0"/>
          <w:sz w:val="28"/>
          <w:szCs w:val="28"/>
          <w:lang w:val="ru-RU"/>
          <w14:ligatures w14:val="none"/>
        </w:rPr>
        <w:t>Boychuk</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lang w:val="ru-RU"/>
          <w14:ligatures w14:val="none"/>
        </w:rPr>
        <w:t>Novikova</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lang w:val="ru-RU"/>
          <w14:ligatures w14:val="none"/>
        </w:rPr>
        <w:t>Opanasenko</w:t>
      </w:r>
      <w:r w:rsidRPr="00B44B71">
        <w:rPr>
          <w:rFonts w:ascii="Times New Roman" w:eastAsia="Times New Roman" w:hAnsi="Times New Roman" w:cs="Times New Roman"/>
          <w:noProof/>
          <w:kern w:val="0"/>
          <w:sz w:val="28"/>
          <w:szCs w:val="28"/>
          <w:lang w:val="uk-UA"/>
          <w14:ligatures w14:val="none"/>
        </w:rPr>
        <w:t xml:space="preserve">, 2022), зрозуміло, що важливими складниками освіти є “компетентності”, “компетенції” та “результати навчання”. </w:t>
      </w:r>
    </w:p>
    <w:p w14:paraId="141C0CF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 xml:space="preserve">Разом з тим, у роботах </w:t>
      </w:r>
      <w:r w:rsidRPr="00B44B71">
        <w:rPr>
          <w:rFonts w:ascii="Times New Roman" w:eastAsia="Times New Roman" w:hAnsi="Times New Roman" w:cs="Times New Roman"/>
          <w:noProof/>
          <w:kern w:val="0"/>
          <w:sz w:val="28"/>
          <w:szCs w:val="28"/>
          <w:lang w:val="ru-RU"/>
          <w14:ligatures w14:val="none"/>
        </w:rPr>
        <w:t>Овчарук О.В. (2014), Паращенко Л.І. (2015), Петрук В.А. (2016) Пометун О.І. (2008)</w:t>
      </w:r>
      <w:r w:rsidRPr="00B44B71">
        <w:rPr>
          <w:rFonts w:ascii="Times New Roman" w:eastAsia="Times New Roman" w:hAnsi="Times New Roman" w:cs="Times New Roman"/>
          <w:noProof/>
          <w:kern w:val="0"/>
          <w:sz w:val="28"/>
          <w:szCs w:val="28"/>
          <w:lang w:val="uk-UA"/>
          <w14:ligatures w14:val="none"/>
        </w:rPr>
        <w:t xml:space="preserve"> показано, що запровадження </w:t>
      </w:r>
      <w:r w:rsidRPr="00B44B71">
        <w:rPr>
          <w:rFonts w:ascii="Times New Roman" w:eastAsia="Times New Roman" w:hAnsi="Times New Roman" w:cs="Times New Roman"/>
          <w:noProof/>
          <w:kern w:val="0"/>
          <w:sz w:val="28"/>
          <w:szCs w:val="28"/>
          <w:lang w:val="ru-RU"/>
          <w14:ligatures w14:val="none"/>
        </w:rPr>
        <w:t xml:space="preserve">реформування освіти </w:t>
      </w:r>
      <w:r w:rsidRPr="00B44B71">
        <w:rPr>
          <w:rFonts w:ascii="Times New Roman" w:eastAsia="Times New Roman" w:hAnsi="Times New Roman" w:cs="Times New Roman"/>
          <w:noProof/>
          <w:kern w:val="0"/>
          <w:sz w:val="28"/>
          <w:szCs w:val="28"/>
          <w:lang w:val="uk-UA"/>
          <w14:ligatures w14:val="none"/>
        </w:rPr>
        <w:t xml:space="preserve">шляхом компетентнісного підходу </w:t>
      </w:r>
      <w:r w:rsidRPr="00B44B71">
        <w:rPr>
          <w:rFonts w:ascii="Times New Roman" w:eastAsia="Times New Roman" w:hAnsi="Times New Roman" w:cs="Times New Roman"/>
          <w:noProof/>
          <w:kern w:val="0"/>
          <w:sz w:val="28"/>
          <w:szCs w:val="28"/>
          <w:lang w:val="ru-RU"/>
          <w14:ligatures w14:val="none"/>
        </w:rPr>
        <w:t xml:space="preserve">не призвели до яскраво вираженої позитивної тенденції. </w:t>
      </w:r>
      <w:r w:rsidRPr="00B44B71">
        <w:rPr>
          <w:rFonts w:ascii="Times New Roman" w:eastAsia="Times New Roman" w:hAnsi="Times New Roman" w:cs="Times New Roman"/>
          <w:noProof/>
          <w:kern w:val="0"/>
          <w:sz w:val="28"/>
          <w:szCs w:val="28"/>
          <w:lang w:val="uk-UA"/>
          <w14:ligatures w14:val="none"/>
        </w:rPr>
        <w:t>Як виявилося, г</w:t>
      </w:r>
      <w:r w:rsidRPr="00B44B71">
        <w:rPr>
          <w:rFonts w:ascii="Times New Roman" w:eastAsia="Times New Roman" w:hAnsi="Times New Roman" w:cs="Times New Roman"/>
          <w:noProof/>
          <w:kern w:val="0"/>
          <w:sz w:val="28"/>
          <w:szCs w:val="28"/>
          <w:lang w:val="ru-RU"/>
          <w14:ligatures w14:val="none"/>
        </w:rPr>
        <w:t xml:space="preserve">оловною проблемою </w:t>
      </w:r>
      <w:r w:rsidRPr="00B44B71">
        <w:rPr>
          <w:rFonts w:ascii="Times New Roman" w:eastAsia="Times New Roman" w:hAnsi="Times New Roman" w:cs="Times New Roman"/>
          <w:noProof/>
          <w:kern w:val="0"/>
          <w:sz w:val="28"/>
          <w:szCs w:val="28"/>
          <w:lang w:val="uk-UA"/>
          <w14:ligatures w14:val="none"/>
        </w:rPr>
        <w:t xml:space="preserve">були відсутність механізмів та інструментів запровадження. Шляхи впровадження </w:t>
      </w:r>
      <w:r w:rsidRPr="00B44B71">
        <w:rPr>
          <w:rFonts w:ascii="Times New Roman" w:eastAsia="Times New Roman" w:hAnsi="Times New Roman" w:cs="Times New Roman"/>
          <w:noProof/>
          <w:kern w:val="0"/>
          <w:sz w:val="28"/>
          <w:szCs w:val="28"/>
          <w:lang w:val="ru-RU"/>
          <w14:ligatures w14:val="none"/>
        </w:rPr>
        <w:t xml:space="preserve">були </w:t>
      </w:r>
      <w:r w:rsidRPr="00B44B71">
        <w:rPr>
          <w:rFonts w:ascii="Times New Roman" w:eastAsia="Times New Roman" w:hAnsi="Times New Roman" w:cs="Times New Roman"/>
          <w:noProof/>
          <w:kern w:val="0"/>
          <w:sz w:val="28"/>
          <w:szCs w:val="28"/>
          <w:lang w:val="uk-UA"/>
          <w14:ligatures w14:val="none"/>
        </w:rPr>
        <w:t xml:space="preserve">запозичені з того ж </w:t>
      </w:r>
      <w:r w:rsidRPr="00B44B71">
        <w:rPr>
          <w:rFonts w:ascii="Times New Roman" w:eastAsia="Times New Roman" w:hAnsi="Times New Roman" w:cs="Times New Roman"/>
          <w:noProof/>
          <w:kern w:val="0"/>
          <w:sz w:val="28"/>
          <w:szCs w:val="28"/>
          <w:lang w:val="ru-RU"/>
          <w14:ligatures w14:val="none"/>
        </w:rPr>
        <w:t xml:space="preserve">європейського освітянського простору. </w:t>
      </w:r>
      <w:r w:rsidRPr="00B44B71">
        <w:rPr>
          <w:rFonts w:ascii="Times New Roman" w:eastAsia="Times New Roman" w:hAnsi="Times New Roman" w:cs="Times New Roman"/>
          <w:noProof/>
          <w:kern w:val="0"/>
          <w:sz w:val="28"/>
          <w:szCs w:val="28"/>
          <w:lang w:val="uk-UA"/>
          <w14:ligatures w14:val="none"/>
        </w:rPr>
        <w:t>Моделлю</w:t>
      </w:r>
      <w:r w:rsidRPr="00B44B71">
        <w:rPr>
          <w:rFonts w:ascii="Times New Roman" w:eastAsia="Times New Roman" w:hAnsi="Times New Roman" w:cs="Times New Roman"/>
          <w:noProof/>
          <w:kern w:val="0"/>
          <w:sz w:val="28"/>
          <w:szCs w:val="28"/>
          <w:lang w:val="ru-RU"/>
          <w14:ligatures w14:val="none"/>
        </w:rPr>
        <w:t xml:space="preserve"> динамічн</w:t>
      </w:r>
      <w:r w:rsidRPr="00B44B71">
        <w:rPr>
          <w:rFonts w:ascii="Times New Roman" w:eastAsia="Times New Roman" w:hAnsi="Times New Roman" w:cs="Times New Roman"/>
          <w:noProof/>
          <w:kern w:val="0"/>
          <w:sz w:val="28"/>
          <w:szCs w:val="28"/>
          <w:lang w:val="uk-UA"/>
          <w14:ligatures w14:val="none"/>
        </w:rPr>
        <w:t>ої</w:t>
      </w:r>
      <w:r w:rsidRPr="00B44B71">
        <w:rPr>
          <w:rFonts w:ascii="Times New Roman" w:eastAsia="Times New Roman" w:hAnsi="Times New Roman" w:cs="Times New Roman"/>
          <w:noProof/>
          <w:kern w:val="0"/>
          <w:sz w:val="28"/>
          <w:szCs w:val="28"/>
          <w:lang w:val="ru-RU"/>
          <w14:ligatures w14:val="none"/>
        </w:rPr>
        <w:t>, адаптивн</w:t>
      </w:r>
      <w:r w:rsidRPr="00B44B71">
        <w:rPr>
          <w:rFonts w:ascii="Times New Roman" w:eastAsia="Times New Roman" w:hAnsi="Times New Roman" w:cs="Times New Roman"/>
          <w:noProof/>
          <w:kern w:val="0"/>
          <w:sz w:val="28"/>
          <w:szCs w:val="28"/>
          <w:lang w:val="uk-UA"/>
          <w14:ligatures w14:val="none"/>
        </w:rPr>
        <w:t>ої</w:t>
      </w:r>
      <w:r w:rsidRPr="00B44B71">
        <w:rPr>
          <w:rFonts w:ascii="Times New Roman" w:eastAsia="Times New Roman" w:hAnsi="Times New Roman" w:cs="Times New Roman"/>
          <w:noProof/>
          <w:kern w:val="0"/>
          <w:sz w:val="28"/>
          <w:szCs w:val="28"/>
          <w:lang w:val="ru-RU"/>
          <w14:ligatures w14:val="none"/>
        </w:rPr>
        <w:t>, особистісно орієнтован</w:t>
      </w:r>
      <w:r w:rsidRPr="00B44B71">
        <w:rPr>
          <w:rFonts w:ascii="Times New Roman" w:eastAsia="Times New Roman" w:hAnsi="Times New Roman" w:cs="Times New Roman"/>
          <w:noProof/>
          <w:kern w:val="0"/>
          <w:sz w:val="28"/>
          <w:szCs w:val="28"/>
          <w:lang w:val="uk-UA"/>
          <w14:ligatures w14:val="none"/>
        </w:rPr>
        <w:t>ої</w:t>
      </w:r>
      <w:r w:rsidRPr="00B44B71">
        <w:rPr>
          <w:rFonts w:ascii="Times New Roman" w:eastAsia="Times New Roman" w:hAnsi="Times New Roman" w:cs="Times New Roman"/>
          <w:noProof/>
          <w:kern w:val="0"/>
          <w:sz w:val="28"/>
          <w:szCs w:val="28"/>
          <w:lang w:val="ru-RU"/>
          <w14:ligatures w14:val="none"/>
        </w:rPr>
        <w:t xml:space="preserve"> освітн</w:t>
      </w:r>
      <w:r w:rsidRPr="00B44B71">
        <w:rPr>
          <w:rFonts w:ascii="Times New Roman" w:eastAsia="Times New Roman" w:hAnsi="Times New Roman" w:cs="Times New Roman"/>
          <w:noProof/>
          <w:kern w:val="0"/>
          <w:sz w:val="28"/>
          <w:szCs w:val="28"/>
          <w:lang w:val="uk-UA"/>
          <w14:ligatures w14:val="none"/>
        </w:rPr>
        <w:t>ьої</w:t>
      </w:r>
      <w:r w:rsidRPr="00B44B71">
        <w:rPr>
          <w:rFonts w:ascii="Times New Roman" w:eastAsia="Times New Roman" w:hAnsi="Times New Roman" w:cs="Times New Roman"/>
          <w:noProof/>
          <w:kern w:val="0"/>
          <w:sz w:val="28"/>
          <w:szCs w:val="28"/>
          <w:lang w:val="ru-RU"/>
          <w14:ligatures w14:val="none"/>
        </w:rPr>
        <w:t xml:space="preserve"> програм</w:t>
      </w:r>
      <w:r w:rsidRPr="00B44B71">
        <w:rPr>
          <w:rFonts w:ascii="Times New Roman" w:eastAsia="Times New Roman" w:hAnsi="Times New Roman" w:cs="Times New Roman"/>
          <w:noProof/>
          <w:kern w:val="0"/>
          <w:sz w:val="28"/>
          <w:szCs w:val="28"/>
          <w:lang w:val="uk-UA"/>
          <w14:ligatures w14:val="none"/>
        </w:rPr>
        <w:t>и</w:t>
      </w:r>
      <w:r w:rsidRPr="00B44B71">
        <w:rPr>
          <w:rFonts w:ascii="Times New Roman" w:eastAsia="Times New Roman" w:hAnsi="Times New Roman" w:cs="Times New Roman"/>
          <w:noProof/>
          <w:kern w:val="0"/>
          <w:sz w:val="28"/>
          <w:szCs w:val="28"/>
          <w:lang w:val="ru-RU"/>
          <w14:ligatures w14:val="none"/>
        </w:rPr>
        <w:t>, яка дає змогу здобувачу не тільки опановувати певний зміст, а й формувати унікальну компетентнісну конфігурацію, необхідну для виконання функціональних завдань у реальних умовах діяльності</w:t>
      </w:r>
      <w:r w:rsidRPr="00B44B71">
        <w:rPr>
          <w:rFonts w:ascii="Times New Roman" w:eastAsia="Times New Roman" w:hAnsi="Times New Roman" w:cs="Times New Roman"/>
          <w:noProof/>
          <w:kern w:val="0"/>
          <w:sz w:val="28"/>
          <w:szCs w:val="28"/>
          <w:lang w:val="uk-UA"/>
          <w14:ligatures w14:val="none"/>
        </w:rPr>
        <w:t xml:space="preserve"> стала індивідуальна освітня траекторія (ІОТ)</w:t>
      </w:r>
      <w:r w:rsidRPr="00B44B71">
        <w:rPr>
          <w:rFonts w:ascii="Times New Roman" w:eastAsia="Times New Roman" w:hAnsi="Times New Roman" w:cs="Times New Roman"/>
          <w:noProof/>
          <w:kern w:val="0"/>
          <w:sz w:val="28"/>
          <w:szCs w:val="28"/>
          <w:lang w:val="ru-RU"/>
          <w14:ligatures w14:val="none"/>
        </w:rPr>
        <w:t>.</w:t>
      </w:r>
    </w:p>
    <w:p w14:paraId="13290731"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 xml:space="preserve">В умовах військової освіти ІОТ виконує не лише функцію інструменту персоналізації навчання, але й стає дієвим засобом підвищення бойової спроможності майбутнього офіцера шляхом формування оптимального набору компетентностей, адаптованого до функціонального призначення особи. </w:t>
      </w:r>
      <w:r w:rsidRPr="00B44B71">
        <w:rPr>
          <w:rFonts w:ascii="Times New Roman" w:eastAsia="Times New Roman" w:hAnsi="Times New Roman" w:cs="Times New Roman"/>
          <w:noProof/>
          <w:kern w:val="0"/>
          <w:sz w:val="28"/>
          <w:szCs w:val="28"/>
          <w:lang w:val="ru-RU"/>
          <w14:ligatures w14:val="none"/>
        </w:rPr>
        <w:t>У цьому контексті ІОТ набуває стратегічного значення як механізм, здатний гармонізувати особисті професійні прагнення військовослужбовця з реальними потребами Збройних Сил.</w:t>
      </w:r>
      <w:r w:rsidRPr="00B44B71">
        <w:rPr>
          <w:rFonts w:ascii="Times New Roman" w:eastAsia="Times New Roman" w:hAnsi="Times New Roman" w:cs="Times New Roman"/>
          <w:noProof/>
          <w:kern w:val="0"/>
          <w:sz w:val="28"/>
          <w:szCs w:val="28"/>
          <w:lang w:val="uk-UA"/>
          <w14:ligatures w14:val="none"/>
        </w:rPr>
        <w:t xml:space="preserve"> </w:t>
      </w:r>
    </w:p>
    <w:p w14:paraId="28059887"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 xml:space="preserve">У зв’язку з цим </w:t>
      </w:r>
      <w:r w:rsidRPr="00B44B71">
        <w:rPr>
          <w:rFonts w:ascii="Times New Roman" w:eastAsia="Times New Roman" w:hAnsi="Times New Roman" w:cs="Times New Roman"/>
          <w:b/>
          <w:bCs/>
          <w:noProof/>
          <w:kern w:val="0"/>
          <w:sz w:val="28"/>
          <w:szCs w:val="28"/>
          <w:lang w:val="uk-UA"/>
          <w14:ligatures w14:val="none"/>
        </w:rPr>
        <w:t>метою роботи</w:t>
      </w:r>
      <w:r w:rsidRPr="00B44B71">
        <w:rPr>
          <w:rFonts w:ascii="Times New Roman" w:eastAsia="Times New Roman" w:hAnsi="Times New Roman" w:cs="Times New Roman"/>
          <w:noProof/>
          <w:kern w:val="0"/>
          <w:sz w:val="28"/>
          <w:szCs w:val="28"/>
          <w:lang w:val="uk-UA"/>
          <w14:ligatures w14:val="none"/>
        </w:rPr>
        <w:t xml:space="preserve"> є обґрунтування доцільності впровадження індивідуальної освітньої траєкторії у вищих військових навчальних закладах через запровадження змішаного навчання, з допомогою платформи </w:t>
      </w:r>
      <w:r w:rsidRPr="00B44B71">
        <w:rPr>
          <w:rFonts w:ascii="Times New Roman" w:eastAsia="Times New Roman" w:hAnsi="Times New Roman" w:cs="Times New Roman"/>
          <w:noProof/>
          <w:kern w:val="0"/>
          <w:sz w:val="28"/>
          <w:szCs w:val="28"/>
          <w14:ligatures w14:val="none"/>
        </w:rPr>
        <w:t>MOODLE</w:t>
      </w:r>
      <w:r w:rsidRPr="00B44B71">
        <w:rPr>
          <w:rFonts w:ascii="Times New Roman" w:eastAsia="Times New Roman" w:hAnsi="Times New Roman" w:cs="Times New Roman"/>
          <w:noProof/>
          <w:kern w:val="0"/>
          <w:sz w:val="28"/>
          <w:szCs w:val="28"/>
          <w:lang w:val="uk-UA"/>
          <w14:ligatures w14:val="none"/>
        </w:rPr>
        <w:t>.</w:t>
      </w:r>
    </w:p>
    <w:p w14:paraId="79B92F95"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ru-RU"/>
          <w14:ligatures w14:val="none"/>
        </w:rPr>
      </w:pPr>
      <w:r w:rsidRPr="00B44B71">
        <w:rPr>
          <w:rFonts w:ascii="Times New Roman" w:eastAsia="Times New Roman" w:hAnsi="Times New Roman" w:cs="Times New Roman"/>
          <w:noProof/>
          <w:kern w:val="0"/>
          <w:sz w:val="28"/>
          <w:szCs w:val="28"/>
          <w:lang w:val="uk-UA"/>
          <w14:ligatures w14:val="none"/>
        </w:rPr>
        <w:t>Визначеними з</w:t>
      </w:r>
      <w:r w:rsidRPr="00B44B71">
        <w:rPr>
          <w:rFonts w:ascii="Times New Roman" w:eastAsia="Times New Roman" w:hAnsi="Times New Roman" w:cs="Times New Roman"/>
          <w:noProof/>
          <w:kern w:val="0"/>
          <w:sz w:val="28"/>
          <w:szCs w:val="28"/>
          <w:lang w:val="ru-RU"/>
          <w14:ligatures w14:val="none"/>
        </w:rPr>
        <w:t>авдання</w:t>
      </w:r>
      <w:r w:rsidRPr="00B44B71">
        <w:rPr>
          <w:rFonts w:ascii="Times New Roman" w:eastAsia="Times New Roman" w:hAnsi="Times New Roman" w:cs="Times New Roman"/>
          <w:noProof/>
          <w:kern w:val="0"/>
          <w:sz w:val="28"/>
          <w:szCs w:val="28"/>
          <w:lang w:val="uk-UA"/>
          <w14:ligatures w14:val="none"/>
        </w:rPr>
        <w:t>ми</w:t>
      </w:r>
      <w:r w:rsidRPr="00B44B71">
        <w:rPr>
          <w:rFonts w:ascii="Times New Roman" w:eastAsia="Times New Roman" w:hAnsi="Times New Roman" w:cs="Times New Roman"/>
          <w:noProof/>
          <w:kern w:val="0"/>
          <w:sz w:val="28"/>
          <w:szCs w:val="28"/>
          <w:lang w:val="ru-RU"/>
          <w14:ligatures w14:val="none"/>
        </w:rPr>
        <w:t xml:space="preserve"> дослідження</w:t>
      </w:r>
      <w:r w:rsidRPr="00B44B71">
        <w:rPr>
          <w:rFonts w:ascii="Times New Roman" w:eastAsia="Times New Roman" w:hAnsi="Times New Roman" w:cs="Times New Roman"/>
          <w:noProof/>
          <w:kern w:val="0"/>
          <w:sz w:val="28"/>
          <w:szCs w:val="28"/>
          <w:lang w:val="uk-UA"/>
          <w14:ligatures w14:val="none"/>
        </w:rPr>
        <w:t>, описаними у роботі стали</w:t>
      </w:r>
      <w:r w:rsidRPr="00B44B71">
        <w:rPr>
          <w:rFonts w:ascii="Times New Roman" w:eastAsia="Times New Roman" w:hAnsi="Times New Roman" w:cs="Times New Roman"/>
          <w:noProof/>
          <w:kern w:val="0"/>
          <w:sz w:val="28"/>
          <w:szCs w:val="28"/>
          <w:lang w:val="ru-RU"/>
          <w14:ligatures w14:val="none"/>
        </w:rPr>
        <w:t>:</w:t>
      </w:r>
    </w:p>
    <w:p w14:paraId="50635E57" w14:textId="77777777" w:rsidR="00B44B71" w:rsidRPr="00B44B71" w:rsidRDefault="00B44B71" w:rsidP="00023291">
      <w:pPr>
        <w:numPr>
          <w:ilvl w:val="0"/>
          <w:numId w:val="17"/>
        </w:numPr>
        <w:tabs>
          <w:tab w:val="left" w:pos="1418"/>
          <w:tab w:val="left" w:pos="9638"/>
        </w:tabs>
        <w:spacing w:after="0" w:line="240" w:lineRule="auto"/>
        <w:ind w:left="284" w:firstLine="709"/>
        <w:jc w:val="both"/>
        <w:rPr>
          <w:rFonts w:ascii="Times New Roman" w:eastAsia="Times New Roman" w:hAnsi="Times New Roman" w:cs="Times New Roman"/>
          <w:noProof/>
          <w:kern w:val="0"/>
          <w:sz w:val="28"/>
          <w:szCs w:val="28"/>
          <w:lang w:val="ru-RU"/>
          <w14:ligatures w14:val="none"/>
        </w:rPr>
      </w:pPr>
      <w:r w:rsidRPr="00B44B71">
        <w:rPr>
          <w:rFonts w:ascii="Times New Roman" w:eastAsia="Times New Roman" w:hAnsi="Times New Roman" w:cs="Times New Roman"/>
          <w:noProof/>
          <w:kern w:val="0"/>
          <w:sz w:val="28"/>
          <w:szCs w:val="28"/>
          <w:lang w:val="uk-UA"/>
          <w14:ligatures w14:val="none"/>
        </w:rPr>
        <w:t>Аналіз</w:t>
      </w:r>
      <w:r w:rsidRPr="00B44B71">
        <w:rPr>
          <w:rFonts w:ascii="Times New Roman" w:eastAsia="Times New Roman" w:hAnsi="Times New Roman" w:cs="Times New Roman"/>
          <w:noProof/>
          <w:kern w:val="0"/>
          <w:sz w:val="28"/>
          <w:szCs w:val="28"/>
          <w:lang w:val="ru-RU"/>
          <w14:ligatures w14:val="none"/>
        </w:rPr>
        <w:t xml:space="preserve"> теоретичн</w:t>
      </w:r>
      <w:r w:rsidRPr="00B44B71">
        <w:rPr>
          <w:rFonts w:ascii="Times New Roman" w:eastAsia="Times New Roman" w:hAnsi="Times New Roman" w:cs="Times New Roman"/>
          <w:noProof/>
          <w:kern w:val="0"/>
          <w:sz w:val="28"/>
          <w:szCs w:val="28"/>
          <w:lang w:val="uk-UA"/>
          <w14:ligatures w14:val="none"/>
        </w:rPr>
        <w:t>их</w:t>
      </w:r>
      <w:r w:rsidRPr="00B44B71">
        <w:rPr>
          <w:rFonts w:ascii="Times New Roman" w:eastAsia="Times New Roman" w:hAnsi="Times New Roman" w:cs="Times New Roman"/>
          <w:noProof/>
          <w:kern w:val="0"/>
          <w:sz w:val="28"/>
          <w:szCs w:val="28"/>
          <w:lang w:val="ru-RU"/>
          <w14:ligatures w14:val="none"/>
        </w:rPr>
        <w:t xml:space="preserve"> підход</w:t>
      </w:r>
      <w:r w:rsidRPr="00B44B71">
        <w:rPr>
          <w:rFonts w:ascii="Times New Roman" w:eastAsia="Times New Roman" w:hAnsi="Times New Roman" w:cs="Times New Roman"/>
          <w:noProof/>
          <w:kern w:val="0"/>
          <w:sz w:val="28"/>
          <w:szCs w:val="28"/>
          <w:lang w:val="uk-UA"/>
          <w14:ligatures w14:val="none"/>
        </w:rPr>
        <w:t>ів</w:t>
      </w:r>
      <w:r w:rsidRPr="00B44B71">
        <w:rPr>
          <w:rFonts w:ascii="Times New Roman" w:eastAsia="Times New Roman" w:hAnsi="Times New Roman" w:cs="Times New Roman"/>
          <w:noProof/>
          <w:kern w:val="0"/>
          <w:sz w:val="28"/>
          <w:szCs w:val="28"/>
          <w:lang w:val="ru-RU"/>
          <w14:ligatures w14:val="none"/>
        </w:rPr>
        <w:t xml:space="preserve"> до впровадження індивідуальної освітньої тра</w:t>
      </w:r>
      <w:r w:rsidRPr="00B44B71">
        <w:rPr>
          <w:rFonts w:ascii="Times New Roman" w:eastAsia="Times New Roman" w:hAnsi="Times New Roman" w:cs="Times New Roman"/>
          <w:noProof/>
          <w:kern w:val="0"/>
          <w:sz w:val="28"/>
          <w:szCs w:val="28"/>
          <w:lang w:val="uk-UA"/>
          <w14:ligatures w14:val="none"/>
        </w:rPr>
        <w:t>е</w:t>
      </w:r>
      <w:r w:rsidRPr="00B44B71">
        <w:rPr>
          <w:rFonts w:ascii="Times New Roman" w:eastAsia="Times New Roman" w:hAnsi="Times New Roman" w:cs="Times New Roman"/>
          <w:noProof/>
          <w:kern w:val="0"/>
          <w:sz w:val="28"/>
          <w:szCs w:val="28"/>
          <w:lang w:val="ru-RU"/>
          <w14:ligatures w14:val="none"/>
        </w:rPr>
        <w:t>кторії у закладах вищої освіти</w:t>
      </w:r>
      <w:r w:rsidRPr="00B44B71">
        <w:rPr>
          <w:rFonts w:ascii="Times New Roman" w:eastAsia="Times New Roman" w:hAnsi="Times New Roman" w:cs="Times New Roman"/>
          <w:noProof/>
          <w:kern w:val="0"/>
          <w:sz w:val="28"/>
          <w:szCs w:val="28"/>
          <w:lang w:val="uk-UA"/>
          <w14:ligatures w14:val="none"/>
        </w:rPr>
        <w:t>;</w:t>
      </w:r>
    </w:p>
    <w:p w14:paraId="0F270926" w14:textId="77777777" w:rsidR="00B44B71" w:rsidRPr="00B44B71" w:rsidRDefault="00B44B71" w:rsidP="00023291">
      <w:pPr>
        <w:numPr>
          <w:ilvl w:val="0"/>
          <w:numId w:val="17"/>
        </w:numPr>
        <w:tabs>
          <w:tab w:val="left" w:pos="1418"/>
          <w:tab w:val="left" w:pos="9638"/>
        </w:tabs>
        <w:spacing w:after="0" w:line="240" w:lineRule="auto"/>
        <w:ind w:left="284" w:firstLine="709"/>
        <w:jc w:val="both"/>
        <w:rPr>
          <w:rFonts w:ascii="Times New Roman" w:eastAsia="Times New Roman" w:hAnsi="Times New Roman" w:cs="Times New Roman"/>
          <w:noProof/>
          <w:kern w:val="0"/>
          <w:sz w:val="28"/>
          <w:szCs w:val="28"/>
          <w:lang w:val="ru-RU"/>
          <w14:ligatures w14:val="none"/>
        </w:rPr>
      </w:pPr>
      <w:r w:rsidRPr="00B44B71">
        <w:rPr>
          <w:rFonts w:ascii="Times New Roman" w:eastAsia="Times New Roman" w:hAnsi="Times New Roman" w:cs="Times New Roman"/>
          <w:noProof/>
          <w:kern w:val="0"/>
          <w:sz w:val="28"/>
          <w:szCs w:val="28"/>
          <w:lang w:val="uk-UA"/>
          <w14:ligatures w14:val="none"/>
        </w:rPr>
        <w:t>В</w:t>
      </w:r>
      <w:r w:rsidRPr="00B44B71">
        <w:rPr>
          <w:rFonts w:ascii="Times New Roman" w:eastAsia="Times New Roman" w:hAnsi="Times New Roman" w:cs="Times New Roman"/>
          <w:noProof/>
          <w:kern w:val="0"/>
          <w:sz w:val="28"/>
          <w:szCs w:val="28"/>
          <w:lang w:val="ru-RU"/>
          <w14:ligatures w14:val="none"/>
        </w:rPr>
        <w:t>ивч</w:t>
      </w:r>
      <w:r w:rsidRPr="00B44B71">
        <w:rPr>
          <w:rFonts w:ascii="Times New Roman" w:eastAsia="Times New Roman" w:hAnsi="Times New Roman" w:cs="Times New Roman"/>
          <w:noProof/>
          <w:kern w:val="0"/>
          <w:sz w:val="28"/>
          <w:szCs w:val="28"/>
          <w:lang w:val="uk-UA"/>
          <w14:ligatures w14:val="none"/>
        </w:rPr>
        <w:t>ення</w:t>
      </w:r>
      <w:r w:rsidRPr="00B44B71">
        <w:rPr>
          <w:rFonts w:ascii="Times New Roman" w:eastAsia="Times New Roman" w:hAnsi="Times New Roman" w:cs="Times New Roman"/>
          <w:noProof/>
          <w:kern w:val="0"/>
          <w:sz w:val="28"/>
          <w:szCs w:val="28"/>
          <w:lang w:val="ru-RU"/>
          <w14:ligatures w14:val="none"/>
        </w:rPr>
        <w:t xml:space="preserve"> особливост</w:t>
      </w:r>
      <w:r w:rsidRPr="00B44B71">
        <w:rPr>
          <w:rFonts w:ascii="Times New Roman" w:eastAsia="Times New Roman" w:hAnsi="Times New Roman" w:cs="Times New Roman"/>
          <w:noProof/>
          <w:kern w:val="0"/>
          <w:sz w:val="28"/>
          <w:szCs w:val="28"/>
          <w:lang w:val="uk-UA"/>
          <w14:ligatures w14:val="none"/>
        </w:rPr>
        <w:t>ей</w:t>
      </w:r>
      <w:r w:rsidRPr="00B44B71">
        <w:rPr>
          <w:rFonts w:ascii="Times New Roman" w:eastAsia="Times New Roman" w:hAnsi="Times New Roman" w:cs="Times New Roman"/>
          <w:noProof/>
          <w:kern w:val="0"/>
          <w:sz w:val="28"/>
          <w:szCs w:val="28"/>
          <w:lang w:val="ru-RU"/>
          <w14:ligatures w14:val="none"/>
        </w:rPr>
        <w:t xml:space="preserve"> реалізації індивідуальних освітніх тра</w:t>
      </w:r>
      <w:r w:rsidRPr="00B44B71">
        <w:rPr>
          <w:rFonts w:ascii="Times New Roman" w:eastAsia="Times New Roman" w:hAnsi="Times New Roman" w:cs="Times New Roman"/>
          <w:noProof/>
          <w:kern w:val="0"/>
          <w:sz w:val="28"/>
          <w:szCs w:val="28"/>
          <w:lang w:val="uk-UA"/>
          <w14:ligatures w14:val="none"/>
        </w:rPr>
        <w:t>е</w:t>
      </w:r>
      <w:r w:rsidRPr="00B44B71">
        <w:rPr>
          <w:rFonts w:ascii="Times New Roman" w:eastAsia="Times New Roman" w:hAnsi="Times New Roman" w:cs="Times New Roman"/>
          <w:noProof/>
          <w:kern w:val="0"/>
          <w:sz w:val="28"/>
          <w:szCs w:val="28"/>
          <w:lang w:val="ru-RU"/>
          <w14:ligatures w14:val="none"/>
        </w:rPr>
        <w:t>кторій у військових освітніх закладах</w:t>
      </w:r>
      <w:r w:rsidRPr="00B44B71">
        <w:rPr>
          <w:rFonts w:ascii="Times New Roman" w:eastAsia="Times New Roman" w:hAnsi="Times New Roman" w:cs="Times New Roman"/>
          <w:noProof/>
          <w:kern w:val="0"/>
          <w:sz w:val="28"/>
          <w:szCs w:val="28"/>
          <w:lang w:val="uk-UA"/>
          <w14:ligatures w14:val="none"/>
        </w:rPr>
        <w:t xml:space="preserve"> шляхом впровадження змішаного навчання;</w:t>
      </w:r>
    </w:p>
    <w:p w14:paraId="6796AC9A" w14:textId="77777777" w:rsidR="00B44B71" w:rsidRPr="00B44B71" w:rsidRDefault="00B44B71" w:rsidP="00023291">
      <w:pPr>
        <w:numPr>
          <w:ilvl w:val="0"/>
          <w:numId w:val="17"/>
        </w:numPr>
        <w:tabs>
          <w:tab w:val="left" w:pos="1418"/>
          <w:tab w:val="left" w:pos="9638"/>
        </w:tabs>
        <w:spacing w:after="0" w:line="240" w:lineRule="auto"/>
        <w:ind w:left="284" w:firstLine="709"/>
        <w:jc w:val="both"/>
        <w:rPr>
          <w:rFonts w:ascii="Times New Roman" w:eastAsia="Times New Roman" w:hAnsi="Times New Roman" w:cs="Times New Roman"/>
          <w:noProof/>
          <w:kern w:val="0"/>
          <w:sz w:val="28"/>
          <w:szCs w:val="28"/>
          <w:lang w:val="ru-RU"/>
          <w14:ligatures w14:val="none"/>
        </w:rPr>
      </w:pPr>
      <w:r w:rsidRPr="00B44B71">
        <w:rPr>
          <w:rFonts w:ascii="Times New Roman" w:eastAsia="Times New Roman" w:hAnsi="Times New Roman" w:cs="Times New Roman"/>
          <w:noProof/>
          <w:kern w:val="0"/>
          <w:sz w:val="28"/>
          <w:szCs w:val="28"/>
          <w:lang w:val="uk-UA"/>
          <w14:ligatures w14:val="none"/>
        </w:rPr>
        <w:t>О</w:t>
      </w:r>
      <w:r w:rsidRPr="00B44B71">
        <w:rPr>
          <w:rFonts w:ascii="Times New Roman" w:eastAsia="Times New Roman" w:hAnsi="Times New Roman" w:cs="Times New Roman"/>
          <w:noProof/>
          <w:kern w:val="0"/>
          <w:sz w:val="28"/>
          <w:szCs w:val="28"/>
          <w:lang w:val="ru-RU"/>
          <w14:ligatures w14:val="none"/>
        </w:rPr>
        <w:t>цін</w:t>
      </w:r>
      <w:r w:rsidRPr="00B44B71">
        <w:rPr>
          <w:rFonts w:ascii="Times New Roman" w:eastAsia="Times New Roman" w:hAnsi="Times New Roman" w:cs="Times New Roman"/>
          <w:noProof/>
          <w:kern w:val="0"/>
          <w:sz w:val="28"/>
          <w:szCs w:val="28"/>
          <w:lang w:val="uk-UA"/>
          <w14:ligatures w14:val="none"/>
        </w:rPr>
        <w:t>ення</w:t>
      </w:r>
      <w:r w:rsidRPr="00B44B71">
        <w:rPr>
          <w:rFonts w:ascii="Times New Roman" w:eastAsia="Times New Roman" w:hAnsi="Times New Roman" w:cs="Times New Roman"/>
          <w:noProof/>
          <w:kern w:val="0"/>
          <w:sz w:val="28"/>
          <w:szCs w:val="28"/>
          <w:lang w:val="ru-RU"/>
          <w14:ligatures w14:val="none"/>
        </w:rPr>
        <w:t xml:space="preserve"> вплив</w:t>
      </w:r>
      <w:r w:rsidRPr="00B44B71">
        <w:rPr>
          <w:rFonts w:ascii="Times New Roman" w:eastAsia="Times New Roman" w:hAnsi="Times New Roman" w:cs="Times New Roman"/>
          <w:noProof/>
          <w:kern w:val="0"/>
          <w:sz w:val="28"/>
          <w:szCs w:val="28"/>
          <w:lang w:val="uk-UA"/>
          <w14:ligatures w14:val="none"/>
        </w:rPr>
        <w:t>у</w:t>
      </w:r>
      <w:r w:rsidRPr="00B44B71">
        <w:rPr>
          <w:rFonts w:ascii="Times New Roman" w:eastAsia="Times New Roman" w:hAnsi="Times New Roman" w:cs="Times New Roman"/>
          <w:noProof/>
          <w:kern w:val="0"/>
          <w:sz w:val="28"/>
          <w:szCs w:val="28"/>
          <w:lang w:val="ru-RU"/>
          <w14:ligatures w14:val="none"/>
        </w:rPr>
        <w:t xml:space="preserve"> </w:t>
      </w:r>
      <w:r w:rsidRPr="00B44B71">
        <w:rPr>
          <w:rFonts w:ascii="Times New Roman" w:eastAsia="Times New Roman" w:hAnsi="Times New Roman" w:cs="Times New Roman"/>
          <w:noProof/>
          <w:kern w:val="0"/>
          <w:sz w:val="28"/>
          <w:szCs w:val="28"/>
          <w:lang w:val="uk-UA"/>
          <w14:ligatures w14:val="none"/>
        </w:rPr>
        <w:t>гібридного</w:t>
      </w:r>
      <w:r w:rsidRPr="00B44B71">
        <w:rPr>
          <w:rFonts w:ascii="Times New Roman" w:eastAsia="Times New Roman" w:hAnsi="Times New Roman" w:cs="Times New Roman"/>
          <w:noProof/>
          <w:kern w:val="0"/>
          <w:sz w:val="28"/>
          <w:szCs w:val="28"/>
          <w:lang w:val="ru-RU"/>
          <w14:ligatures w14:val="none"/>
        </w:rPr>
        <w:t xml:space="preserve"> навчання на якість освітньої діяльності та професійну підготовку майбутніх офіцерів.</w:t>
      </w:r>
    </w:p>
    <w:p w14:paraId="1A6879D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b/>
          <w:color w:val="000000"/>
          <w:spacing w:val="-2"/>
          <w:kern w:val="0"/>
          <w:sz w:val="28"/>
          <w:szCs w:val="24"/>
          <w:lang w:val="uk-UA"/>
          <w14:ligatures w14:val="none"/>
        </w:rPr>
        <w:t>Методи дослідження</w:t>
      </w:r>
      <w:r w:rsidRPr="00B44B71">
        <w:rPr>
          <w:rFonts w:ascii="Times New Roman" w:eastAsia="Times New Roman" w:hAnsi="Times New Roman" w:cs="Times New Roman"/>
          <w:b/>
          <w:color w:val="000000"/>
          <w:spacing w:val="-2"/>
          <w:kern w:val="0"/>
          <w:sz w:val="28"/>
          <w:szCs w:val="24"/>
          <w:lang w:val="ru-RU"/>
          <w14:ligatures w14:val="none"/>
        </w:rPr>
        <w:t>.</w:t>
      </w:r>
      <w:r w:rsidRPr="00B44B71">
        <w:rPr>
          <w:rFonts w:ascii="Times New Roman" w:eastAsia="Times New Roman" w:hAnsi="Times New Roman" w:cs="Times New Roman"/>
          <w:color w:val="000000"/>
          <w:spacing w:val="-2"/>
          <w:kern w:val="0"/>
          <w:sz w:val="28"/>
          <w:szCs w:val="24"/>
          <w:lang w:val="ru-RU"/>
          <w14:ligatures w14:val="none"/>
        </w:rPr>
        <w:t xml:space="preserve"> </w:t>
      </w:r>
      <w:r w:rsidRPr="00B44B71">
        <w:rPr>
          <w:rFonts w:ascii="Times New Roman" w:eastAsia="Times New Roman" w:hAnsi="Times New Roman" w:cs="Times New Roman"/>
          <w:noProof/>
          <w:kern w:val="0"/>
          <w:sz w:val="28"/>
          <w:szCs w:val="28"/>
          <w:lang w:val="uk-UA"/>
          <w14:ligatures w14:val="none"/>
        </w:rPr>
        <w:t>У дослідженні було використано поєднання загальнонаукових та педагогічних методів для аналізу впливу змішаного навчання на освітній процес. Теоретичні методи поєднували синтез, аналіз, порівняння та узагальнення наукових джерел щодо доцільності використання гібридного навчання для здобувачів освіти у ВВНЗ. Емпіричні методи були реалізовані через педагогічний експеримент, проведений у стінах ВВНЗ та спрямований на оцінку ефективності змішаного навчання порівняно з традиційними методами.</w:t>
      </w:r>
    </w:p>
    <w:p w14:paraId="35163A0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 xml:space="preserve">Експеримент проводився у три етапи: організаційно-підготовчий, формувальний (включаючи діагностичний, формувальний та контрольний підетапи) та аналітично-узагальнювальний. Було обрано дві групи курсантів: контрольну групу, навчання якої проводилося традиційними методами (лекції, </w:t>
      </w:r>
      <w:r w:rsidRPr="00B44B71">
        <w:rPr>
          <w:rFonts w:ascii="Times New Roman" w:eastAsia="Times New Roman" w:hAnsi="Times New Roman" w:cs="Times New Roman"/>
          <w:noProof/>
          <w:kern w:val="0"/>
          <w:sz w:val="28"/>
          <w:szCs w:val="28"/>
          <w:lang w:val="uk-UA"/>
          <w14:ligatures w14:val="none"/>
        </w:rPr>
        <w:lastRenderedPageBreak/>
        <w:t>семінари, друковані підручники), та експериментальну групу, де навчання відбувалося за змішаним типом з використанням інформаційно-комунікативних технологій, зокрема цифрової платформи MOODLE.</w:t>
      </w:r>
    </w:p>
    <w:p w14:paraId="30BC854B"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ru-RU"/>
          <w14:ligatures w14:val="none"/>
        </w:rPr>
        <w:t>У дослідженні взяли участь 113 курсантів</w:t>
      </w:r>
      <w:r w:rsidRPr="00B44B71">
        <w:rPr>
          <w:rFonts w:ascii="Times New Roman" w:eastAsia="Times New Roman" w:hAnsi="Times New Roman" w:cs="Times New Roman"/>
          <w:noProof/>
          <w:kern w:val="0"/>
          <w:sz w:val="28"/>
          <w:szCs w:val="28"/>
          <w:lang w:val="uk-UA"/>
          <w14:ligatures w14:val="none"/>
        </w:rPr>
        <w:t>.</w:t>
      </w:r>
      <w:r w:rsidRPr="00B44B71">
        <w:rPr>
          <w:rFonts w:ascii="Times New Roman" w:eastAsia="Times New Roman" w:hAnsi="Times New Roman" w:cs="Times New Roman"/>
          <w:noProof/>
          <w:kern w:val="0"/>
          <w:sz w:val="28"/>
          <w:szCs w:val="28"/>
          <w:lang w:val="ru-RU"/>
          <w14:ligatures w14:val="none"/>
        </w:rPr>
        <w:t xml:space="preserve"> </w:t>
      </w:r>
      <w:r w:rsidRPr="00B44B71">
        <w:rPr>
          <w:rFonts w:ascii="Times New Roman" w:eastAsia="Times New Roman" w:hAnsi="Times New Roman" w:cs="Times New Roman"/>
          <w:noProof/>
          <w:kern w:val="0"/>
          <w:sz w:val="28"/>
          <w:szCs w:val="28"/>
          <w:lang w:val="uk-UA"/>
          <w14:ligatures w14:val="none"/>
        </w:rPr>
        <w:t>Одні</w:t>
      </w:r>
      <w:r w:rsidRPr="00B44B71">
        <w:rPr>
          <w:rFonts w:ascii="Times New Roman" w:eastAsia="Times New Roman" w:hAnsi="Times New Roman" w:cs="Times New Roman"/>
          <w:noProof/>
          <w:kern w:val="0"/>
          <w:sz w:val="28"/>
          <w:szCs w:val="28"/>
          <w:lang w:val="ru-RU"/>
          <w14:ligatures w14:val="none"/>
        </w:rPr>
        <w:t xml:space="preserve"> навча</w:t>
      </w:r>
      <w:r w:rsidRPr="00B44B71">
        <w:rPr>
          <w:rFonts w:ascii="Times New Roman" w:eastAsia="Times New Roman" w:hAnsi="Times New Roman" w:cs="Times New Roman"/>
          <w:noProof/>
          <w:kern w:val="0"/>
          <w:sz w:val="28"/>
          <w:szCs w:val="28"/>
          <w:lang w:val="uk-UA"/>
          <w14:ligatures w14:val="none"/>
        </w:rPr>
        <w:t>ли</w:t>
      </w:r>
      <w:r w:rsidRPr="00B44B71">
        <w:rPr>
          <w:rFonts w:ascii="Times New Roman" w:eastAsia="Times New Roman" w:hAnsi="Times New Roman" w:cs="Times New Roman"/>
          <w:noProof/>
          <w:kern w:val="0"/>
          <w:sz w:val="28"/>
          <w:szCs w:val="28"/>
          <w:lang w:val="ru-RU"/>
          <w14:ligatures w14:val="none"/>
        </w:rPr>
        <w:t xml:space="preserve">ся у класичному форматі з можливістю доступу до освітньої платформи </w:t>
      </w:r>
      <w:r w:rsidRPr="00B44B71">
        <w:rPr>
          <w:rFonts w:ascii="Times New Roman" w:eastAsia="Times New Roman" w:hAnsi="Times New Roman" w:cs="Times New Roman"/>
          <w:bCs/>
          <w:noProof/>
          <w:kern w:val="0"/>
          <w:sz w:val="28"/>
          <w:szCs w:val="28"/>
          <w:lang w:val="ru-RU"/>
          <w14:ligatures w14:val="none"/>
        </w:rPr>
        <w:t>MOODLE</w:t>
      </w:r>
      <w:r w:rsidRPr="00B44B71">
        <w:rPr>
          <w:rFonts w:ascii="Times New Roman" w:eastAsia="Times New Roman" w:hAnsi="Times New Roman" w:cs="Times New Roman"/>
          <w:noProof/>
          <w:kern w:val="0"/>
          <w:sz w:val="28"/>
          <w:szCs w:val="28"/>
          <w:lang w:val="ru-RU"/>
          <w14:ligatures w14:val="none"/>
        </w:rPr>
        <w:t>,</w:t>
      </w:r>
      <w:r w:rsidRPr="00B44B71">
        <w:rPr>
          <w:rFonts w:ascii="Times New Roman" w:eastAsia="Times New Roman" w:hAnsi="Times New Roman" w:cs="Times New Roman"/>
          <w:b/>
          <w:bCs/>
          <w:noProof/>
          <w:kern w:val="0"/>
          <w:sz w:val="28"/>
          <w:szCs w:val="28"/>
          <w:lang w:val="ru-RU"/>
          <w14:ligatures w14:val="none"/>
        </w:rPr>
        <w:t xml:space="preserve"> </w:t>
      </w:r>
      <w:r w:rsidRPr="00B44B71">
        <w:rPr>
          <w:rFonts w:ascii="Times New Roman" w:eastAsia="Times New Roman" w:hAnsi="Times New Roman" w:cs="Times New Roman"/>
          <w:noProof/>
          <w:kern w:val="0"/>
          <w:sz w:val="28"/>
          <w:szCs w:val="28"/>
          <w:lang w:val="ru-RU"/>
          <w14:ligatures w14:val="none"/>
        </w:rPr>
        <w:t>яка використовувалась за бажанням здобувача освіти.</w:t>
      </w:r>
      <w:r w:rsidRPr="00B44B71">
        <w:rPr>
          <w:rFonts w:ascii="Times New Roman" w:eastAsia="Times New Roman" w:hAnsi="Times New Roman" w:cs="Times New Roman"/>
          <w:b/>
          <w:bCs/>
          <w:noProof/>
          <w:kern w:val="0"/>
          <w:sz w:val="28"/>
          <w:szCs w:val="28"/>
          <w:lang w:val="ru-RU"/>
          <w14:ligatures w14:val="none"/>
        </w:rPr>
        <w:t xml:space="preserve"> </w:t>
      </w:r>
      <w:r w:rsidRPr="00B44B71">
        <w:rPr>
          <w:rFonts w:ascii="Times New Roman" w:eastAsia="Times New Roman" w:hAnsi="Times New Roman" w:cs="Times New Roman"/>
          <w:noProof/>
          <w:kern w:val="0"/>
          <w:sz w:val="28"/>
          <w:szCs w:val="28"/>
          <w:lang w:val="ru-RU"/>
          <w14:ligatures w14:val="none"/>
        </w:rPr>
        <w:t>З них була сформована контрольна група (57 здобувачів освіти).</w:t>
      </w:r>
      <w:r w:rsidRPr="00B44B71">
        <w:rPr>
          <w:rFonts w:ascii="Times New Roman" w:eastAsia="Times New Roman" w:hAnsi="Times New Roman" w:cs="Times New Roman"/>
          <w:b/>
          <w:bCs/>
          <w:noProof/>
          <w:kern w:val="0"/>
          <w:sz w:val="28"/>
          <w:szCs w:val="28"/>
          <w:lang w:val="ru-RU"/>
          <w14:ligatures w14:val="none"/>
        </w:rPr>
        <w:t xml:space="preserve"> </w:t>
      </w:r>
      <w:r w:rsidRPr="00B44B71">
        <w:rPr>
          <w:rFonts w:ascii="Times New Roman" w:eastAsia="Times New Roman" w:hAnsi="Times New Roman" w:cs="Times New Roman"/>
          <w:noProof/>
          <w:kern w:val="0"/>
          <w:sz w:val="28"/>
          <w:szCs w:val="28"/>
          <w:lang w:val="ru-RU"/>
          <w14:ligatures w14:val="none"/>
        </w:rPr>
        <w:t xml:space="preserve">Друга група (56 здобувачів освіти) –експериментальна, </w:t>
      </w:r>
      <w:r w:rsidRPr="00B44B71">
        <w:rPr>
          <w:rFonts w:ascii="Times New Roman" w:eastAsia="Times New Roman" w:hAnsi="Times New Roman" w:cs="Times New Roman"/>
          <w:noProof/>
          <w:kern w:val="0"/>
          <w:sz w:val="28"/>
          <w:szCs w:val="28"/>
          <w:lang w:val="uk-UA"/>
          <w14:ligatures w14:val="none"/>
        </w:rPr>
        <w:t>працювала у форматі гібридного навчання</w:t>
      </w:r>
      <w:r w:rsidRPr="00B44B71">
        <w:rPr>
          <w:rFonts w:ascii="Times New Roman" w:eastAsia="Times New Roman" w:hAnsi="Times New Roman" w:cs="Times New Roman"/>
          <w:noProof/>
          <w:kern w:val="0"/>
          <w:sz w:val="28"/>
          <w:szCs w:val="28"/>
          <w:lang w:val="ru-RU"/>
          <w14:ligatures w14:val="none"/>
        </w:rPr>
        <w:t xml:space="preserve">. Доступ до освітньої платформи </w:t>
      </w:r>
      <w:r w:rsidRPr="00B44B71">
        <w:rPr>
          <w:rFonts w:ascii="Times New Roman" w:eastAsia="Times New Roman" w:hAnsi="Times New Roman" w:cs="Times New Roman"/>
          <w:bCs/>
          <w:noProof/>
          <w:kern w:val="0"/>
          <w:sz w:val="28"/>
          <w:szCs w:val="28"/>
          <w:lang w:val="ru-RU"/>
          <w14:ligatures w14:val="none"/>
        </w:rPr>
        <w:t>MOODLE</w:t>
      </w:r>
      <w:r w:rsidRPr="00B44B71">
        <w:rPr>
          <w:rFonts w:ascii="Times New Roman" w:eastAsia="Times New Roman" w:hAnsi="Times New Roman" w:cs="Times New Roman"/>
          <w:b/>
          <w:bCs/>
          <w:noProof/>
          <w:kern w:val="0"/>
          <w:sz w:val="28"/>
          <w:szCs w:val="28"/>
          <w:lang w:val="ru-RU"/>
          <w14:ligatures w14:val="none"/>
        </w:rPr>
        <w:t xml:space="preserve"> </w:t>
      </w:r>
      <w:r w:rsidRPr="00B44B71">
        <w:rPr>
          <w:rFonts w:ascii="Times New Roman" w:eastAsia="Times New Roman" w:hAnsi="Times New Roman" w:cs="Times New Roman"/>
          <w:noProof/>
          <w:kern w:val="0"/>
          <w:sz w:val="28"/>
          <w:szCs w:val="28"/>
          <w:lang w:val="ru-RU"/>
          <w14:ligatures w14:val="none"/>
        </w:rPr>
        <w:t>для них був забезпечений в повному обсязі</w:t>
      </w:r>
      <w:r w:rsidRPr="00B44B71">
        <w:rPr>
          <w:rFonts w:ascii="Times New Roman" w:eastAsia="Times New Roman" w:hAnsi="Times New Roman" w:cs="Times New Roman"/>
          <w:noProof/>
          <w:kern w:val="0"/>
          <w:sz w:val="28"/>
          <w:szCs w:val="28"/>
          <w:lang w:val="uk-UA"/>
          <w14:ligatures w14:val="none"/>
        </w:rPr>
        <w:t xml:space="preserve"> в обов’язковому порядку</w:t>
      </w:r>
      <w:r w:rsidRPr="00B44B71">
        <w:rPr>
          <w:rFonts w:ascii="Times New Roman" w:eastAsia="Times New Roman" w:hAnsi="Times New Roman" w:cs="Times New Roman"/>
          <w:noProof/>
          <w:kern w:val="0"/>
          <w:sz w:val="28"/>
          <w:szCs w:val="28"/>
          <w:lang w:val="ru-RU"/>
          <w14:ligatures w14:val="none"/>
        </w:rPr>
        <w:t>.</w:t>
      </w:r>
      <w:r w:rsidRPr="00B44B71">
        <w:rPr>
          <w:rFonts w:ascii="Times New Roman" w:eastAsia="Times New Roman" w:hAnsi="Times New Roman" w:cs="Times New Roman"/>
          <w:noProof/>
          <w:kern w:val="0"/>
          <w:sz w:val="28"/>
          <w:szCs w:val="28"/>
          <w:lang w:val="uk-UA"/>
          <w14:ligatures w14:val="none"/>
        </w:rPr>
        <w:t xml:space="preserve"> Заняття, які сприяли засвоєнню теоретичних знань відбувалися під час самостійної роботи очно чи дистанційно у форматі обговорення у форумі чи чаті, а практичні - з використанням матеріально-технічного оснащення кафедри (устаткування, лабораторних стендів та плакатів) під керівництвом викладача. </w:t>
      </w:r>
    </w:p>
    <w:p w14:paraId="4B525FEB"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 xml:space="preserve">Інструменти збору даних включали вступні тести, формувальне оцінювання та підсумкові оцінювання для відстеження динаміки засвоєння знань. Ефективність впровадження змішаного навчання вимірювалася шляхом статистичного порівняння результатів навчання між двома групами, використовуючи наступні формули для розрахунку якісних показників зростання знань. </w:t>
      </w:r>
    </w:p>
    <w:p w14:paraId="323693C3"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Абсолютний приріст знань, умінь чи навичок (</w:t>
      </w:r>
      <w:r w:rsidRPr="00B44B71">
        <w:rPr>
          <w:rFonts w:ascii="Times New Roman" w:eastAsia="Times New Roman" w:hAnsi="Times New Roman" w:cs="Times New Roman"/>
          <w:b/>
          <w:bCs/>
          <w:noProof/>
          <w:kern w:val="0"/>
          <w:sz w:val="28"/>
          <w:szCs w:val="28"/>
          <w:lang w:val="uk-UA"/>
          <w14:ligatures w14:val="none"/>
        </w:rPr>
        <w:t>∆</w:t>
      </w:r>
      <w:r w:rsidRPr="00B44B71">
        <w:rPr>
          <w:rFonts w:ascii="Times New Roman" w:eastAsia="Times New Roman" w:hAnsi="Times New Roman" w:cs="Times New Roman"/>
          <w:noProof/>
          <w:kern w:val="0"/>
          <w:sz w:val="28"/>
          <w:szCs w:val="28"/>
          <w:lang w:val="uk-UA"/>
          <w14:ligatures w14:val="none"/>
        </w:rPr>
        <w:t>Ре</w:t>
      </w:r>
      <w:r w:rsidRPr="00B44B71">
        <w:rPr>
          <w:rFonts w:ascii="Times New Roman" w:eastAsia="Times New Roman" w:hAnsi="Times New Roman" w:cs="Times New Roman"/>
          <w:b/>
          <w:noProof/>
          <w:kern w:val="0"/>
          <w:sz w:val="28"/>
          <w:szCs w:val="28"/>
          <w:lang w:val="uk-UA"/>
          <w14:ligatures w14:val="none"/>
        </w:rPr>
        <w:t xml:space="preserve"> </w:t>
      </w:r>
      <w:r w:rsidRPr="00B44B71">
        <w:rPr>
          <w:rFonts w:ascii="Times New Roman" w:eastAsia="Times New Roman" w:hAnsi="Times New Roman" w:cs="Times New Roman"/>
          <w:bCs/>
          <w:noProof/>
          <w:kern w:val="0"/>
          <w:sz w:val="28"/>
          <w:szCs w:val="28"/>
          <w:lang w:val="uk-UA"/>
          <w14:ligatures w14:val="none"/>
        </w:rPr>
        <w:t>і</w:t>
      </w:r>
      <w:r w:rsidRPr="00B44B71">
        <w:rPr>
          <w:rFonts w:ascii="Times New Roman" w:eastAsia="Times New Roman" w:hAnsi="Times New Roman" w:cs="Times New Roman"/>
          <w:b/>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lang w:val="uk-UA"/>
          <w14:ligatures w14:val="none"/>
        </w:rPr>
        <w:t>∆Рк</w:t>
      </w:r>
      <w:r w:rsidRPr="00B44B71">
        <w:rPr>
          <w:rFonts w:ascii="Times New Roman" w:eastAsia="Times New Roman" w:hAnsi="Times New Roman" w:cs="Times New Roman"/>
          <w:b/>
          <w:noProof/>
          <w:kern w:val="0"/>
          <w:sz w:val="28"/>
          <w:szCs w:val="28"/>
          <w:lang w:val="uk-UA"/>
          <w14:ligatures w14:val="none"/>
        </w:rPr>
        <w:t xml:space="preserve"> </w:t>
      </w:r>
      <w:r w:rsidRPr="00B44B71">
        <w:rPr>
          <w:rFonts w:ascii="Times New Roman" w:eastAsia="Times New Roman" w:hAnsi="Times New Roman" w:cs="Times New Roman"/>
          <w:bCs/>
          <w:noProof/>
          <w:kern w:val="0"/>
          <w:sz w:val="28"/>
          <w:szCs w:val="28"/>
          <w:lang w:val="uk-UA"/>
          <w14:ligatures w14:val="none"/>
        </w:rPr>
        <w:t>відповідно</w:t>
      </w:r>
      <w:r w:rsidRPr="00B44B71">
        <w:rPr>
          <w:rFonts w:ascii="Times New Roman" w:eastAsia="Times New Roman" w:hAnsi="Times New Roman" w:cs="Times New Roman"/>
          <w:b/>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lang w:val="uk-UA"/>
          <w14:ligatures w14:val="none"/>
        </w:rPr>
        <w:t>в експериментальних і контрольних групах визначали за формулою 1.</w:t>
      </w:r>
    </w:p>
    <w:p w14:paraId="72CF6E10"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b/>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∆Р = Р</w:t>
      </w:r>
      <w:r w:rsidRPr="00B44B71">
        <w:rPr>
          <w:rFonts w:ascii="Times New Roman" w:eastAsia="Times New Roman" w:hAnsi="Times New Roman" w:cs="Times New Roman"/>
          <w:noProof/>
          <w:kern w:val="0"/>
          <w:sz w:val="28"/>
          <w:szCs w:val="28"/>
          <w:vertAlign w:val="subscript"/>
          <w:lang w:val="uk-UA"/>
          <w14:ligatures w14:val="none"/>
        </w:rPr>
        <w:t xml:space="preserve">кін  </w:t>
      </w:r>
      <w:r w:rsidRPr="00B44B71">
        <w:rPr>
          <w:rFonts w:ascii="Times New Roman" w:eastAsia="Times New Roman" w:hAnsi="Times New Roman" w:cs="Times New Roman"/>
          <w:b/>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lang w:val="uk-UA"/>
          <w14:ligatures w14:val="none"/>
        </w:rPr>
        <w:t xml:space="preserve"> Р</w:t>
      </w:r>
      <w:r w:rsidRPr="00B44B71">
        <w:rPr>
          <w:rFonts w:ascii="Times New Roman" w:eastAsia="Times New Roman" w:hAnsi="Times New Roman" w:cs="Times New Roman"/>
          <w:noProof/>
          <w:kern w:val="0"/>
          <w:sz w:val="28"/>
          <w:szCs w:val="28"/>
          <w:vertAlign w:val="subscript"/>
          <w:lang w:val="uk-UA"/>
          <w14:ligatures w14:val="none"/>
        </w:rPr>
        <w:t>поч</w:t>
      </w:r>
      <w:r w:rsidRPr="00B44B71">
        <w:rPr>
          <w:rFonts w:ascii="Times New Roman" w:eastAsia="Times New Roman" w:hAnsi="Times New Roman" w:cs="Times New Roman"/>
          <w:noProof/>
          <w:kern w:val="0"/>
          <w:sz w:val="28"/>
          <w:szCs w:val="28"/>
          <w:lang w:val="uk-UA"/>
          <w14:ligatures w14:val="none"/>
        </w:rPr>
        <w:t xml:space="preserve">     (1)</w:t>
      </w:r>
    </w:p>
    <w:p w14:paraId="1ABE4DE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де Р</w:t>
      </w:r>
      <w:r w:rsidRPr="00B44B71">
        <w:rPr>
          <w:rFonts w:ascii="Times New Roman" w:eastAsia="Times New Roman" w:hAnsi="Times New Roman" w:cs="Times New Roman"/>
          <w:noProof/>
          <w:kern w:val="0"/>
          <w:sz w:val="28"/>
          <w:szCs w:val="28"/>
          <w:vertAlign w:val="subscript"/>
          <w:lang w:val="uk-UA"/>
          <w14:ligatures w14:val="none"/>
        </w:rPr>
        <w:t>поч</w:t>
      </w:r>
      <w:r w:rsidRPr="00B44B71">
        <w:rPr>
          <w:rFonts w:ascii="Times New Roman" w:eastAsia="Times New Roman" w:hAnsi="Times New Roman" w:cs="Times New Roman"/>
          <w:noProof/>
          <w:kern w:val="0"/>
          <w:sz w:val="28"/>
          <w:szCs w:val="28"/>
          <w:lang w:val="uk-UA"/>
          <w14:ligatures w14:val="none"/>
        </w:rPr>
        <w:t xml:space="preserve"> та Р</w:t>
      </w:r>
      <w:r w:rsidRPr="00B44B71">
        <w:rPr>
          <w:rFonts w:ascii="Times New Roman" w:eastAsia="Times New Roman" w:hAnsi="Times New Roman" w:cs="Times New Roman"/>
          <w:noProof/>
          <w:kern w:val="0"/>
          <w:sz w:val="28"/>
          <w:szCs w:val="28"/>
          <w:vertAlign w:val="subscript"/>
          <w:lang w:val="uk-UA"/>
          <w14:ligatures w14:val="none"/>
        </w:rPr>
        <w:t>кін</w:t>
      </w:r>
      <w:r w:rsidRPr="00B44B71">
        <w:rPr>
          <w:rFonts w:ascii="Times New Roman" w:eastAsia="Times New Roman" w:hAnsi="Times New Roman" w:cs="Times New Roman"/>
          <w:noProof/>
          <w:kern w:val="0"/>
          <w:sz w:val="28"/>
          <w:szCs w:val="28"/>
          <w:lang w:val="uk-UA"/>
          <w14:ligatures w14:val="none"/>
        </w:rPr>
        <w:t xml:space="preserve"> – початковий та кінцевий показник знань у відповідній групі</w:t>
      </w:r>
    </w:p>
    <w:p w14:paraId="11C06F8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Відносний приріст обчислювали за  формулою 2.</w:t>
      </w:r>
    </w:p>
    <w:p w14:paraId="1E82DC71"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noProof/>
          <w:kern w:val="0"/>
          <w:sz w:val="28"/>
          <w:szCs w:val="28"/>
          <w:lang w:val="uk-UA"/>
          <w14:ligatures w14:val="none"/>
        </w:rPr>
      </w:pPr>
      <m:oMath>
        <m:r>
          <w:rPr>
            <w:rFonts w:ascii="Cambria Math" w:eastAsia="Times New Roman" w:hAnsi="Cambria Math" w:cs="Times New Roman"/>
            <w:noProof/>
            <w:kern w:val="0"/>
            <w:sz w:val="32"/>
            <w:szCs w:val="32"/>
            <w:lang w:val="uk-UA"/>
            <w14:ligatures w14:val="none"/>
          </w:rPr>
          <m:t>R=</m:t>
        </m:r>
        <m:f>
          <m:fPr>
            <m:ctrlPr>
              <w:rPr>
                <w:rFonts w:ascii="Cambria Math" w:eastAsia="Times New Roman" w:hAnsi="Cambria Math" w:cs="Times New Roman"/>
                <w:i/>
                <w:noProof/>
                <w:kern w:val="0"/>
                <w:sz w:val="32"/>
                <w:szCs w:val="32"/>
                <w14:ligatures w14:val="none"/>
              </w:rPr>
            </m:ctrlPr>
          </m:fPr>
          <m:num>
            <m:sSub>
              <m:sSubPr>
                <m:ctrlPr>
                  <w:rPr>
                    <w:rFonts w:ascii="Cambria Math" w:eastAsia="Times New Roman" w:hAnsi="Cambria Math" w:cs="Times New Roman"/>
                    <w:i/>
                    <w:noProof/>
                    <w:kern w:val="0"/>
                    <w:sz w:val="32"/>
                    <w:szCs w:val="32"/>
                    <w:vertAlign w:val="subscript"/>
                    <w:lang w:val="uk-UA"/>
                    <w14:ligatures w14:val="none"/>
                  </w:rPr>
                </m:ctrlPr>
              </m:sSubPr>
              <m:e>
                <m:r>
                  <m:rPr>
                    <m:sty m:val="p"/>
                  </m:rPr>
                  <w:rPr>
                    <w:rFonts w:ascii="Cambria Math" w:eastAsia="Times New Roman" w:hAnsi="Cambria Math" w:cs="Times New Roman"/>
                    <w:noProof/>
                    <w:kern w:val="0"/>
                    <w:sz w:val="32"/>
                    <w:szCs w:val="32"/>
                    <w:lang w:val="uk-UA"/>
                    <w14:ligatures w14:val="none"/>
                  </w:rPr>
                  <m:t>Р</m:t>
                </m:r>
              </m:e>
              <m:sub>
                <m:r>
                  <w:rPr>
                    <w:rFonts w:ascii="Cambria Math" w:eastAsia="Times New Roman" w:hAnsi="Cambria Math" w:cs="Times New Roman"/>
                    <w:noProof/>
                    <w:kern w:val="0"/>
                    <w:sz w:val="32"/>
                    <w:szCs w:val="32"/>
                    <w:vertAlign w:val="subscript"/>
                    <w:lang w:val="uk-UA"/>
                    <w14:ligatures w14:val="none"/>
                  </w:rPr>
                  <m:t>кін</m:t>
                </m:r>
              </m:sub>
            </m:sSub>
            <m:r>
              <m:rPr>
                <m:sty m:val="p"/>
              </m:rPr>
              <w:rPr>
                <w:rFonts w:ascii="Cambria Math" w:eastAsia="Times New Roman" w:hAnsi="Cambria Math" w:cs="Times New Roman"/>
                <w:noProof/>
                <w:kern w:val="0"/>
                <w:sz w:val="32"/>
                <w:szCs w:val="32"/>
                <w:vertAlign w:val="subscript"/>
                <w:lang w:val="uk-UA"/>
                <w14:ligatures w14:val="none"/>
              </w:rPr>
              <m:t xml:space="preserve">  </m:t>
            </m:r>
            <m:r>
              <m:rPr>
                <m:sty m:val="b"/>
              </m:rPr>
              <w:rPr>
                <w:rFonts w:ascii="Cambria Math" w:eastAsia="Times New Roman" w:hAnsi="Cambria Math" w:cs="Times New Roman"/>
                <w:noProof/>
                <w:kern w:val="0"/>
                <w:sz w:val="32"/>
                <w:szCs w:val="32"/>
                <w:lang w:val="uk-UA"/>
                <w14:ligatures w14:val="none"/>
              </w:rPr>
              <m:t xml:space="preserve">- </m:t>
            </m:r>
            <m:r>
              <m:rPr>
                <m:sty m:val="p"/>
              </m:rPr>
              <w:rPr>
                <w:rFonts w:ascii="Cambria Math" w:eastAsia="Times New Roman" w:hAnsi="Cambria Math" w:cs="Times New Roman"/>
                <w:noProof/>
                <w:kern w:val="0"/>
                <w:sz w:val="32"/>
                <w:szCs w:val="32"/>
                <w:lang w:val="uk-UA"/>
                <w14:ligatures w14:val="none"/>
              </w:rPr>
              <m:t xml:space="preserve"> </m:t>
            </m:r>
            <m:sSub>
              <m:sSubPr>
                <m:ctrlPr>
                  <w:rPr>
                    <w:rFonts w:ascii="Cambria Math" w:eastAsia="Times New Roman" w:hAnsi="Cambria Math" w:cs="Times New Roman"/>
                    <w:noProof/>
                    <w:kern w:val="0"/>
                    <w:sz w:val="32"/>
                    <w:szCs w:val="32"/>
                    <w:lang w:val="uk-UA"/>
                    <w14:ligatures w14:val="none"/>
                  </w:rPr>
                </m:ctrlPr>
              </m:sSubPr>
              <m:e>
                <m:r>
                  <m:rPr>
                    <m:sty m:val="p"/>
                  </m:rPr>
                  <w:rPr>
                    <w:rFonts w:ascii="Cambria Math" w:eastAsia="Times New Roman" w:hAnsi="Cambria Math" w:cs="Times New Roman"/>
                    <w:noProof/>
                    <w:kern w:val="0"/>
                    <w:sz w:val="32"/>
                    <w:szCs w:val="32"/>
                    <w:lang w:val="uk-UA"/>
                    <w14:ligatures w14:val="none"/>
                  </w:rPr>
                  <m:t>Р</m:t>
                </m:r>
              </m:e>
              <m:sub>
                <m:r>
                  <m:rPr>
                    <m:sty m:val="p"/>
                  </m:rPr>
                  <w:rPr>
                    <w:rFonts w:ascii="Cambria Math" w:eastAsia="Times New Roman" w:hAnsi="Cambria Math" w:cs="Times New Roman"/>
                    <w:noProof/>
                    <w:kern w:val="0"/>
                    <w:sz w:val="32"/>
                    <w:szCs w:val="32"/>
                    <w:vertAlign w:val="subscript"/>
                    <w:lang w:val="uk-UA"/>
                    <w14:ligatures w14:val="none"/>
                  </w:rPr>
                  <m:t>поч</m:t>
                </m:r>
              </m:sub>
            </m:sSub>
          </m:num>
          <m:den>
            <m:sSub>
              <m:sSubPr>
                <m:ctrlPr>
                  <w:rPr>
                    <w:rFonts w:ascii="Cambria Math" w:eastAsia="Times New Roman" w:hAnsi="Cambria Math" w:cs="Times New Roman"/>
                    <w:noProof/>
                    <w:kern w:val="0"/>
                    <w:sz w:val="32"/>
                    <w:szCs w:val="32"/>
                    <w:lang w:val="uk-UA"/>
                    <w14:ligatures w14:val="none"/>
                  </w:rPr>
                </m:ctrlPr>
              </m:sSubPr>
              <m:e>
                <m:r>
                  <m:rPr>
                    <m:sty m:val="p"/>
                  </m:rPr>
                  <w:rPr>
                    <w:rFonts w:ascii="Cambria Math" w:eastAsia="Times New Roman" w:hAnsi="Cambria Math" w:cs="Times New Roman"/>
                    <w:noProof/>
                    <w:kern w:val="0"/>
                    <w:sz w:val="32"/>
                    <w:szCs w:val="32"/>
                    <w:lang w:val="uk-UA"/>
                    <w14:ligatures w14:val="none"/>
                  </w:rPr>
                  <m:t>Р</m:t>
                </m:r>
              </m:e>
              <m:sub>
                <m:r>
                  <m:rPr>
                    <m:sty m:val="p"/>
                  </m:rPr>
                  <w:rPr>
                    <w:rFonts w:ascii="Cambria Math" w:eastAsia="Times New Roman" w:hAnsi="Cambria Math" w:cs="Times New Roman"/>
                    <w:noProof/>
                    <w:kern w:val="0"/>
                    <w:sz w:val="32"/>
                    <w:szCs w:val="32"/>
                    <w:vertAlign w:val="subscript"/>
                    <w:lang w:val="uk-UA"/>
                    <w14:ligatures w14:val="none"/>
                  </w:rPr>
                  <m:t>поч</m:t>
                </m:r>
              </m:sub>
            </m:sSub>
          </m:den>
        </m:f>
      </m:oMath>
      <w:r w:rsidRPr="00B44B71">
        <w:rPr>
          <w:rFonts w:ascii="Times New Roman" w:eastAsia="Times New Roman" w:hAnsi="Times New Roman" w:cs="Times New Roman"/>
          <w:noProof/>
          <w:kern w:val="0"/>
          <w:sz w:val="28"/>
          <w:szCs w:val="28"/>
          <w:lang w:val="uk-UA"/>
          <w14:ligatures w14:val="none"/>
        </w:rPr>
        <w:t xml:space="preserve">          (2)</w:t>
      </w:r>
    </w:p>
    <w:p w14:paraId="1D4FAB7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 xml:space="preserve">Особливо цінним для педагогічних досліджень було визначення нормалізованого приросту знань –показника, який демонструє ефективність навчання, вимірюючи, скільки знань здобув, той хто навчається, відносно того, скільки він міг би максимально здобути, враховуючи його початковий рівень. Він показує відношення реального приросту знань до максимально можливого приросту та обчислювався за за формулою (3). </w:t>
      </w:r>
    </w:p>
    <w:p w14:paraId="147130CC"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noProof/>
          <w:kern w:val="0"/>
          <w:sz w:val="28"/>
          <w:szCs w:val="28"/>
          <w:lang w:val="uk-UA"/>
          <w14:ligatures w14:val="none"/>
        </w:rPr>
      </w:pPr>
      <m:oMath>
        <m:r>
          <w:rPr>
            <w:rFonts w:ascii="Cambria Math" w:eastAsia="Times New Roman" w:hAnsi="Cambria Math" w:cs="Times New Roman"/>
            <w:noProof/>
            <w:kern w:val="0"/>
            <w:sz w:val="32"/>
            <w:szCs w:val="32"/>
            <w:lang w:val="uk-UA"/>
            <w14:ligatures w14:val="none"/>
          </w:rPr>
          <m:t>G=</m:t>
        </m:r>
        <m:f>
          <m:fPr>
            <m:ctrlPr>
              <w:rPr>
                <w:rFonts w:ascii="Cambria Math" w:eastAsia="Times New Roman" w:hAnsi="Cambria Math" w:cs="Times New Roman"/>
                <w:i/>
                <w:noProof/>
                <w:kern w:val="0"/>
                <w:sz w:val="32"/>
                <w:szCs w:val="32"/>
                <w14:ligatures w14:val="none"/>
              </w:rPr>
            </m:ctrlPr>
          </m:fPr>
          <m:num>
            <m:sSub>
              <m:sSubPr>
                <m:ctrlPr>
                  <w:rPr>
                    <w:rFonts w:ascii="Cambria Math" w:eastAsia="Times New Roman" w:hAnsi="Cambria Math" w:cs="Times New Roman"/>
                    <w:i/>
                    <w:noProof/>
                    <w:kern w:val="0"/>
                    <w:sz w:val="32"/>
                    <w:szCs w:val="32"/>
                    <w:vertAlign w:val="subscript"/>
                    <w:lang w:val="uk-UA"/>
                    <w14:ligatures w14:val="none"/>
                  </w:rPr>
                </m:ctrlPr>
              </m:sSubPr>
              <m:e>
                <m:r>
                  <m:rPr>
                    <m:sty m:val="p"/>
                  </m:rPr>
                  <w:rPr>
                    <w:rFonts w:ascii="Cambria Math" w:eastAsia="Times New Roman" w:hAnsi="Cambria Math" w:cs="Times New Roman"/>
                    <w:noProof/>
                    <w:kern w:val="0"/>
                    <w:sz w:val="32"/>
                    <w:szCs w:val="32"/>
                    <w:lang w:val="uk-UA"/>
                    <w14:ligatures w14:val="none"/>
                  </w:rPr>
                  <m:t>Р</m:t>
                </m:r>
              </m:e>
              <m:sub>
                <m:r>
                  <w:rPr>
                    <w:rFonts w:ascii="Cambria Math" w:eastAsia="Times New Roman" w:hAnsi="Cambria Math" w:cs="Times New Roman"/>
                    <w:noProof/>
                    <w:kern w:val="0"/>
                    <w:sz w:val="32"/>
                    <w:szCs w:val="32"/>
                    <w:vertAlign w:val="subscript"/>
                    <w:lang w:val="uk-UA"/>
                    <w14:ligatures w14:val="none"/>
                  </w:rPr>
                  <m:t>кін</m:t>
                </m:r>
              </m:sub>
            </m:sSub>
            <m:r>
              <m:rPr>
                <m:sty m:val="p"/>
              </m:rPr>
              <w:rPr>
                <w:rFonts w:ascii="Cambria Math" w:eastAsia="Times New Roman" w:hAnsi="Cambria Math" w:cs="Times New Roman"/>
                <w:noProof/>
                <w:kern w:val="0"/>
                <w:sz w:val="32"/>
                <w:szCs w:val="32"/>
                <w:vertAlign w:val="subscript"/>
                <w:lang w:val="uk-UA"/>
                <w14:ligatures w14:val="none"/>
              </w:rPr>
              <m:t xml:space="preserve">  </m:t>
            </m:r>
            <m:r>
              <m:rPr>
                <m:sty m:val="b"/>
              </m:rPr>
              <w:rPr>
                <w:rFonts w:ascii="Cambria Math" w:eastAsia="Times New Roman" w:hAnsi="Cambria Math" w:cs="Times New Roman"/>
                <w:noProof/>
                <w:kern w:val="0"/>
                <w:sz w:val="32"/>
                <w:szCs w:val="32"/>
                <w:lang w:val="uk-UA"/>
                <w14:ligatures w14:val="none"/>
              </w:rPr>
              <m:t xml:space="preserve">- </m:t>
            </m:r>
            <m:r>
              <m:rPr>
                <m:sty m:val="p"/>
              </m:rPr>
              <w:rPr>
                <w:rFonts w:ascii="Cambria Math" w:eastAsia="Times New Roman" w:hAnsi="Cambria Math" w:cs="Times New Roman"/>
                <w:noProof/>
                <w:kern w:val="0"/>
                <w:sz w:val="32"/>
                <w:szCs w:val="32"/>
                <w:lang w:val="uk-UA"/>
                <w14:ligatures w14:val="none"/>
              </w:rPr>
              <m:t xml:space="preserve"> </m:t>
            </m:r>
            <m:sSub>
              <m:sSubPr>
                <m:ctrlPr>
                  <w:rPr>
                    <w:rFonts w:ascii="Cambria Math" w:eastAsia="Times New Roman" w:hAnsi="Cambria Math" w:cs="Times New Roman"/>
                    <w:noProof/>
                    <w:kern w:val="0"/>
                    <w:sz w:val="32"/>
                    <w:szCs w:val="32"/>
                    <w:lang w:val="uk-UA"/>
                    <w14:ligatures w14:val="none"/>
                  </w:rPr>
                </m:ctrlPr>
              </m:sSubPr>
              <m:e>
                <m:r>
                  <m:rPr>
                    <m:sty m:val="p"/>
                  </m:rPr>
                  <w:rPr>
                    <w:rFonts w:ascii="Cambria Math" w:eastAsia="Times New Roman" w:hAnsi="Cambria Math" w:cs="Times New Roman"/>
                    <w:noProof/>
                    <w:kern w:val="0"/>
                    <w:sz w:val="32"/>
                    <w:szCs w:val="32"/>
                    <w:lang w:val="uk-UA"/>
                    <w14:ligatures w14:val="none"/>
                  </w:rPr>
                  <m:t>Р</m:t>
                </m:r>
              </m:e>
              <m:sub>
                <m:r>
                  <m:rPr>
                    <m:sty m:val="p"/>
                  </m:rPr>
                  <w:rPr>
                    <w:rFonts w:ascii="Cambria Math" w:eastAsia="Times New Roman" w:hAnsi="Cambria Math" w:cs="Times New Roman"/>
                    <w:noProof/>
                    <w:kern w:val="0"/>
                    <w:sz w:val="32"/>
                    <w:szCs w:val="32"/>
                    <w:vertAlign w:val="subscript"/>
                    <w:lang w:val="uk-UA"/>
                    <w14:ligatures w14:val="none"/>
                  </w:rPr>
                  <m:t>поч</m:t>
                </m:r>
              </m:sub>
            </m:sSub>
          </m:num>
          <m:den>
            <m:r>
              <w:rPr>
                <w:rFonts w:ascii="Cambria Math" w:eastAsia="Times New Roman" w:hAnsi="Cambria Math" w:cs="Times New Roman"/>
                <w:noProof/>
                <w:kern w:val="0"/>
                <w:sz w:val="32"/>
                <w:szCs w:val="32"/>
                <w:lang w:val="uk-UA"/>
                <w14:ligatures w14:val="none"/>
              </w:rPr>
              <m:t xml:space="preserve">100 - </m:t>
            </m:r>
            <m:sSub>
              <m:sSubPr>
                <m:ctrlPr>
                  <w:rPr>
                    <w:rFonts w:ascii="Cambria Math" w:eastAsia="Times New Roman" w:hAnsi="Cambria Math" w:cs="Times New Roman"/>
                    <w:noProof/>
                    <w:kern w:val="0"/>
                    <w:sz w:val="32"/>
                    <w:szCs w:val="32"/>
                    <w:lang w:val="uk-UA"/>
                    <w14:ligatures w14:val="none"/>
                  </w:rPr>
                </m:ctrlPr>
              </m:sSubPr>
              <m:e>
                <m:r>
                  <m:rPr>
                    <m:sty m:val="p"/>
                  </m:rPr>
                  <w:rPr>
                    <w:rFonts w:ascii="Cambria Math" w:eastAsia="Times New Roman" w:hAnsi="Cambria Math" w:cs="Times New Roman"/>
                    <w:noProof/>
                    <w:kern w:val="0"/>
                    <w:sz w:val="32"/>
                    <w:szCs w:val="32"/>
                    <w:lang w:val="uk-UA"/>
                    <w14:ligatures w14:val="none"/>
                  </w:rPr>
                  <m:t>Р</m:t>
                </m:r>
              </m:e>
              <m:sub>
                <m:r>
                  <m:rPr>
                    <m:sty m:val="p"/>
                  </m:rPr>
                  <w:rPr>
                    <w:rFonts w:ascii="Cambria Math" w:eastAsia="Times New Roman" w:hAnsi="Cambria Math" w:cs="Times New Roman"/>
                    <w:noProof/>
                    <w:kern w:val="0"/>
                    <w:sz w:val="32"/>
                    <w:szCs w:val="32"/>
                    <w:vertAlign w:val="subscript"/>
                    <w:lang w:val="uk-UA"/>
                    <w14:ligatures w14:val="none"/>
                  </w:rPr>
                  <m:t>поч</m:t>
                </m:r>
              </m:sub>
            </m:sSub>
          </m:den>
        </m:f>
      </m:oMath>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b/>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lang w:val="uk-UA"/>
          <w14:ligatures w14:val="none"/>
        </w:rPr>
        <w:t xml:space="preserve">     (3)</w:t>
      </w:r>
    </w:p>
    <w:p w14:paraId="5569C9A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 xml:space="preserve">Порівняльний ефект експерименту </w:t>
      </w:r>
      <w:r w:rsidRPr="00B44B71">
        <w:rPr>
          <w:rFonts w:ascii="Times New Roman" w:eastAsia="Times New Roman" w:hAnsi="Times New Roman" w:cs="Times New Roman"/>
          <w:b/>
          <w:noProof/>
          <w:kern w:val="0"/>
          <w:sz w:val="28"/>
          <w:szCs w:val="28"/>
          <w:lang w:val="uk-UA"/>
          <w14:ligatures w14:val="none"/>
        </w:rPr>
        <w:t>–</w:t>
      </w:r>
      <w:r w:rsidRPr="00B44B71">
        <w:rPr>
          <w:rFonts w:ascii="Times New Roman" w:eastAsia="Times New Roman" w:hAnsi="Times New Roman" w:cs="Times New Roman"/>
          <w:noProof/>
          <w:kern w:val="0"/>
          <w:sz w:val="28"/>
          <w:szCs w:val="28"/>
          <w:lang w:val="uk-UA"/>
          <w14:ligatures w14:val="none"/>
        </w:rPr>
        <w:t xml:space="preserve"> це різниця між результатами (показниками залежної змінної) між експериментальною та контрольною групами, який виникає внаслідок впливу незалежної змінної та вказує на ефективність впровадженого фактора (методу, препарату, умови), порівнюючи його дію з базовим рівнем або іншим методом. Даний показник, представлений формулою 4, обчислювався шляхом зіставлення отриманих даних у групі, де проводилося втручання, та групі, де умови залишилися незмінними.</w:t>
      </w:r>
    </w:p>
    <w:p w14:paraId="566A6A81"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ru-RU"/>
          <w14:ligatures w14:val="none"/>
        </w:rPr>
        <w:t>E=ΔP</w:t>
      </w:r>
      <w:r w:rsidRPr="00B44B71">
        <w:rPr>
          <w:rFonts w:ascii="Times New Roman" w:eastAsia="Times New Roman" w:hAnsi="Times New Roman" w:cs="Times New Roman"/>
          <w:noProof/>
          <w:kern w:val="0"/>
          <w:sz w:val="28"/>
          <w:szCs w:val="28"/>
          <w:lang w:val="uk-UA"/>
          <w14:ligatures w14:val="none"/>
        </w:rPr>
        <w:t xml:space="preserve">е </w:t>
      </w:r>
      <w:r w:rsidRPr="00B44B71">
        <w:rPr>
          <w:rFonts w:ascii="Times New Roman" w:eastAsia="Times New Roman" w:hAnsi="Times New Roman" w:cs="Times New Roman"/>
          <w:noProof/>
          <w:kern w:val="0"/>
          <w:sz w:val="28"/>
          <w:szCs w:val="28"/>
          <w:lang w:val="ru-RU"/>
          <w14:ligatures w14:val="none"/>
        </w:rPr>
        <w:t>–</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lang w:val="ru-RU"/>
          <w14:ligatures w14:val="none"/>
        </w:rPr>
        <w:t>ΔP</w:t>
      </w:r>
      <w:r w:rsidRPr="00B44B71">
        <w:rPr>
          <w:rFonts w:ascii="Times New Roman" w:eastAsia="Times New Roman" w:hAnsi="Times New Roman" w:cs="Times New Roman"/>
          <w:noProof/>
          <w:kern w:val="0"/>
          <w:sz w:val="28"/>
          <w:szCs w:val="28"/>
          <w:lang w:val="uk-UA"/>
          <w14:ligatures w14:val="none"/>
        </w:rPr>
        <w:t>к        (4)</w:t>
      </w:r>
    </w:p>
    <w:p w14:paraId="4B84B85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lastRenderedPageBreak/>
        <w:t xml:space="preserve">Визначення показника коефіцієнта переваги експериментальної методики проводилося за формулою 5. Дана характеристика </w:t>
      </w:r>
      <w:r w:rsidRPr="00B44B71">
        <w:rPr>
          <w:rFonts w:ascii="Times New Roman" w:eastAsia="Times New Roman" w:hAnsi="Times New Roman" w:cs="Times New Roman"/>
          <w:noProof/>
          <w:kern w:val="0"/>
          <w:sz w:val="28"/>
          <w:szCs w:val="28"/>
          <w:lang w:val="ru-RU"/>
          <w14:ligatures w14:val="none"/>
        </w:rPr>
        <w:t>демонструє, наскільки експериментальна методика є кращою за базову, і використовується для підтвердження наукової гіпотези.</w:t>
      </w:r>
      <w:r w:rsidRPr="00B44B71">
        <w:rPr>
          <w:rFonts w:ascii="Times New Roman" w:eastAsia="Times New Roman" w:hAnsi="Times New Roman" w:cs="Times New Roman"/>
          <w:noProof/>
          <w:kern w:val="0"/>
          <w:sz w:val="28"/>
          <w:szCs w:val="28"/>
          <w:lang w:val="uk-UA"/>
          <w14:ligatures w14:val="none"/>
        </w:rPr>
        <w:t xml:space="preserve"> </w:t>
      </w:r>
    </w:p>
    <w:p w14:paraId="3DA0EDDF"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noProof/>
          <w:kern w:val="0"/>
          <w:sz w:val="32"/>
          <w:szCs w:val="32"/>
          <w:lang w:val="uk-UA"/>
          <w14:ligatures w14:val="none"/>
        </w:rPr>
      </w:pPr>
      <m:oMath>
        <m:r>
          <w:rPr>
            <w:rFonts w:ascii="Cambria Math" w:eastAsia="Times New Roman" w:hAnsi="Cambria Math" w:cs="Times New Roman"/>
            <w:noProof/>
            <w:kern w:val="0"/>
            <w:sz w:val="32"/>
            <w:szCs w:val="32"/>
            <w:lang w:val="uk-UA"/>
            <w14:ligatures w14:val="none"/>
          </w:rPr>
          <m:t>K</m:t>
        </m:r>
        <m:r>
          <w:rPr>
            <w:rFonts w:ascii="Cambria Math" w:eastAsia="Times New Roman" w:hAnsi="Cambria Math" w:cs="Times New Roman"/>
            <w:noProof/>
            <w:kern w:val="0"/>
            <w:sz w:val="32"/>
            <w:szCs w:val="32"/>
            <w:lang w:val="ru-RU"/>
            <w14:ligatures w14:val="none"/>
          </w:rPr>
          <m:t xml:space="preserve">= </m:t>
        </m:r>
        <m:f>
          <m:fPr>
            <m:ctrlPr>
              <w:rPr>
                <w:rFonts w:ascii="Cambria Math" w:eastAsia="Times New Roman" w:hAnsi="Cambria Math" w:cs="Times New Roman"/>
                <w:i/>
                <w:noProof/>
                <w:kern w:val="0"/>
                <w:sz w:val="32"/>
                <w:szCs w:val="32"/>
                <w14:ligatures w14:val="none"/>
              </w:rPr>
            </m:ctrlPr>
          </m:fPr>
          <m:num>
            <m:sSub>
              <m:sSubPr>
                <m:ctrlPr>
                  <w:rPr>
                    <w:rFonts w:ascii="Cambria Math" w:eastAsia="Times New Roman" w:hAnsi="Cambria Math" w:cs="Times New Roman"/>
                    <w:i/>
                    <w:noProof/>
                    <w:kern w:val="0"/>
                    <w:sz w:val="32"/>
                    <w:szCs w:val="32"/>
                    <w14:ligatures w14:val="none"/>
                  </w:rPr>
                </m:ctrlPr>
              </m:sSubPr>
              <m:e>
                <m:r>
                  <m:rPr>
                    <m:sty m:val="p"/>
                  </m:rPr>
                  <w:rPr>
                    <w:rFonts w:ascii="Cambria Math" w:eastAsia="Times New Roman" w:hAnsi="Cambria Math" w:cs="Times New Roman"/>
                    <w:noProof/>
                    <w:kern w:val="0"/>
                    <w:sz w:val="32"/>
                    <w:szCs w:val="32"/>
                    <w:lang w:val="ru-RU"/>
                    <w14:ligatures w14:val="none"/>
                  </w:rPr>
                  <m:t>ΔP</m:t>
                </m:r>
              </m:e>
              <m:sub>
                <m:r>
                  <w:rPr>
                    <w:rFonts w:ascii="Cambria Math" w:eastAsia="Times New Roman" w:hAnsi="Cambria Math" w:cs="Times New Roman"/>
                    <w:noProof/>
                    <w:kern w:val="0"/>
                    <w:sz w:val="32"/>
                    <w:szCs w:val="32"/>
                    <w14:ligatures w14:val="none"/>
                  </w:rPr>
                  <m:t>e</m:t>
                </m:r>
              </m:sub>
            </m:sSub>
          </m:num>
          <m:den>
            <m:sSub>
              <m:sSubPr>
                <m:ctrlPr>
                  <w:rPr>
                    <w:rFonts w:ascii="Cambria Math" w:eastAsia="Times New Roman" w:hAnsi="Cambria Math" w:cs="Times New Roman"/>
                    <w:i/>
                    <w:noProof/>
                    <w:kern w:val="0"/>
                    <w:sz w:val="32"/>
                    <w:szCs w:val="32"/>
                    <w14:ligatures w14:val="none"/>
                  </w:rPr>
                </m:ctrlPr>
              </m:sSubPr>
              <m:e>
                <m:r>
                  <m:rPr>
                    <m:sty m:val="p"/>
                  </m:rPr>
                  <w:rPr>
                    <w:rFonts w:ascii="Cambria Math" w:eastAsia="Times New Roman" w:hAnsi="Cambria Math" w:cs="Times New Roman"/>
                    <w:noProof/>
                    <w:kern w:val="0"/>
                    <w:sz w:val="32"/>
                    <w:szCs w:val="32"/>
                    <w:lang w:val="ru-RU"/>
                    <w14:ligatures w14:val="none"/>
                  </w:rPr>
                  <m:t>ΔP</m:t>
                </m:r>
              </m:e>
              <m:sub>
                <m:r>
                  <w:rPr>
                    <w:rFonts w:ascii="Cambria Math" w:eastAsia="Times New Roman" w:hAnsi="Cambria Math" w:cs="Times New Roman"/>
                    <w:noProof/>
                    <w:kern w:val="0"/>
                    <w:sz w:val="32"/>
                    <w:szCs w:val="32"/>
                    <w:lang w:val="uk-UA"/>
                    <w14:ligatures w14:val="none"/>
                  </w:rPr>
                  <m:t>к</m:t>
                </m:r>
              </m:sub>
            </m:sSub>
          </m:den>
        </m:f>
      </m:oMath>
      <w:r w:rsidRPr="00B44B71">
        <w:rPr>
          <w:rFonts w:ascii="Times New Roman" w:eastAsia="Times New Roman" w:hAnsi="Times New Roman" w:cs="Times New Roman"/>
          <w:noProof/>
          <w:kern w:val="0"/>
          <w:sz w:val="28"/>
          <w:szCs w:val="28"/>
          <w:lang w:val="uk-UA"/>
          <w14:ligatures w14:val="none"/>
        </w:rPr>
        <w:t xml:space="preserve">          (5)</w:t>
      </w:r>
    </w:p>
    <w:p w14:paraId="61D25F0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b/>
          <w:bCs/>
          <w:color w:val="000000"/>
          <w:kern w:val="0"/>
          <w:sz w:val="28"/>
          <w:szCs w:val="28"/>
          <w:lang w:val="uk-UA"/>
          <w14:ligatures w14:val="none"/>
        </w:rPr>
        <w:t xml:space="preserve">Виклад основного матеріалу. </w:t>
      </w:r>
      <w:r w:rsidRPr="00B44B71">
        <w:rPr>
          <w:rFonts w:ascii="Times New Roman" w:eastAsia="Times New Roman" w:hAnsi="Times New Roman" w:cs="Times New Roman"/>
          <w:noProof/>
          <w:kern w:val="0"/>
          <w:sz w:val="28"/>
          <w:szCs w:val="28"/>
          <w:lang w:val="ru-RU"/>
          <w14:ligatures w14:val="none"/>
        </w:rPr>
        <w:t>Сучасні</w:t>
      </w:r>
      <w:r w:rsidRPr="00B44B71">
        <w:rPr>
          <w:rFonts w:ascii="Times New Roman" w:eastAsia="Times New Roman" w:hAnsi="Times New Roman" w:cs="Times New Roman"/>
          <w:noProof/>
          <w:spacing w:val="-6"/>
          <w:kern w:val="0"/>
          <w:sz w:val="28"/>
          <w:szCs w:val="28"/>
          <w:lang w:val="ru-RU"/>
          <w14:ligatures w14:val="none"/>
        </w:rPr>
        <w:t xml:space="preserve"> вимоги до вдосконалення освіт</w:t>
      </w:r>
      <w:r w:rsidRPr="00B44B71">
        <w:rPr>
          <w:rFonts w:ascii="Times New Roman" w:eastAsia="Times New Roman" w:hAnsi="Times New Roman" w:cs="Times New Roman"/>
          <w:noProof/>
          <w:spacing w:val="-6"/>
          <w:kern w:val="0"/>
          <w:sz w:val="28"/>
          <w:szCs w:val="28"/>
          <w:lang w:val="uk-UA"/>
          <w14:ligatures w14:val="none"/>
        </w:rPr>
        <w:t>нього процесу</w:t>
      </w:r>
      <w:r w:rsidRPr="00B44B71">
        <w:rPr>
          <w:rFonts w:ascii="Times New Roman" w:eastAsia="Times New Roman" w:hAnsi="Times New Roman" w:cs="Times New Roman"/>
          <w:noProof/>
          <w:spacing w:val="-6"/>
          <w:kern w:val="0"/>
          <w:sz w:val="28"/>
          <w:szCs w:val="28"/>
          <w:lang w:val="ru-RU"/>
          <w14:ligatures w14:val="none"/>
        </w:rPr>
        <w:t xml:space="preserve"> </w:t>
      </w:r>
      <w:r w:rsidRPr="00B44B71">
        <w:rPr>
          <w:rFonts w:ascii="Times New Roman" w:eastAsia="Times New Roman" w:hAnsi="Times New Roman" w:cs="Times New Roman"/>
          <w:noProof/>
          <w:kern w:val="0"/>
          <w:sz w:val="28"/>
          <w:szCs w:val="28"/>
          <w:lang w:val="ru-RU"/>
          <w14:ligatures w14:val="none"/>
        </w:rPr>
        <w:t xml:space="preserve">випускника вищого закладу освіти (ВЗО) </w:t>
      </w:r>
      <w:r w:rsidRPr="00B44B71">
        <w:rPr>
          <w:rFonts w:ascii="Times New Roman" w:eastAsia="Times New Roman" w:hAnsi="Times New Roman" w:cs="Times New Roman"/>
          <w:noProof/>
          <w:kern w:val="0"/>
          <w:sz w:val="28"/>
          <w:szCs w:val="28"/>
          <w:lang w:val="uk-UA"/>
          <w14:ligatures w14:val="none"/>
        </w:rPr>
        <w:t>випливають з</w:t>
      </w:r>
      <w:r w:rsidRPr="00B44B71">
        <w:rPr>
          <w:rFonts w:ascii="Times New Roman" w:eastAsia="Times New Roman" w:hAnsi="Times New Roman" w:cs="Times New Roman"/>
          <w:noProof/>
          <w:kern w:val="0"/>
          <w:sz w:val="28"/>
          <w:szCs w:val="28"/>
          <w:lang w:val="ru-RU"/>
          <w14:ligatures w14:val="none"/>
        </w:rPr>
        <w:t xml:space="preserve"> нормативних документів</w:t>
      </w:r>
      <w:r w:rsidRPr="00B44B71">
        <w:rPr>
          <w:rFonts w:ascii="Times New Roman" w:eastAsia="Times New Roman" w:hAnsi="Times New Roman" w:cs="Times New Roman"/>
          <w:noProof/>
          <w:kern w:val="0"/>
          <w:sz w:val="28"/>
          <w:szCs w:val="28"/>
          <w:lang w:val="uk-UA"/>
          <w14:ligatures w14:val="none"/>
        </w:rPr>
        <w:t>, затверджених на державному рівні</w:t>
      </w:r>
      <w:r w:rsidRPr="00B44B71">
        <w:rPr>
          <w:rFonts w:ascii="Times New Roman" w:eastAsia="Times New Roman" w:hAnsi="Times New Roman" w:cs="Times New Roman"/>
          <w:noProof/>
          <w:kern w:val="0"/>
          <w:sz w:val="28"/>
          <w:szCs w:val="28"/>
          <w:lang w:val="ru-RU"/>
          <w14:ligatures w14:val="none"/>
        </w:rPr>
        <w:t>, міжнародни</w:t>
      </w:r>
      <w:r w:rsidRPr="00B44B71">
        <w:rPr>
          <w:rFonts w:ascii="Times New Roman" w:eastAsia="Times New Roman" w:hAnsi="Times New Roman" w:cs="Times New Roman"/>
          <w:noProof/>
          <w:kern w:val="0"/>
          <w:sz w:val="28"/>
          <w:szCs w:val="28"/>
          <w:lang w:val="uk-UA"/>
          <w14:ligatures w14:val="none"/>
        </w:rPr>
        <w:t>х</w:t>
      </w:r>
      <w:r w:rsidRPr="00B44B71">
        <w:rPr>
          <w:rFonts w:ascii="Times New Roman" w:eastAsia="Times New Roman" w:hAnsi="Times New Roman" w:cs="Times New Roman"/>
          <w:noProof/>
          <w:kern w:val="0"/>
          <w:sz w:val="28"/>
          <w:szCs w:val="28"/>
          <w:lang w:val="ru-RU"/>
          <w14:ligatures w14:val="none"/>
        </w:rPr>
        <w:t xml:space="preserve"> та регіональни</w:t>
      </w:r>
      <w:r w:rsidRPr="00B44B71">
        <w:rPr>
          <w:rFonts w:ascii="Times New Roman" w:eastAsia="Times New Roman" w:hAnsi="Times New Roman" w:cs="Times New Roman"/>
          <w:noProof/>
          <w:kern w:val="0"/>
          <w:sz w:val="28"/>
          <w:szCs w:val="28"/>
          <w:lang w:val="uk-UA"/>
          <w14:ligatures w14:val="none"/>
        </w:rPr>
        <w:t>х</w:t>
      </w:r>
      <w:r w:rsidRPr="00B44B71">
        <w:rPr>
          <w:rFonts w:ascii="Times New Roman" w:eastAsia="Times New Roman" w:hAnsi="Times New Roman" w:cs="Times New Roman"/>
          <w:noProof/>
          <w:kern w:val="0"/>
          <w:sz w:val="28"/>
          <w:szCs w:val="28"/>
          <w:lang w:val="ru-RU"/>
          <w14:ligatures w14:val="none"/>
        </w:rPr>
        <w:t xml:space="preserve"> стандарт</w:t>
      </w:r>
      <w:r w:rsidRPr="00B44B71">
        <w:rPr>
          <w:rFonts w:ascii="Times New Roman" w:eastAsia="Times New Roman" w:hAnsi="Times New Roman" w:cs="Times New Roman"/>
          <w:noProof/>
          <w:kern w:val="0"/>
          <w:sz w:val="28"/>
          <w:szCs w:val="28"/>
          <w:lang w:val="uk-UA"/>
          <w14:ligatures w14:val="none"/>
        </w:rPr>
        <w:t>ів</w:t>
      </w:r>
      <w:r w:rsidRPr="00B44B71">
        <w:rPr>
          <w:rFonts w:ascii="Times New Roman" w:eastAsia="Times New Roman" w:hAnsi="Times New Roman" w:cs="Times New Roman"/>
          <w:noProof/>
          <w:kern w:val="0"/>
          <w:sz w:val="28"/>
          <w:szCs w:val="28"/>
          <w:lang w:val="ru-RU"/>
          <w14:ligatures w14:val="none"/>
        </w:rPr>
        <w:t xml:space="preserve">. Більшість </w:t>
      </w:r>
      <w:r w:rsidRPr="00B44B71">
        <w:rPr>
          <w:rFonts w:ascii="Times New Roman" w:eastAsia="Times New Roman" w:hAnsi="Times New Roman" w:cs="Times New Roman"/>
          <w:noProof/>
          <w:kern w:val="0"/>
          <w:sz w:val="28"/>
          <w:szCs w:val="28"/>
          <w:lang w:val="uk-UA"/>
          <w14:ligatures w14:val="none"/>
        </w:rPr>
        <w:t xml:space="preserve">з них </w:t>
      </w:r>
      <w:r w:rsidRPr="00B44B71">
        <w:rPr>
          <w:rFonts w:ascii="Times New Roman" w:eastAsia="Times New Roman" w:hAnsi="Times New Roman" w:cs="Times New Roman"/>
          <w:noProof/>
          <w:kern w:val="0"/>
          <w:sz w:val="28"/>
          <w:szCs w:val="28"/>
          <w:lang w:val="ru-RU"/>
          <w14:ligatures w14:val="none"/>
        </w:rPr>
        <w:t xml:space="preserve">розроблені на основі компетентісного підходу. </w:t>
      </w:r>
      <w:r w:rsidRPr="00B44B71">
        <w:rPr>
          <w:rFonts w:ascii="Times New Roman" w:eastAsia="Times New Roman" w:hAnsi="Times New Roman" w:cs="Times New Roman"/>
          <w:noProof/>
          <w:kern w:val="0"/>
          <w:sz w:val="28"/>
          <w:szCs w:val="28"/>
          <w:lang w:val="uk-UA"/>
          <w14:ligatures w14:val="none"/>
        </w:rPr>
        <w:t xml:space="preserve">Для прикладу, </w:t>
      </w:r>
      <w:r w:rsidRPr="00B44B71">
        <w:rPr>
          <w:rFonts w:ascii="Times New Roman" w:eastAsia="Times New Roman" w:hAnsi="Times New Roman" w:cs="Times New Roman"/>
          <w:noProof/>
          <w:kern w:val="0"/>
          <w:sz w:val="28"/>
          <w:szCs w:val="28"/>
          <w:lang w:val="ru-RU"/>
          <w14:ligatures w14:val="none"/>
        </w:rPr>
        <w:t>Закону України «Про освіту» спрямований на «вільний розвиток людини», на творчу ініціативу, самостійність, конкурентоспроможність, мобільність майбутнього фахівця, що підкреслено також у Концепції розвитку професійної освіти і навчання в Україні (2010– 2020р.).</w:t>
      </w:r>
    </w:p>
    <w:p w14:paraId="1F56CD4A" w14:textId="5CB21678" w:rsidR="00B44B71" w:rsidRPr="00B44B71" w:rsidRDefault="00B44B71" w:rsidP="008D5CD5">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 xml:space="preserve">Зрозуміло, що  специфіка вищої військової освіти повинна відповідати з одного боку встановленим напрямкам згідно вимог НАТО, а з іншого - не суперечити правовому полю українських законодавчих актів. Ключові напрями - індивідуальний підхід, безперервність навчання, компетентнісна орієнтація – поступово імплементуються у військову освіту, що свідчить про наближення до євроатлантичних стандартів (табл. </w:t>
      </w:r>
      <w:r w:rsidRPr="00B44B71">
        <w:rPr>
          <w:rFonts w:ascii="Times New Roman" w:eastAsia="Times New Roman" w:hAnsi="Times New Roman" w:cs="Times New Roman"/>
          <w:noProof/>
          <w:kern w:val="0"/>
          <w:sz w:val="28"/>
          <w:szCs w:val="28"/>
          <w:lang w:val="ru-RU"/>
          <w14:ligatures w14:val="none"/>
        </w:rPr>
        <w:t>1).</w:t>
      </w:r>
    </w:p>
    <w:p w14:paraId="600E641A" w14:textId="77777777" w:rsidR="00B44B71" w:rsidRPr="00B44B71" w:rsidRDefault="00B44B71" w:rsidP="00023291">
      <w:pPr>
        <w:widowControl w:val="0"/>
        <w:tabs>
          <w:tab w:val="left" w:pos="9638"/>
        </w:tabs>
        <w:suppressAutoHyphens/>
        <w:spacing w:after="0" w:line="240" w:lineRule="auto"/>
        <w:ind w:firstLine="709"/>
        <w:jc w:val="right"/>
        <w:rPr>
          <w:rFonts w:ascii="Times New Roman" w:eastAsia="Times New Roman" w:hAnsi="Times New Roman" w:cs="Times New Roman"/>
          <w:noProof/>
          <w:kern w:val="0"/>
          <w:sz w:val="28"/>
          <w:szCs w:val="28"/>
          <w:lang w:val="uk-UA" w:eastAsia="ar-SA"/>
          <w14:ligatures w14:val="none"/>
        </w:rPr>
      </w:pPr>
      <w:r w:rsidRPr="00B44B71">
        <w:rPr>
          <w:rFonts w:ascii="Times New Roman" w:eastAsia="Times New Roman" w:hAnsi="Times New Roman" w:cs="Times New Roman"/>
          <w:noProof/>
          <w:kern w:val="0"/>
          <w:sz w:val="28"/>
          <w:szCs w:val="28"/>
          <w:lang w:val="ru-RU" w:eastAsia="ar-SA"/>
          <w14:ligatures w14:val="none"/>
        </w:rPr>
        <w:t>Таблиця 1</w:t>
      </w:r>
    </w:p>
    <w:p w14:paraId="23231995" w14:textId="77777777" w:rsidR="00B44B71" w:rsidRPr="00B44B71" w:rsidRDefault="00B44B71" w:rsidP="008D5CD5">
      <w:pPr>
        <w:widowControl w:val="0"/>
        <w:tabs>
          <w:tab w:val="left" w:pos="9638"/>
        </w:tabs>
        <w:suppressAutoHyphens/>
        <w:spacing w:after="0" w:line="240" w:lineRule="auto"/>
        <w:jc w:val="center"/>
        <w:rPr>
          <w:rFonts w:ascii="Times New Roman" w:eastAsia="Times New Roman" w:hAnsi="Times New Roman" w:cs="Times New Roman"/>
          <w:b/>
          <w:bCs/>
          <w:noProof/>
          <w:kern w:val="0"/>
          <w:sz w:val="28"/>
          <w:szCs w:val="28"/>
          <w:lang w:val="ru-RU" w:eastAsia="ar-SA"/>
          <w14:ligatures w14:val="none"/>
        </w:rPr>
      </w:pPr>
      <w:r w:rsidRPr="00B44B71">
        <w:rPr>
          <w:rFonts w:ascii="Times New Roman" w:eastAsia="Times New Roman" w:hAnsi="Times New Roman" w:cs="Times New Roman"/>
          <w:b/>
          <w:bCs/>
          <w:noProof/>
          <w:kern w:val="0"/>
          <w:sz w:val="28"/>
          <w:szCs w:val="28"/>
          <w:lang w:val="ru-RU" w:eastAsia="ar-SA"/>
          <w14:ligatures w14:val="none"/>
        </w:rPr>
        <w:t>Гармонізація цілей ІОТ відповідно до директиви NATO E&amp;ITD 075–007 та норм українського законодавства</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3"/>
        <w:gridCol w:w="1892"/>
        <w:gridCol w:w="2567"/>
        <w:gridCol w:w="2997"/>
      </w:tblGrid>
      <w:tr w:rsidR="00B44B71" w:rsidRPr="00B44B71" w14:paraId="0D2A5FBB" w14:textId="77777777" w:rsidTr="00F918EC">
        <w:trPr>
          <w:trHeight w:val="871"/>
        </w:trPr>
        <w:tc>
          <w:tcPr>
            <w:tcW w:w="0" w:type="auto"/>
            <w:hideMark/>
          </w:tcPr>
          <w:p w14:paraId="14991E55" w14:textId="77777777" w:rsidR="00B44B71" w:rsidRPr="00B44B71" w:rsidRDefault="00B44B71" w:rsidP="00023291">
            <w:pPr>
              <w:tabs>
                <w:tab w:val="left" w:pos="9638"/>
              </w:tabs>
              <w:spacing w:after="0" w:line="240" w:lineRule="auto"/>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noProof/>
                <w:spacing w:val="-6"/>
                <w:kern w:val="0"/>
                <w:sz w:val="28"/>
                <w:szCs w:val="28"/>
                <w:lang w:val="ru-RU"/>
                <w14:ligatures w14:val="none"/>
              </w:rPr>
              <w:t>Ціль ІОТ у військовій освіті</w:t>
            </w:r>
          </w:p>
        </w:tc>
        <w:tc>
          <w:tcPr>
            <w:tcW w:w="1892" w:type="dxa"/>
            <w:hideMark/>
          </w:tcPr>
          <w:p w14:paraId="512D5501" w14:textId="77777777" w:rsidR="00B44B71" w:rsidRPr="00B44B71" w:rsidRDefault="00B44B71" w:rsidP="00023291">
            <w:pPr>
              <w:tabs>
                <w:tab w:val="left" w:pos="9638"/>
              </w:tabs>
              <w:spacing w:after="0" w:line="240" w:lineRule="auto"/>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noProof/>
                <w:spacing w:val="-6"/>
                <w:kern w:val="0"/>
                <w:sz w:val="28"/>
                <w:szCs w:val="28"/>
                <w:lang w:val="ru-RU"/>
                <w14:ligatures w14:val="none"/>
              </w:rPr>
              <w:t xml:space="preserve">Положення </w:t>
            </w:r>
            <w:bookmarkStart w:id="39" w:name="_Hlk200018701"/>
            <w:r w:rsidRPr="00B44B71">
              <w:rPr>
                <w:rFonts w:ascii="Times New Roman" w:eastAsia="Times New Roman" w:hAnsi="Times New Roman" w:cs="Times New Roman"/>
                <w:noProof/>
                <w:spacing w:val="-6"/>
                <w:kern w:val="0"/>
                <w:sz w:val="28"/>
                <w:szCs w:val="28"/>
                <w:lang w:val="ru-RU"/>
                <w14:ligatures w14:val="none"/>
              </w:rPr>
              <w:t>директиви NATO</w:t>
            </w:r>
            <w:bookmarkEnd w:id="39"/>
          </w:p>
        </w:tc>
        <w:tc>
          <w:tcPr>
            <w:tcW w:w="2567" w:type="dxa"/>
            <w:hideMark/>
          </w:tcPr>
          <w:p w14:paraId="5322F50F" w14:textId="77777777" w:rsidR="00B44B71" w:rsidRPr="00B44B71" w:rsidRDefault="00B44B71" w:rsidP="00023291">
            <w:pPr>
              <w:tabs>
                <w:tab w:val="left" w:pos="9638"/>
              </w:tabs>
              <w:spacing w:after="0" w:line="240" w:lineRule="auto"/>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noProof/>
                <w:spacing w:val="-6"/>
                <w:kern w:val="0"/>
                <w:sz w:val="28"/>
                <w:szCs w:val="28"/>
                <w:lang w:val="ru-RU"/>
                <w14:ligatures w14:val="none"/>
              </w:rPr>
              <w:t>Норма українських документів</w:t>
            </w:r>
          </w:p>
        </w:tc>
        <w:tc>
          <w:tcPr>
            <w:tcW w:w="2997" w:type="dxa"/>
            <w:hideMark/>
          </w:tcPr>
          <w:p w14:paraId="7F20174A" w14:textId="77777777" w:rsidR="00B44B71" w:rsidRPr="00B44B71" w:rsidRDefault="00B44B71" w:rsidP="00023291">
            <w:pPr>
              <w:tabs>
                <w:tab w:val="left" w:pos="9638"/>
              </w:tabs>
              <w:spacing w:after="0" w:line="240" w:lineRule="auto"/>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noProof/>
                <w:spacing w:val="-6"/>
                <w:kern w:val="0"/>
                <w:sz w:val="28"/>
                <w:szCs w:val="28"/>
                <w:lang w:val="ru-RU"/>
                <w14:ligatures w14:val="none"/>
              </w:rPr>
              <w:t>Короткий коментар</w:t>
            </w:r>
          </w:p>
        </w:tc>
      </w:tr>
      <w:tr w:rsidR="00B44B71" w:rsidRPr="00F25FCF" w14:paraId="1DC76209" w14:textId="77777777" w:rsidTr="00F918EC">
        <w:tc>
          <w:tcPr>
            <w:tcW w:w="0" w:type="auto"/>
            <w:hideMark/>
          </w:tcPr>
          <w:p w14:paraId="2DA74780"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noProof/>
                <w:spacing w:val="-6"/>
                <w:kern w:val="0"/>
                <w:sz w:val="28"/>
                <w:szCs w:val="28"/>
                <w:lang w:val="ru-RU"/>
                <w14:ligatures w14:val="none"/>
              </w:rPr>
              <w:t>Формування індивідуальної мети професійного розвитку</w:t>
            </w:r>
          </w:p>
        </w:tc>
        <w:tc>
          <w:tcPr>
            <w:tcW w:w="1892" w:type="dxa"/>
            <w:hideMark/>
          </w:tcPr>
          <w:p w14:paraId="056EC6AE"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noProof/>
                <w:spacing w:val="-6"/>
                <w:kern w:val="0"/>
                <w:sz w:val="28"/>
                <w:szCs w:val="28"/>
                <w14:ligatures w14:val="none"/>
              </w:rPr>
            </w:pPr>
            <w:r w:rsidRPr="00B44B71">
              <w:rPr>
                <w:rFonts w:ascii="Times New Roman" w:eastAsia="Times New Roman" w:hAnsi="Times New Roman" w:cs="Times New Roman"/>
                <w:noProof/>
                <w:spacing w:val="-6"/>
                <w:kern w:val="0"/>
                <w:sz w:val="28"/>
                <w:szCs w:val="28"/>
                <w14:ligatures w14:val="none"/>
              </w:rPr>
              <w:t xml:space="preserve">Art. 2.1 – </w:t>
            </w:r>
            <w:r w:rsidRPr="00B44B71">
              <w:rPr>
                <w:rFonts w:ascii="Times New Roman" w:eastAsia="Times New Roman" w:hAnsi="Times New Roman" w:cs="Times New Roman"/>
                <w:i/>
                <w:iCs/>
                <w:noProof/>
                <w:spacing w:val="-6"/>
                <w:kern w:val="0"/>
                <w:sz w:val="28"/>
                <w:szCs w:val="28"/>
                <w14:ligatures w14:val="none"/>
              </w:rPr>
              <w:t>Individual Development Plans (IDPs)</w:t>
            </w:r>
          </w:p>
        </w:tc>
        <w:tc>
          <w:tcPr>
            <w:tcW w:w="2567" w:type="dxa"/>
            <w:hideMark/>
          </w:tcPr>
          <w:p w14:paraId="05C8B823"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noProof/>
                <w:spacing w:val="-6"/>
                <w:kern w:val="0"/>
                <w:sz w:val="28"/>
                <w:szCs w:val="28"/>
                <w:lang w:val="ru-RU"/>
                <w14:ligatures w14:val="none"/>
              </w:rPr>
              <w:t>Закон України «Про вищу освіту» (ст. 62, 63), Концепція розвитку військової освіти в ЗСУ до 2025 р.</w:t>
            </w:r>
          </w:p>
        </w:tc>
        <w:tc>
          <w:tcPr>
            <w:tcW w:w="2997" w:type="dxa"/>
            <w:hideMark/>
          </w:tcPr>
          <w:p w14:paraId="004CCFAA"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noProof/>
                <w:spacing w:val="-6"/>
                <w:kern w:val="0"/>
                <w:sz w:val="28"/>
                <w:szCs w:val="28"/>
                <w:lang w:val="ru-RU"/>
                <w14:ligatures w14:val="none"/>
              </w:rPr>
              <w:t>Передбачено створення індивідуальних планів і траєкторій навчання</w:t>
            </w:r>
          </w:p>
        </w:tc>
      </w:tr>
      <w:tr w:rsidR="00B44B71" w:rsidRPr="00F25FCF" w14:paraId="4136893D" w14:textId="77777777" w:rsidTr="00F918EC">
        <w:trPr>
          <w:trHeight w:val="1866"/>
        </w:trPr>
        <w:tc>
          <w:tcPr>
            <w:tcW w:w="0" w:type="auto"/>
            <w:hideMark/>
          </w:tcPr>
          <w:p w14:paraId="0508AC5F"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noProof/>
                <w:spacing w:val="-6"/>
                <w:kern w:val="0"/>
                <w:sz w:val="28"/>
                <w:szCs w:val="28"/>
                <w:lang w:val="ru-RU"/>
                <w14:ligatures w14:val="none"/>
              </w:rPr>
              <w:t>Оптимізація набуття компетентностей за посадовим призначенням</w:t>
            </w:r>
          </w:p>
        </w:tc>
        <w:tc>
          <w:tcPr>
            <w:tcW w:w="1892" w:type="dxa"/>
            <w:hideMark/>
          </w:tcPr>
          <w:p w14:paraId="38C963BF"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noProof/>
                <w:spacing w:val="-6"/>
                <w:kern w:val="0"/>
                <w:sz w:val="28"/>
                <w:szCs w:val="28"/>
                <w14:ligatures w14:val="none"/>
              </w:rPr>
            </w:pPr>
            <w:r w:rsidRPr="00B44B71">
              <w:rPr>
                <w:rFonts w:ascii="Times New Roman" w:eastAsia="Times New Roman" w:hAnsi="Times New Roman" w:cs="Times New Roman"/>
                <w:noProof/>
                <w:spacing w:val="-6"/>
                <w:kern w:val="0"/>
                <w:sz w:val="28"/>
                <w:szCs w:val="28"/>
                <w14:ligatures w14:val="none"/>
              </w:rPr>
              <w:t xml:space="preserve">Art. 3.3 – </w:t>
            </w:r>
            <w:r w:rsidRPr="00B44B71">
              <w:rPr>
                <w:rFonts w:ascii="Times New Roman" w:eastAsia="Times New Roman" w:hAnsi="Times New Roman" w:cs="Times New Roman"/>
                <w:i/>
                <w:iCs/>
                <w:noProof/>
                <w:spacing w:val="-6"/>
                <w:kern w:val="0"/>
                <w:sz w:val="28"/>
                <w:szCs w:val="28"/>
                <w14:ligatures w14:val="none"/>
              </w:rPr>
              <w:t>Job–Oriented Competency Frameworks</w:t>
            </w:r>
          </w:p>
        </w:tc>
        <w:tc>
          <w:tcPr>
            <w:tcW w:w="2567" w:type="dxa"/>
            <w:hideMark/>
          </w:tcPr>
          <w:p w14:paraId="210468CF"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noProof/>
                <w:spacing w:val="-6"/>
                <w:kern w:val="0"/>
                <w:sz w:val="28"/>
                <w:szCs w:val="28"/>
                <w:lang w:val="ru-RU"/>
                <w14:ligatures w14:val="none"/>
              </w:rPr>
              <w:t>Стандарти ВВО за спеціальністю 255, Наказ МОН № 1183 від 17.11.2020 (компетентнісний підхід)</w:t>
            </w:r>
          </w:p>
        </w:tc>
        <w:tc>
          <w:tcPr>
            <w:tcW w:w="2997" w:type="dxa"/>
            <w:hideMark/>
          </w:tcPr>
          <w:p w14:paraId="41359F8C"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noProof/>
                <w:spacing w:val="-6"/>
                <w:kern w:val="0"/>
                <w:sz w:val="28"/>
                <w:szCs w:val="28"/>
                <w:lang w:val="ru-RU"/>
                <w14:ligatures w14:val="none"/>
              </w:rPr>
              <w:t>Уточнюється перелік фахових компетентностей під військову посаду</w:t>
            </w:r>
          </w:p>
        </w:tc>
      </w:tr>
      <w:tr w:rsidR="00B44B71" w:rsidRPr="00F25FCF" w14:paraId="4DDF68C7" w14:textId="77777777" w:rsidTr="00F918EC">
        <w:tc>
          <w:tcPr>
            <w:tcW w:w="0" w:type="auto"/>
            <w:hideMark/>
          </w:tcPr>
          <w:p w14:paraId="643BB8A8"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noProof/>
                <w:spacing w:val="-6"/>
                <w:kern w:val="0"/>
                <w:sz w:val="28"/>
                <w:szCs w:val="28"/>
                <w:lang w:val="ru-RU"/>
                <w14:ligatures w14:val="none"/>
              </w:rPr>
              <w:t>Безперервність професійного розвитку</w:t>
            </w:r>
          </w:p>
        </w:tc>
        <w:tc>
          <w:tcPr>
            <w:tcW w:w="1892" w:type="dxa"/>
            <w:hideMark/>
          </w:tcPr>
          <w:p w14:paraId="6227FA84"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noProof/>
                <w:spacing w:val="-6"/>
                <w:kern w:val="0"/>
                <w:sz w:val="28"/>
                <w:szCs w:val="28"/>
                <w:lang w:val="ru-RU"/>
                <w14:ligatures w14:val="none"/>
              </w:rPr>
              <w:t xml:space="preserve">Art. 1.4 – </w:t>
            </w:r>
            <w:r w:rsidRPr="00B44B71">
              <w:rPr>
                <w:rFonts w:ascii="Times New Roman" w:eastAsia="Times New Roman" w:hAnsi="Times New Roman" w:cs="Times New Roman"/>
                <w:i/>
                <w:iCs/>
                <w:noProof/>
                <w:spacing w:val="-6"/>
                <w:kern w:val="0"/>
                <w:sz w:val="28"/>
                <w:szCs w:val="28"/>
                <w:lang w:val="ru-RU"/>
                <w14:ligatures w14:val="none"/>
              </w:rPr>
              <w:t>Lifelong Learning Orientation</w:t>
            </w:r>
          </w:p>
        </w:tc>
        <w:tc>
          <w:tcPr>
            <w:tcW w:w="2567" w:type="dxa"/>
            <w:hideMark/>
          </w:tcPr>
          <w:p w14:paraId="32C292F7" w14:textId="77777777" w:rsidR="00B44B71" w:rsidRPr="008D5CD5" w:rsidRDefault="00B44B71" w:rsidP="00023291">
            <w:pPr>
              <w:tabs>
                <w:tab w:val="left" w:pos="9638"/>
              </w:tabs>
              <w:spacing w:after="0" w:line="240" w:lineRule="auto"/>
              <w:jc w:val="both"/>
              <w:rPr>
                <w:rFonts w:ascii="Times New Roman" w:eastAsia="Times New Roman" w:hAnsi="Times New Roman" w:cs="Times New Roman"/>
                <w:noProof/>
                <w:spacing w:val="-6"/>
                <w:kern w:val="0"/>
                <w:sz w:val="24"/>
                <w:szCs w:val="24"/>
                <w:lang w:val="ru-RU"/>
                <w14:ligatures w14:val="none"/>
              </w:rPr>
            </w:pPr>
            <w:r w:rsidRPr="008D5CD5">
              <w:rPr>
                <w:rFonts w:ascii="Times New Roman" w:eastAsia="Times New Roman" w:hAnsi="Times New Roman" w:cs="Times New Roman"/>
                <w:noProof/>
                <w:spacing w:val="-6"/>
                <w:kern w:val="0"/>
                <w:sz w:val="24"/>
                <w:szCs w:val="24"/>
                <w:lang w:val="ru-RU"/>
                <w14:ligatures w14:val="none"/>
              </w:rPr>
              <w:t>Стратегія розвитку вищої освіти України на 2021–2031 рр.; Закон України «Про освіту» (ст. 1, 5)</w:t>
            </w:r>
          </w:p>
        </w:tc>
        <w:tc>
          <w:tcPr>
            <w:tcW w:w="2997" w:type="dxa"/>
            <w:hideMark/>
          </w:tcPr>
          <w:p w14:paraId="6D8CCE9E"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noProof/>
                <w:spacing w:val="-6"/>
                <w:kern w:val="0"/>
                <w:sz w:val="28"/>
                <w:szCs w:val="28"/>
                <w:lang w:val="ru-RU"/>
                <w14:ligatures w14:val="none"/>
              </w:rPr>
              <w:t>Законодавчо визначено принцип безперервної освіти (парадигма LLL)</w:t>
            </w:r>
          </w:p>
        </w:tc>
      </w:tr>
    </w:tbl>
    <w:p w14:paraId="79EC5DCC" w14:textId="4FAED0AB" w:rsidR="00B44B71" w:rsidRPr="00B44B71" w:rsidRDefault="00B44B71" w:rsidP="008D5CD5">
      <w:pPr>
        <w:tabs>
          <w:tab w:val="left" w:pos="9638"/>
        </w:tabs>
        <w:spacing w:after="0" w:line="240" w:lineRule="auto"/>
        <w:jc w:val="right"/>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lastRenderedPageBreak/>
        <w:t>Продовження таблиці 1</w:t>
      </w:r>
    </w:p>
    <w:p w14:paraId="7BD75EE8" w14:textId="77777777" w:rsidR="00B44B71" w:rsidRPr="00B44B71" w:rsidRDefault="00B44B71" w:rsidP="00023291">
      <w:pPr>
        <w:tabs>
          <w:tab w:val="left" w:pos="9638"/>
        </w:tabs>
        <w:spacing w:after="0" w:line="240" w:lineRule="auto"/>
        <w:ind w:firstLine="709"/>
        <w:jc w:val="right"/>
        <w:rPr>
          <w:rFonts w:ascii="Times New Roman" w:eastAsia="Times New Roman" w:hAnsi="Times New Roman" w:cs="Times New Roman"/>
          <w:kern w:val="0"/>
          <w:sz w:val="24"/>
          <w:szCs w:val="24"/>
          <w:lang w:val="ru-RU"/>
          <w14:ligatures w14:val="none"/>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5"/>
        <w:gridCol w:w="1932"/>
        <w:gridCol w:w="2613"/>
        <w:gridCol w:w="3019"/>
      </w:tblGrid>
      <w:tr w:rsidR="00B44B71" w:rsidRPr="00F25FCF" w14:paraId="2849B0E4" w14:textId="77777777" w:rsidTr="00F918EC">
        <w:tc>
          <w:tcPr>
            <w:tcW w:w="2075" w:type="dxa"/>
            <w:hideMark/>
          </w:tcPr>
          <w:p w14:paraId="1060D79B"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noProof/>
                <w:spacing w:val="-6"/>
                <w:kern w:val="0"/>
                <w:sz w:val="28"/>
                <w:szCs w:val="28"/>
                <w:lang w:val="ru-RU"/>
                <w14:ligatures w14:val="none"/>
              </w:rPr>
              <w:t>Відповідність потенціалу особи та вимогам служби</w:t>
            </w:r>
          </w:p>
        </w:tc>
        <w:tc>
          <w:tcPr>
            <w:tcW w:w="1932" w:type="dxa"/>
            <w:hideMark/>
          </w:tcPr>
          <w:p w14:paraId="6E3C0962"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noProof/>
                <w:spacing w:val="-6"/>
                <w:kern w:val="0"/>
                <w:sz w:val="28"/>
                <w:szCs w:val="28"/>
                <w14:ligatures w14:val="none"/>
              </w:rPr>
            </w:pPr>
            <w:r w:rsidRPr="00B44B71">
              <w:rPr>
                <w:rFonts w:ascii="Times New Roman" w:eastAsia="Times New Roman" w:hAnsi="Times New Roman" w:cs="Times New Roman"/>
                <w:noProof/>
                <w:spacing w:val="-6"/>
                <w:kern w:val="0"/>
                <w:sz w:val="28"/>
                <w:szCs w:val="28"/>
                <w14:ligatures w14:val="none"/>
              </w:rPr>
              <w:t xml:space="preserve">Art. 2.4 – </w:t>
            </w:r>
            <w:r w:rsidRPr="00B44B71">
              <w:rPr>
                <w:rFonts w:ascii="Times New Roman" w:eastAsia="Times New Roman" w:hAnsi="Times New Roman" w:cs="Times New Roman"/>
                <w:i/>
                <w:iCs/>
                <w:noProof/>
                <w:spacing w:val="-6"/>
                <w:kern w:val="0"/>
                <w:sz w:val="28"/>
                <w:szCs w:val="28"/>
                <w14:ligatures w14:val="none"/>
              </w:rPr>
              <w:t>Tailoring Training to Individual Profiles</w:t>
            </w:r>
          </w:p>
        </w:tc>
        <w:tc>
          <w:tcPr>
            <w:tcW w:w="2613" w:type="dxa"/>
            <w:hideMark/>
          </w:tcPr>
          <w:p w14:paraId="1040D7A9"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noProof/>
                <w:spacing w:val="-6"/>
                <w:kern w:val="0"/>
                <w:sz w:val="28"/>
                <w:szCs w:val="28"/>
                <w:lang w:val="ru-RU"/>
                <w14:ligatures w14:val="none"/>
              </w:rPr>
              <w:t>Наказ МОУ № 605 від 16.11.2020 (впровадження індивідуального підходу); профілі бойових посад</w:t>
            </w:r>
          </w:p>
        </w:tc>
        <w:tc>
          <w:tcPr>
            <w:tcW w:w="3019" w:type="dxa"/>
            <w:hideMark/>
          </w:tcPr>
          <w:p w14:paraId="229E26F8"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noProof/>
                <w:spacing w:val="-6"/>
                <w:kern w:val="0"/>
                <w:sz w:val="28"/>
                <w:szCs w:val="28"/>
                <w:lang w:val="ru-RU"/>
                <w14:ligatures w14:val="none"/>
              </w:rPr>
              <w:t>Підготовка кадрів відбувається відповідно до бойового призначення</w:t>
            </w:r>
          </w:p>
        </w:tc>
      </w:tr>
      <w:tr w:rsidR="00B44B71" w:rsidRPr="00F25FCF" w14:paraId="07279188" w14:textId="77777777" w:rsidTr="00F918EC">
        <w:tc>
          <w:tcPr>
            <w:tcW w:w="2075" w:type="dxa"/>
            <w:hideMark/>
          </w:tcPr>
          <w:p w14:paraId="2E13E888"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noProof/>
                <w:spacing w:val="-6"/>
                <w:kern w:val="0"/>
                <w:sz w:val="28"/>
                <w:szCs w:val="28"/>
                <w:lang w:val="ru-RU"/>
                <w14:ligatures w14:val="none"/>
              </w:rPr>
              <w:t>Підвищення мотивації та самостійності у навчанні</w:t>
            </w:r>
          </w:p>
        </w:tc>
        <w:tc>
          <w:tcPr>
            <w:tcW w:w="1932" w:type="dxa"/>
            <w:hideMark/>
          </w:tcPr>
          <w:p w14:paraId="4CCC6ABE"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noProof/>
                <w:spacing w:val="-6"/>
                <w:kern w:val="0"/>
                <w:sz w:val="28"/>
                <w:szCs w:val="28"/>
                <w14:ligatures w14:val="none"/>
              </w:rPr>
            </w:pPr>
            <w:r w:rsidRPr="00B44B71">
              <w:rPr>
                <w:rFonts w:ascii="Times New Roman" w:eastAsia="Times New Roman" w:hAnsi="Times New Roman" w:cs="Times New Roman"/>
                <w:noProof/>
                <w:spacing w:val="-6"/>
                <w:kern w:val="0"/>
                <w:sz w:val="28"/>
                <w:szCs w:val="28"/>
                <w14:ligatures w14:val="none"/>
              </w:rPr>
              <w:t xml:space="preserve">Art. 4.1 – </w:t>
            </w:r>
            <w:r w:rsidRPr="00B44B71">
              <w:rPr>
                <w:rFonts w:ascii="Times New Roman" w:eastAsia="Times New Roman" w:hAnsi="Times New Roman" w:cs="Times New Roman"/>
                <w:i/>
                <w:iCs/>
                <w:noProof/>
                <w:spacing w:val="-6"/>
                <w:kern w:val="0"/>
                <w:sz w:val="28"/>
                <w:szCs w:val="28"/>
                <w14:ligatures w14:val="none"/>
              </w:rPr>
              <w:t>Learner–Centered Education Principles</w:t>
            </w:r>
          </w:p>
        </w:tc>
        <w:tc>
          <w:tcPr>
            <w:tcW w:w="2613" w:type="dxa"/>
            <w:hideMark/>
          </w:tcPr>
          <w:p w14:paraId="5927E3D9"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noProof/>
                <w:spacing w:val="-6"/>
                <w:kern w:val="0"/>
                <w:sz w:val="28"/>
                <w:szCs w:val="28"/>
                <w:lang w:val="ru-RU"/>
                <w14:ligatures w14:val="none"/>
              </w:rPr>
              <w:t>Стандарти ВВО, Положення про організацію освітнього процесу у ВВНЗ, Закон «Про освіту» (ст. 54)</w:t>
            </w:r>
          </w:p>
        </w:tc>
        <w:tc>
          <w:tcPr>
            <w:tcW w:w="3019" w:type="dxa"/>
            <w:hideMark/>
          </w:tcPr>
          <w:p w14:paraId="6A5CDA17"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noProof/>
                <w:spacing w:val="-6"/>
                <w:kern w:val="0"/>
                <w:sz w:val="28"/>
                <w:szCs w:val="28"/>
                <w:lang w:val="ru-RU"/>
                <w14:ligatures w14:val="none"/>
              </w:rPr>
            </w:pPr>
            <w:r w:rsidRPr="00B44B71">
              <w:rPr>
                <w:rFonts w:ascii="Times New Roman" w:eastAsia="Times New Roman" w:hAnsi="Times New Roman" w:cs="Times New Roman"/>
                <w:noProof/>
                <w:spacing w:val="-6"/>
                <w:kern w:val="0"/>
                <w:sz w:val="28"/>
                <w:szCs w:val="28"/>
                <w:lang w:val="ru-RU"/>
                <w14:ligatures w14:val="none"/>
              </w:rPr>
              <w:t>Впроваджується особистісно–орієнтована модель навчання</w:t>
            </w:r>
          </w:p>
        </w:tc>
      </w:tr>
    </w:tbl>
    <w:p w14:paraId="1406B47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ru-RU"/>
          <w14:ligatures w14:val="none"/>
        </w:rPr>
      </w:pPr>
    </w:p>
    <w:p w14:paraId="604643E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ru-RU"/>
          <w14:ligatures w14:val="none"/>
        </w:rPr>
        <w:t>У сукупності зазначені цілі відображають системну роль ІОТ як інструменту гнучкої трансформації військової освіти, що забезпечує її відповідність вимогам часу, запитам особистості й завданням національної оборони. Ці цілі можуть і повинні бути покладені в основу нормативного, методичного та програмного забезпечення освітнього процесу у Збройних Силах України з урахуванням практик країн</w:t>
      </w:r>
      <w:r w:rsidRPr="00B44B71">
        <w:rPr>
          <w:rFonts w:ascii="Times New Roman" w:eastAsia="Times New Roman" w:hAnsi="Times New Roman" w:cs="Times New Roman"/>
          <w:noProof/>
          <w:kern w:val="0"/>
          <w:sz w:val="28"/>
          <w:szCs w:val="28"/>
          <w:lang w:val="uk-UA"/>
          <w14:ligatures w14:val="none"/>
        </w:rPr>
        <w:t>-</w:t>
      </w:r>
      <w:r w:rsidRPr="00B44B71">
        <w:rPr>
          <w:rFonts w:ascii="Times New Roman" w:eastAsia="Times New Roman" w:hAnsi="Times New Roman" w:cs="Times New Roman"/>
          <w:noProof/>
          <w:kern w:val="0"/>
          <w:sz w:val="28"/>
          <w:szCs w:val="28"/>
          <w:lang w:val="ru-RU"/>
          <w14:ligatures w14:val="none"/>
        </w:rPr>
        <w:t>членів НАТО.</w:t>
      </w:r>
    </w:p>
    <w:p w14:paraId="02A896E5"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spacing w:val="6"/>
          <w:kern w:val="0"/>
          <w:sz w:val="28"/>
          <w:szCs w:val="28"/>
          <w:lang w:val="uk-UA"/>
          <w14:ligatures w14:val="none"/>
        </w:rPr>
        <w:t xml:space="preserve">На практиці реалізація індивідуальної освітньої траєкторії відбувається через цілеспрямоване поєднання організаційних, педагогічних та цифрових механізмів відповідно до освітніх потреб, професійних інтересів і рівня підготовки здобувача освіти. Одним із ключових інструментів впрорадження ІОТ є змішане навчання, яке поєднує традиційні аудиторні заняття з дистанційними. </w:t>
      </w:r>
      <w:r w:rsidRPr="00B44B71">
        <w:rPr>
          <w:rFonts w:ascii="Times New Roman" w:eastAsia="Times New Roman" w:hAnsi="Times New Roman" w:cs="Times New Roman"/>
          <w:noProof/>
          <w:kern w:val="0"/>
          <w:sz w:val="28"/>
          <w:szCs w:val="28"/>
          <w:lang w:val="uk-UA"/>
          <w14:ligatures w14:val="none"/>
        </w:rPr>
        <w:t>Його головна перевага полягає у можливості забезпечення гнучкого доступу до освітніх ресурсів, індивідуального темпу опанування матеріалу та постійного зворотного зв’язку між викладачем і здобувачем освіти. У військових закладах освіти це особливо важливо, оскільки навчальний процес часто поєднується зі службовими обов’язками, польовою підготовкою, ротаціями та виконанням оперативних завдань.</w:t>
      </w:r>
    </w:p>
    <w:p w14:paraId="18B180B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У роботах Бурдіної С. (2020) та Грабового А.К. (2018) фундаментальним принципом реалізації індивідуальної освітньої траєкторії є персоналізація. Саме змішане навчання враховує індивідуальний рівень підготовки курсанта чи слухача, його професійний досвід, спеціалізацію та службові потреби. Завдяки цифровим освітнім платформам здобувач отримує можливість працювати з матеріалами різного рівня складності, обирати додаткові модулі, проходити самодіагностику та коригувати власний навчальний маршрут. Це сприяє переходу від однакової для всіх моделі навчання до адресної підготовки фахівця.</w:t>
      </w:r>
    </w:p>
    <w:p w14:paraId="6CA3EF2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 xml:space="preserve">Не менш важливим є принцип адаптивності, описаний у працях </w:t>
      </w:r>
      <w:r w:rsidRPr="00B44B71">
        <w:rPr>
          <w:rFonts w:ascii="Times New Roman" w:eastAsia="Times New Roman" w:hAnsi="Times New Roman" w:cs="Times New Roman"/>
          <w:noProof/>
          <w:kern w:val="0"/>
          <w:sz w:val="28"/>
          <w:szCs w:val="28"/>
          <w:lang w:val="ru-RU"/>
          <w14:ligatures w14:val="none"/>
        </w:rPr>
        <w:t>Морозов</w:t>
      </w:r>
      <w:r w:rsidRPr="00B44B71">
        <w:rPr>
          <w:rFonts w:ascii="Times New Roman" w:eastAsia="Times New Roman" w:hAnsi="Times New Roman" w:cs="Times New Roman"/>
          <w:noProof/>
          <w:kern w:val="0"/>
          <w:sz w:val="28"/>
          <w:szCs w:val="28"/>
          <w:lang w:val="uk-UA"/>
          <w14:ligatures w14:val="none"/>
        </w:rPr>
        <w:t>ої</w:t>
      </w:r>
      <w:r w:rsidRPr="00B44B71">
        <w:rPr>
          <w:rFonts w:ascii="Times New Roman" w:eastAsia="Times New Roman" w:hAnsi="Times New Roman" w:cs="Times New Roman"/>
          <w:noProof/>
          <w:kern w:val="0"/>
          <w:sz w:val="28"/>
          <w:szCs w:val="28"/>
          <w:lang w:val="ru-RU"/>
          <w14:ligatures w14:val="none"/>
        </w:rPr>
        <w:t xml:space="preserve"> Н.А. (2016)</w:t>
      </w:r>
      <w:r w:rsidRPr="00B44B71">
        <w:rPr>
          <w:rFonts w:ascii="Times New Roman" w:eastAsia="Times New Roman" w:hAnsi="Times New Roman" w:cs="Times New Roman"/>
          <w:noProof/>
          <w:kern w:val="0"/>
          <w:sz w:val="28"/>
          <w:szCs w:val="28"/>
          <w:lang w:val="uk-UA"/>
          <w14:ligatures w14:val="none"/>
        </w:rPr>
        <w:t>.</w:t>
      </w:r>
      <w:r w:rsidRPr="00B44B71">
        <w:rPr>
          <w:rFonts w:ascii="Times New Roman" w:eastAsia="Times New Roman" w:hAnsi="Times New Roman" w:cs="Times New Roman"/>
          <w:noProof/>
          <w:kern w:val="0"/>
          <w:sz w:val="28"/>
          <w:szCs w:val="28"/>
          <w:lang w:val="ru-RU"/>
          <w14:ligatures w14:val="none"/>
        </w:rPr>
        <w:t xml:space="preserve"> </w:t>
      </w:r>
      <w:r w:rsidRPr="00B44B71">
        <w:rPr>
          <w:rFonts w:ascii="Times New Roman" w:eastAsia="Times New Roman" w:hAnsi="Times New Roman" w:cs="Times New Roman"/>
          <w:noProof/>
          <w:kern w:val="0"/>
          <w:sz w:val="28"/>
          <w:szCs w:val="28"/>
          <w:lang w:val="uk-UA"/>
          <w14:ligatures w14:val="none"/>
        </w:rPr>
        <w:t xml:space="preserve">Сучасне військове середовище характеризується високою динамічністю, швидкою зміною технологій, тактики та вимог до професійної </w:t>
      </w:r>
      <w:r w:rsidRPr="00B44B71">
        <w:rPr>
          <w:rFonts w:ascii="Times New Roman" w:eastAsia="Times New Roman" w:hAnsi="Times New Roman" w:cs="Times New Roman"/>
          <w:noProof/>
          <w:kern w:val="0"/>
          <w:sz w:val="28"/>
          <w:szCs w:val="28"/>
          <w:lang w:val="uk-UA"/>
          <w14:ligatures w14:val="none"/>
        </w:rPr>
        <w:lastRenderedPageBreak/>
        <w:t>діяльності. Освітня система повинна оперативно реагувати на ці зміни. Змішане навчання дозволяє швидко оновлювати зміст дисциплін, інтегрувати актуальний бойовий досвід, нові стандарти НАТО, сучасні цифрові симулятори та тренажери. Адаптивність забезпечує не лише актуальність знань, а й готовність військового фахівця діяти в умовах невизначеності та нестандартних ситуацій.</w:t>
      </w:r>
    </w:p>
    <w:p w14:paraId="681AB9FB"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Принцип гнучкості, досліджуваний Морозовою Т.О. (2020), реалізується через можливість варіювання часу, місця, форм та інтенсивності навчання. Для військової освіти це особливо актуально, оскільки здобувачі часто поєднують навчання з виконанням службових завдань. Використання дистанційних платформ, асинхронних курсів, електронних тренажерів та мобільного доступу до навчального контенту дозволяє забезпечити безперервність освіти незалежно від місця перебування військовослужбовця. Таким чином, навчання стає не епізодичним процесом, а постійною складовою професійного розвитку.</w:t>
      </w:r>
    </w:p>
    <w:p w14:paraId="645DB41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Особливого значення набуває ще й принцип цілеспрямованості. Індивідуальна освітня траєкторія не є хаотичним набором освітніх активностей, а формується відповідно до чітко визначених результатів навчання, професійних компетентностей та посадових вимог. У військовій освіті це означає орієнтацію на підготовку фахівця до конкретних функціональних обов’язків: управління підрозділом, експлуатації складних технічних систем, прийняття рішень у бойових умовах, забезпечення логістики чи кіберзахисту. Змішане навчання дозволяє більш точно співставляти освітній процес із реальними професійними завданнями, що значно підвищує ефективність підготовки.</w:t>
      </w:r>
    </w:p>
    <w:p w14:paraId="79D3A5E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b/>
          <w:bCs/>
          <w:color w:val="000000"/>
          <w:kern w:val="0"/>
          <w:sz w:val="28"/>
          <w:szCs w:val="28"/>
          <w:lang w:val="uk-UA"/>
          <w14:ligatures w14:val="none"/>
        </w:rPr>
      </w:pPr>
      <w:r w:rsidRPr="00B44B71">
        <w:rPr>
          <w:rFonts w:ascii="Times New Roman" w:eastAsia="Times New Roman" w:hAnsi="Times New Roman" w:cs="Times New Roman"/>
          <w:b/>
          <w:color w:val="000000"/>
          <w:kern w:val="0"/>
          <w:sz w:val="28"/>
          <w:szCs w:val="28"/>
          <w:lang w:val="uk-UA"/>
          <w14:ligatures w14:val="none"/>
        </w:rPr>
        <w:t>Результати досліджень.</w:t>
      </w:r>
      <w:r w:rsidRPr="00B44B71">
        <w:rPr>
          <w:rFonts w:ascii="Times New Roman" w:eastAsia="Times New Roman" w:hAnsi="Times New Roman" w:cs="Times New Roman"/>
          <w:bCs/>
          <w:color w:val="000000"/>
          <w:kern w:val="0"/>
          <w:sz w:val="28"/>
          <w:szCs w:val="28"/>
          <w:lang w:val="uk-UA"/>
          <w14:ligatures w14:val="none"/>
        </w:rPr>
        <w:t xml:space="preserve"> Компетентнісний підхід, що реалізується індивідуалізацією освітніх траекторій методами змішаного навчання у військовій освіті орієнтує освітній процес не лише на засвоєння знань, а передусім на формування практичних умінь, професійних навичок і готовності до прийняття рішень у складних умовах. У цьому контексті особливого значення набуває використання цифрових технологій, зокрема інформаційно-комунікаційних платформ, що відкривають нові можливості для створення інтерактивного освітнього середовища змішаного типу навчання. </w:t>
      </w:r>
    </w:p>
    <w:p w14:paraId="478FB7C7"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 xml:space="preserve">Офіційно-визначеною платформою, дозволеною для використання у ЗС України є </w:t>
      </w:r>
      <w:r w:rsidRPr="00B44B71">
        <w:rPr>
          <w:rFonts w:ascii="Times New Roman" w:eastAsia="Times New Roman" w:hAnsi="Times New Roman" w:cs="Times New Roman"/>
          <w:noProof/>
          <w:kern w:val="0"/>
          <w:sz w:val="28"/>
          <w:szCs w:val="28"/>
          <w14:ligatures w14:val="none"/>
        </w:rPr>
        <w:t>modular</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14:ligatures w14:val="none"/>
        </w:rPr>
        <w:t>object</w:t>
      </w:r>
      <w:r w:rsidRPr="00B44B71">
        <w:rPr>
          <w:rFonts w:ascii="Times New Roman" w:eastAsia="Times New Roman" w:hAnsi="Times New Roman" w:cs="Times New Roman"/>
          <w:noProof/>
          <w:kern w:val="0"/>
          <w:sz w:val="28"/>
          <w:szCs w:val="28"/>
          <w:lang w:val="uk-UA"/>
          <w14:ligatures w14:val="none"/>
        </w:rPr>
        <w:t>-</w:t>
      </w:r>
      <w:r w:rsidRPr="00B44B71">
        <w:rPr>
          <w:rFonts w:ascii="Times New Roman" w:eastAsia="Times New Roman" w:hAnsi="Times New Roman" w:cs="Times New Roman"/>
          <w:noProof/>
          <w:kern w:val="0"/>
          <w:sz w:val="28"/>
          <w:szCs w:val="28"/>
          <w14:ligatures w14:val="none"/>
        </w:rPr>
        <w:t>oriented</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14:ligatures w14:val="none"/>
        </w:rPr>
        <w:t>dynamic</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14:ligatures w14:val="none"/>
        </w:rPr>
        <w:t>learning</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14:ligatures w14:val="none"/>
        </w:rPr>
        <w:t>environment</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bCs/>
          <w:noProof/>
          <w:kern w:val="0"/>
          <w:sz w:val="28"/>
          <w:szCs w:val="28"/>
          <w:lang w:val="ru-RU"/>
          <w14:ligatures w14:val="none"/>
        </w:rPr>
        <w:t>MOODLE</w:t>
      </w:r>
      <w:r w:rsidRPr="00B44B71">
        <w:rPr>
          <w:rFonts w:ascii="Times New Roman" w:eastAsia="Times New Roman" w:hAnsi="Times New Roman" w:cs="Times New Roman"/>
          <w:noProof/>
          <w:kern w:val="0"/>
          <w:sz w:val="28"/>
          <w:szCs w:val="28"/>
          <w:lang w:val="uk-UA"/>
          <w14:ligatures w14:val="none"/>
        </w:rPr>
        <w:t xml:space="preserve">). Саме тут було розміщено дисципліну «Гідравліка, гідро- та пневмоприводи», що використовувався для реалізації змішаного навчання. Перш за все під час розробки курсу основна увага приділялася зручності, простоті та зрозумілості розміщення матеріалів, а також структурованого розмежування загальної інформації від навчальної. З цією метою було оформлено розділ «Загальне» з новинами, які відображаються в календарі та можуть для зручності налаштовуватись у вигляді спливаючих сповіщень та нагадувань, а також «Відомості про дисципліну», що містять файли–вставлення про суть та вміст курсу (рис.1). </w:t>
      </w:r>
    </w:p>
    <w:p w14:paraId="6F8A1DB0"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noProof/>
          <w:kern w:val="0"/>
          <w:sz w:val="28"/>
          <w:szCs w:val="28"/>
          <w:lang w:val="uk-UA"/>
          <w14:ligatures w14:val="none"/>
        </w:rPr>
      </w:pPr>
    </w:p>
    <w:p w14:paraId="20A1E552"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4"/>
          <w:szCs w:val="24"/>
          <w:lang w:val="uk-UA" w:eastAsia="uk-UA"/>
          <w14:ligatures w14:val="none"/>
        </w:rPr>
        <w:lastRenderedPageBreak/>
        <w:drawing>
          <wp:inline distT="0" distB="0" distL="0" distR="0" wp14:anchorId="4C1D9997" wp14:editId="269A13BE">
            <wp:extent cx="5219700" cy="2546350"/>
            <wp:effectExtent l="0" t="0" r="0" b="6350"/>
            <wp:docPr id="14287985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35666" name=""/>
                    <pic:cNvPicPr/>
                  </pic:nvPicPr>
                  <pic:blipFill rotWithShape="1">
                    <a:blip r:embed="rId283">
                      <a:extLst>
                        <a:ext uri="{BEBA8EAE-BF5A-486C-A8C5-ECC9F3942E4B}">
                          <a14:imgProps xmlns:a14="http://schemas.microsoft.com/office/drawing/2010/main">
                            <a14:imgLayer r:embed="rId284">
                              <a14:imgEffect>
                                <a14:sharpenSoften amount="50000"/>
                              </a14:imgEffect>
                            </a14:imgLayer>
                          </a14:imgProps>
                        </a:ext>
                      </a:extLst>
                    </a:blip>
                    <a:srcRect t="8669" r="11015" b="19111"/>
                    <a:stretch/>
                  </pic:blipFill>
                  <pic:spPr bwMode="auto">
                    <a:xfrm>
                      <a:off x="0" y="0"/>
                      <a:ext cx="5403318" cy="2635925"/>
                    </a:xfrm>
                    <a:prstGeom prst="rect">
                      <a:avLst/>
                    </a:prstGeom>
                    <a:ln>
                      <a:noFill/>
                    </a:ln>
                    <a:extLst>
                      <a:ext uri="{53640926-AAD7-44D8-BBD7-CCE9431645EC}">
                        <a14:shadowObscured xmlns:a14="http://schemas.microsoft.com/office/drawing/2010/main"/>
                      </a:ext>
                    </a:extLst>
                  </pic:spPr>
                </pic:pic>
              </a:graphicData>
            </a:graphic>
          </wp:inline>
        </w:drawing>
      </w:r>
    </w:p>
    <w:p w14:paraId="7DE7425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16"/>
          <w:szCs w:val="16"/>
          <w:lang w:val="ru-RU"/>
          <w14:ligatures w14:val="none"/>
        </w:rPr>
      </w:pPr>
    </w:p>
    <w:p w14:paraId="2BE915B8"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ru-RU"/>
          <w14:ligatures w14:val="none"/>
        </w:rPr>
        <w:t>Рис</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lang w:val="ru-RU"/>
          <w14:ligatures w14:val="none"/>
        </w:rPr>
        <w:t>1. Загальний вигляд оформлення навчальної дисципліни.</w:t>
      </w:r>
    </w:p>
    <w:p w14:paraId="27F2EF1D"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noProof/>
          <w:kern w:val="0"/>
          <w:sz w:val="28"/>
          <w:szCs w:val="28"/>
          <w:lang w:val="uk-UA"/>
          <w14:ligatures w14:val="none"/>
        </w:rPr>
      </w:pPr>
    </w:p>
    <w:p w14:paraId="2DCBF903"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bCs/>
          <w:noProof/>
          <w:kern w:val="0"/>
          <w:sz w:val="28"/>
          <w:szCs w:val="28"/>
          <w:lang w:val="ru-RU"/>
          <w14:ligatures w14:val="none"/>
        </w:rPr>
      </w:pPr>
      <w:r w:rsidRPr="00B44B71">
        <w:rPr>
          <w:rFonts w:ascii="Times New Roman" w:eastAsia="Times New Roman" w:hAnsi="Times New Roman" w:cs="Times New Roman"/>
          <w:bCs/>
          <w:noProof/>
          <w:kern w:val="0"/>
          <w:sz w:val="28"/>
          <w:szCs w:val="28"/>
          <w:lang w:val="ru-RU"/>
          <w14:ligatures w14:val="none"/>
        </w:rPr>
        <w:t>Для реалізації основних засад змішаного навчання для курсу «Гідравліка, гідро– та пневмоприводи» було:</w:t>
      </w:r>
    </w:p>
    <w:p w14:paraId="051CBAE4" w14:textId="77777777" w:rsidR="00B44B71" w:rsidRPr="00572AD6" w:rsidRDefault="00B44B71" w:rsidP="00023291">
      <w:pPr>
        <w:numPr>
          <w:ilvl w:val="0"/>
          <w:numId w:val="18"/>
        </w:numPr>
        <w:tabs>
          <w:tab w:val="left" w:pos="993"/>
          <w:tab w:val="left" w:pos="9638"/>
        </w:tabs>
        <w:spacing w:after="0" w:line="240" w:lineRule="auto"/>
        <w:ind w:left="0" w:firstLine="709"/>
        <w:contextualSpacing/>
        <w:jc w:val="both"/>
        <w:rPr>
          <w:rFonts w:ascii="Times New Roman" w:eastAsia="Calibri" w:hAnsi="Times New Roman" w:cs="Times New Roman"/>
          <w:noProof/>
          <w:sz w:val="28"/>
          <w:szCs w:val="28"/>
          <w:lang w:val="uk-UA"/>
        </w:rPr>
      </w:pPr>
      <w:r w:rsidRPr="00B44B71">
        <w:rPr>
          <w:rFonts w:ascii="Times New Roman" w:eastAsia="Calibri" w:hAnsi="Times New Roman" w:cs="Times New Roman"/>
          <w:noProof/>
          <w:sz w:val="28"/>
          <w:szCs w:val="28"/>
          <w:lang w:val="uk-UA"/>
        </w:rPr>
        <w:t xml:space="preserve"> </w:t>
      </w:r>
      <w:r w:rsidRPr="00B44B71">
        <w:rPr>
          <w:rFonts w:ascii="Times New Roman" w:eastAsia="Calibri" w:hAnsi="Times New Roman" w:cs="Times New Roman"/>
          <w:bCs/>
          <w:noProof/>
          <w:sz w:val="28"/>
          <w:szCs w:val="28"/>
          <w:lang w:val="uk-UA"/>
        </w:rPr>
        <w:t xml:space="preserve">Розроблено карту дисципліни, яка у візуалізаційній формі показує зв’язок між </w:t>
      </w:r>
      <w:r w:rsidRPr="00B44B71">
        <w:rPr>
          <w:rFonts w:ascii="Times New Roman" w:eastAsia="Calibri" w:hAnsi="Times New Roman" w:cs="Times New Roman"/>
          <w:bCs/>
          <w:noProof/>
          <w:spacing w:val="-4"/>
          <w:sz w:val="28"/>
          <w:szCs w:val="28"/>
          <w:lang w:val="uk-UA"/>
        </w:rPr>
        <w:t>тематикою занять та спроможностями, які формуються у здобувачів освіти, а відповідно і</w:t>
      </w:r>
      <w:r w:rsidRPr="00B44B71">
        <w:rPr>
          <w:rFonts w:ascii="Times New Roman" w:eastAsia="Calibri" w:hAnsi="Times New Roman" w:cs="Times New Roman"/>
          <w:bCs/>
          <w:noProof/>
          <w:sz w:val="28"/>
          <w:szCs w:val="28"/>
          <w:lang w:val="uk-UA"/>
        </w:rPr>
        <w:t xml:space="preserve"> набуття необхідних для реалізації службової діяльності компетенцій (рис. 2.).</w:t>
      </w:r>
    </w:p>
    <w:p w14:paraId="04CD25B2" w14:textId="77777777" w:rsidR="00572AD6" w:rsidRDefault="00572AD6" w:rsidP="00572AD6">
      <w:pPr>
        <w:numPr>
          <w:ilvl w:val="0"/>
          <w:numId w:val="18"/>
        </w:numPr>
        <w:tabs>
          <w:tab w:val="left" w:pos="1134"/>
          <w:tab w:val="left" w:pos="9638"/>
        </w:tabs>
        <w:spacing w:after="0" w:line="240" w:lineRule="auto"/>
        <w:ind w:left="0" w:firstLine="709"/>
        <w:contextualSpacing/>
        <w:jc w:val="both"/>
        <w:rPr>
          <w:rFonts w:ascii="Times New Roman" w:eastAsia="Calibri" w:hAnsi="Times New Roman" w:cs="Times New Roman"/>
          <w:noProof/>
          <w:sz w:val="28"/>
          <w:szCs w:val="28"/>
          <w:lang w:val="uk-UA"/>
        </w:rPr>
      </w:pPr>
      <w:r w:rsidRPr="00B44B71">
        <w:rPr>
          <w:rFonts w:ascii="Times New Roman" w:eastAsia="Calibri" w:hAnsi="Times New Roman" w:cs="Times New Roman"/>
          <w:noProof/>
          <w:sz w:val="28"/>
          <w:szCs w:val="28"/>
          <w:lang w:val="uk-UA"/>
        </w:rPr>
        <w:t>Створено посилання на документ, що дає змогу зрозуміти здобувачам освіти яким чином конкретне завдання, що є обов’язковим до виконання під час вивчення курсу, формує певну компетентність (рис. 3). Дуже часто зв’язок між тематичним наповненням дисципліни та набуттям певної компетентності викликає певні сумніви у здобувачів освіти, особливо, коли це стосується вивчення компонентів загального, а не професійного циклу підготовки навчального плану.  Проблематично буває донести до свідомості курсантів зв’язок між вивченням певних фундаментальних законів чи явищ з досягненням конкретних програмних результатів навчання, оскільки вони є базовими для засвоєння наступних уже за професійним спрямуванням. Запропонована карта логічного зв’язку дає можливість чіико прослідкувати шлях від поставленого завдання через конкретний вид діяльності до формування компетентності.</w:t>
      </w:r>
    </w:p>
    <w:p w14:paraId="0B8EA6E0" w14:textId="431FB18C" w:rsidR="00C55E63" w:rsidRDefault="00C55E63" w:rsidP="00572AD6">
      <w:pPr>
        <w:numPr>
          <w:ilvl w:val="0"/>
          <w:numId w:val="18"/>
        </w:numPr>
        <w:tabs>
          <w:tab w:val="left" w:pos="1134"/>
          <w:tab w:val="left" w:pos="9638"/>
        </w:tabs>
        <w:spacing w:after="0" w:line="240" w:lineRule="auto"/>
        <w:ind w:left="0" w:firstLine="709"/>
        <w:contextualSpacing/>
        <w:jc w:val="both"/>
        <w:rPr>
          <w:rFonts w:ascii="Times New Roman" w:eastAsia="Calibri" w:hAnsi="Times New Roman" w:cs="Times New Roman"/>
          <w:noProof/>
          <w:sz w:val="28"/>
          <w:szCs w:val="28"/>
          <w:lang w:val="uk-UA"/>
        </w:rPr>
      </w:pPr>
      <w:r>
        <w:rPr>
          <w:rFonts w:ascii="Times New Roman" w:eastAsia="Calibri" w:hAnsi="Times New Roman" w:cs="Times New Roman"/>
          <w:noProof/>
          <w:sz w:val="28"/>
          <w:szCs w:val="28"/>
          <w:lang w:val="uk-UA"/>
        </w:rPr>
        <w:t>Д</w:t>
      </w:r>
      <w:r w:rsidRPr="00B44B71">
        <w:rPr>
          <w:rFonts w:ascii="Times New Roman" w:eastAsia="Calibri" w:hAnsi="Times New Roman" w:cs="Times New Roman"/>
          <w:noProof/>
          <w:sz w:val="28"/>
          <w:szCs w:val="28"/>
          <w:lang w:val="uk-UA"/>
        </w:rPr>
        <w:t xml:space="preserve">о </w:t>
      </w:r>
      <w:r>
        <w:rPr>
          <w:rFonts w:ascii="Times New Roman" w:eastAsia="Calibri" w:hAnsi="Times New Roman" w:cs="Times New Roman"/>
          <w:noProof/>
          <w:sz w:val="28"/>
          <w:szCs w:val="28"/>
          <w:lang w:val="uk-UA"/>
        </w:rPr>
        <w:t xml:space="preserve">навчального </w:t>
      </w:r>
      <w:r w:rsidRPr="00B44B71">
        <w:rPr>
          <w:rFonts w:ascii="Times New Roman" w:eastAsia="Calibri" w:hAnsi="Times New Roman" w:cs="Times New Roman"/>
          <w:noProof/>
          <w:sz w:val="28"/>
          <w:szCs w:val="28"/>
          <w:lang w:val="uk-UA"/>
        </w:rPr>
        <w:t xml:space="preserve"> курсу</w:t>
      </w:r>
      <w:r>
        <w:rPr>
          <w:rFonts w:ascii="Times New Roman" w:eastAsia="Calibri" w:hAnsi="Times New Roman" w:cs="Times New Roman"/>
          <w:noProof/>
          <w:sz w:val="28"/>
          <w:szCs w:val="28"/>
          <w:lang w:val="uk-UA"/>
        </w:rPr>
        <w:t xml:space="preserve">   д</w:t>
      </w:r>
      <w:r w:rsidRPr="00B44B71">
        <w:rPr>
          <w:rFonts w:ascii="Times New Roman" w:eastAsia="Calibri" w:hAnsi="Times New Roman" w:cs="Times New Roman"/>
          <w:noProof/>
          <w:sz w:val="28"/>
          <w:szCs w:val="28"/>
          <w:lang w:val="uk-UA"/>
        </w:rPr>
        <w:t>одано інструкцію, в якій описано основні види діяльності для успішного опанування, розвитку та перегляду курсу. Вона визначає чітку логіку організації змішаного навчання, поєднуючи самостійну дистанційну роботу здобувачів освіти з очними сесійними формами підготовки.</w:t>
      </w:r>
    </w:p>
    <w:p w14:paraId="4D2BD962" w14:textId="77777777" w:rsidR="00572AD6" w:rsidRPr="00B44B71" w:rsidRDefault="00572AD6" w:rsidP="00572AD6">
      <w:pPr>
        <w:tabs>
          <w:tab w:val="left" w:pos="1134"/>
          <w:tab w:val="left" w:pos="9638"/>
        </w:tabs>
        <w:spacing w:after="0" w:line="240" w:lineRule="auto"/>
        <w:ind w:firstLine="709"/>
        <w:contextualSpacing/>
        <w:jc w:val="both"/>
        <w:rPr>
          <w:rFonts w:ascii="Times New Roman" w:eastAsia="Calibri" w:hAnsi="Times New Roman" w:cs="Times New Roman"/>
          <w:noProof/>
          <w:sz w:val="28"/>
          <w:szCs w:val="28"/>
          <w:lang w:val="uk-UA"/>
        </w:rPr>
      </w:pPr>
    </w:p>
    <w:p w14:paraId="15F9A5EA" w14:textId="77777777" w:rsidR="00572AD6" w:rsidRPr="00B44B71" w:rsidRDefault="00572AD6" w:rsidP="00572AD6">
      <w:pPr>
        <w:tabs>
          <w:tab w:val="left" w:pos="993"/>
          <w:tab w:val="left" w:pos="9638"/>
        </w:tabs>
        <w:spacing w:after="0" w:line="240" w:lineRule="auto"/>
        <w:ind w:left="709"/>
        <w:contextualSpacing/>
        <w:jc w:val="both"/>
        <w:rPr>
          <w:rFonts w:ascii="Times New Roman" w:eastAsia="Calibri" w:hAnsi="Times New Roman" w:cs="Times New Roman"/>
          <w:noProof/>
          <w:sz w:val="28"/>
          <w:szCs w:val="28"/>
          <w:lang w:val="uk-UA"/>
        </w:rPr>
      </w:pPr>
    </w:p>
    <w:p w14:paraId="3A3A654A"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12"/>
          <w:szCs w:val="12"/>
          <w:lang w:val="uk-UA"/>
          <w14:ligatures w14:val="none"/>
        </w:rPr>
      </w:pPr>
    </w:p>
    <w:p w14:paraId="6D4CA504"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noProof/>
          <w:kern w:val="0"/>
          <w:sz w:val="28"/>
          <w:szCs w:val="28"/>
          <w:lang w:val="ru-RU"/>
          <w14:ligatures w14:val="none"/>
        </w:rPr>
      </w:pPr>
      <w:r w:rsidRPr="00B44B71">
        <w:rPr>
          <w:rFonts w:ascii="Times New Roman" w:eastAsia="Times New Roman" w:hAnsi="Times New Roman" w:cs="Times New Roman"/>
          <w:noProof/>
          <w:kern w:val="0"/>
          <w:sz w:val="24"/>
          <w:szCs w:val="24"/>
          <w:lang w:val="uk-UA" w:eastAsia="uk-UA"/>
          <w14:ligatures w14:val="none"/>
        </w:rPr>
        <w:lastRenderedPageBreak/>
        <w:drawing>
          <wp:inline distT="0" distB="0" distL="0" distR="0" wp14:anchorId="7FF42A59" wp14:editId="55099FBA">
            <wp:extent cx="5733374" cy="3802380"/>
            <wp:effectExtent l="0" t="0" r="1270" b="7620"/>
            <wp:docPr id="14287985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09424" name=""/>
                    <pic:cNvPicPr/>
                  </pic:nvPicPr>
                  <pic:blipFill rotWithShape="1">
                    <a:blip r:embed="rId285"/>
                    <a:srcRect l="9872" t="10733" r="10822" b="3587"/>
                    <a:stretch>
                      <a:fillRect/>
                    </a:stretch>
                  </pic:blipFill>
                  <pic:spPr bwMode="auto">
                    <a:xfrm>
                      <a:off x="0" y="0"/>
                      <a:ext cx="5834898" cy="3869711"/>
                    </a:xfrm>
                    <a:prstGeom prst="rect">
                      <a:avLst/>
                    </a:prstGeom>
                    <a:ln>
                      <a:noFill/>
                    </a:ln>
                    <a:extLst>
                      <a:ext uri="{53640926-AAD7-44D8-BBD7-CCE9431645EC}">
                        <a14:shadowObscured xmlns:a14="http://schemas.microsoft.com/office/drawing/2010/main"/>
                      </a:ext>
                    </a:extLst>
                  </pic:spPr>
                </pic:pic>
              </a:graphicData>
            </a:graphic>
          </wp:inline>
        </w:drawing>
      </w:r>
    </w:p>
    <w:p w14:paraId="30638231"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noProof/>
          <w:kern w:val="0"/>
          <w:sz w:val="16"/>
          <w:szCs w:val="16"/>
          <w:lang w:val="ru-RU"/>
          <w14:ligatures w14:val="none"/>
        </w:rPr>
      </w:pPr>
    </w:p>
    <w:p w14:paraId="74864F77"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noProof/>
          <w:kern w:val="0"/>
          <w:sz w:val="28"/>
          <w:szCs w:val="28"/>
          <w:lang w:val="ru-RU"/>
          <w14:ligatures w14:val="none"/>
        </w:rPr>
      </w:pPr>
      <w:r w:rsidRPr="00B44B71">
        <w:rPr>
          <w:rFonts w:ascii="Times New Roman" w:eastAsia="Times New Roman" w:hAnsi="Times New Roman" w:cs="Times New Roman"/>
          <w:noProof/>
          <w:kern w:val="0"/>
          <w:sz w:val="28"/>
          <w:szCs w:val="28"/>
          <w:lang w:val="ru-RU"/>
          <w14:ligatures w14:val="none"/>
        </w:rPr>
        <w:t>Рис</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lang w:val="ru-RU"/>
          <w14:ligatures w14:val="none"/>
        </w:rPr>
        <w:t>2. Карта дисципліни «Гідравліка, гідро</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lang w:val="ru-RU"/>
          <w14:ligatures w14:val="none"/>
        </w:rPr>
        <w:t>– та пневмоприводи».</w:t>
      </w:r>
    </w:p>
    <w:p w14:paraId="5FA374E0" w14:textId="77777777" w:rsidR="00B44B71" w:rsidRPr="002A5031" w:rsidRDefault="00B44B71" w:rsidP="00023291">
      <w:pPr>
        <w:tabs>
          <w:tab w:val="left" w:pos="9638"/>
        </w:tabs>
        <w:spacing w:after="0" w:line="240" w:lineRule="auto"/>
        <w:ind w:firstLine="709"/>
        <w:jc w:val="center"/>
        <w:rPr>
          <w:rFonts w:ascii="Times New Roman" w:eastAsia="Times New Roman" w:hAnsi="Times New Roman" w:cs="Times New Roman"/>
          <w:noProof/>
          <w:kern w:val="0"/>
          <w:sz w:val="28"/>
          <w:szCs w:val="28"/>
          <w:lang w:val="ru-RU"/>
          <w14:ligatures w14:val="none"/>
        </w:rPr>
      </w:pPr>
    </w:p>
    <w:p w14:paraId="4E99DB38" w14:textId="3513788B" w:rsidR="00572AD6" w:rsidRPr="00B44B71" w:rsidRDefault="00572AD6" w:rsidP="00C55E63">
      <w:pPr>
        <w:tabs>
          <w:tab w:val="left" w:pos="993"/>
          <w:tab w:val="left" w:pos="9638"/>
        </w:tabs>
        <w:spacing w:after="0" w:line="240" w:lineRule="auto"/>
        <w:ind w:firstLine="709"/>
        <w:contextualSpacing/>
        <w:jc w:val="both"/>
        <w:rPr>
          <w:rFonts w:ascii="Times New Roman" w:eastAsia="Calibri" w:hAnsi="Times New Roman" w:cs="Times New Roman"/>
          <w:noProof/>
          <w:sz w:val="28"/>
          <w:szCs w:val="28"/>
          <w:lang w:val="uk-UA"/>
        </w:rPr>
      </w:pPr>
      <w:r w:rsidRPr="00B44B71">
        <w:rPr>
          <w:rFonts w:ascii="Times New Roman" w:eastAsia="Calibri" w:hAnsi="Times New Roman" w:cs="Times New Roman"/>
          <w:noProof/>
          <w:sz w:val="28"/>
          <w:szCs w:val="28"/>
          <w:lang w:val="uk-UA"/>
        </w:rPr>
        <w:t>У документі структуровано навчальний матеріал за тематичними модулями, визначено орієнтовні часові межі, які знадобляться для їх опрацювання, а також окреслено алгоритм діяльності слухачів у міжсесійний період - від ознайомлення з теоретичними матеріалами до виконання практичних завдань, участі у форумних обговореннях та рефлексії результатів навчання.</w:t>
      </w:r>
    </w:p>
    <w:p w14:paraId="7F7BD7E5" w14:textId="77777777" w:rsidR="00572AD6" w:rsidRDefault="00572AD6" w:rsidP="00572AD6">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Запропонована інструкція сприяє формуванню самостійності навчальної діяльності, розвитку відповідальності за індивідуальну освітню траєкторію та забезпечує системність опанування дисципліни. Використання форумів, додаткових ресурсів і механізмів рефлексії активізує інтерактивну взаємодію між учасниками освітнього процесу, що є ключовою ознакою змішаного навчання.</w:t>
      </w:r>
    </w:p>
    <w:p w14:paraId="5845ADDD" w14:textId="77777777" w:rsidR="008D5CD5" w:rsidRDefault="008D5CD5" w:rsidP="008D5CD5">
      <w:pPr>
        <w:numPr>
          <w:ilvl w:val="0"/>
          <w:numId w:val="18"/>
        </w:numPr>
        <w:tabs>
          <w:tab w:val="left" w:pos="993"/>
          <w:tab w:val="left" w:pos="9638"/>
        </w:tabs>
        <w:spacing w:after="0" w:line="240" w:lineRule="auto"/>
        <w:ind w:left="0" w:firstLine="709"/>
        <w:contextualSpacing/>
        <w:jc w:val="both"/>
        <w:rPr>
          <w:rFonts w:ascii="Times New Roman" w:eastAsia="Calibri" w:hAnsi="Times New Roman" w:cs="Times New Roman"/>
          <w:noProof/>
          <w:sz w:val="28"/>
          <w:szCs w:val="28"/>
          <w:lang w:val="uk-UA"/>
        </w:rPr>
      </w:pPr>
      <w:r w:rsidRPr="00B44B71">
        <w:rPr>
          <w:rFonts w:ascii="Times New Roman" w:eastAsia="Calibri" w:hAnsi="Times New Roman" w:cs="Times New Roman"/>
          <w:noProof/>
          <w:sz w:val="28"/>
          <w:szCs w:val="28"/>
          <w:lang w:val="uk-UA"/>
        </w:rPr>
        <w:t>Створено контент для кожного лабораторного заняття, який здобувачі мають змогу переглядати у зручний час поза межами спеціалізованої лабораторії, що містить детальну покрокову інструкцію (рис. 5 (1) та відеофайл–гайденс (рис. 5 (2) проведення лабораторного експерименту.</w:t>
      </w:r>
    </w:p>
    <w:p w14:paraId="7690178D" w14:textId="4F73FC8D" w:rsidR="00572AD6" w:rsidRPr="008D5CD5" w:rsidRDefault="008D5CD5" w:rsidP="008D5CD5">
      <w:pPr>
        <w:numPr>
          <w:ilvl w:val="0"/>
          <w:numId w:val="18"/>
        </w:numPr>
        <w:tabs>
          <w:tab w:val="left" w:pos="993"/>
          <w:tab w:val="left" w:pos="9638"/>
        </w:tabs>
        <w:spacing w:after="0" w:line="240" w:lineRule="auto"/>
        <w:ind w:left="0" w:firstLine="709"/>
        <w:contextualSpacing/>
        <w:jc w:val="both"/>
        <w:rPr>
          <w:rFonts w:ascii="Times New Roman" w:eastAsia="Calibri" w:hAnsi="Times New Roman" w:cs="Times New Roman"/>
          <w:noProof/>
          <w:sz w:val="28"/>
          <w:szCs w:val="28"/>
          <w:lang w:val="uk-UA"/>
        </w:rPr>
      </w:pPr>
      <w:r w:rsidRPr="008D5CD5">
        <w:rPr>
          <w:rFonts w:ascii="Times New Roman" w:eastAsia="Times New Roman" w:hAnsi="Times New Roman" w:cs="Times New Roman"/>
          <w:noProof/>
          <w:kern w:val="0"/>
          <w:sz w:val="28"/>
          <w:szCs w:val="28"/>
          <w:lang w:val="uk-UA"/>
          <w14:ligatures w14:val="none"/>
        </w:rPr>
        <w:t xml:space="preserve">Запровадження цього інструменту істотно підвищує ефективність змішаного навчання, оскільки дозволяє перенести частину підготовчого етапу у дистанційне середовище. Здобувачі отримують можливість попередньо ознайомитися з обладнанням, алгоритмом виконання дослідження, вимогами безпеки та очікуваними результатами. Це сприяє більш усвідомленому </w:t>
      </w:r>
      <w:r w:rsidRPr="008D5CD5">
        <w:rPr>
          <w:rFonts w:ascii="Times New Roman" w:eastAsia="Times New Roman" w:hAnsi="Times New Roman" w:cs="Times New Roman"/>
          <w:noProof/>
          <w:kern w:val="0"/>
          <w:sz w:val="28"/>
          <w:szCs w:val="28"/>
          <w:lang w:val="uk-UA"/>
          <w14:ligatures w14:val="none"/>
        </w:rPr>
        <w:lastRenderedPageBreak/>
        <w:t>виконанню лабораторних робіт, зменшенню кількості помилок під час експерименту та оптимізації часу роботи у лабораторії.</w:t>
      </w:r>
    </w:p>
    <w:p w14:paraId="3101694E" w14:textId="77777777" w:rsidR="00B44B71" w:rsidRPr="00B44B71" w:rsidRDefault="00B44B71" w:rsidP="008D5CD5">
      <w:pPr>
        <w:tabs>
          <w:tab w:val="left" w:pos="9638"/>
        </w:tabs>
        <w:spacing w:after="0" w:line="240" w:lineRule="auto"/>
        <w:jc w:val="center"/>
        <w:rPr>
          <w:rFonts w:ascii="Times New Roman" w:eastAsia="Times New Roman" w:hAnsi="Times New Roman" w:cs="Times New Roman"/>
          <w:noProof/>
          <w:kern w:val="0"/>
          <w:sz w:val="28"/>
          <w:szCs w:val="28"/>
          <w:lang w:val="ru-RU"/>
          <w14:ligatures w14:val="none"/>
        </w:rPr>
      </w:pPr>
      <w:r w:rsidRPr="00B44B71">
        <w:rPr>
          <w:rFonts w:ascii="Times New Roman" w:eastAsia="Times New Roman" w:hAnsi="Times New Roman" w:cs="Times New Roman"/>
          <w:noProof/>
          <w:kern w:val="0"/>
          <w:sz w:val="24"/>
          <w:szCs w:val="24"/>
          <w:lang w:val="uk-UA" w:eastAsia="uk-UA"/>
          <w14:ligatures w14:val="none"/>
        </w:rPr>
        <w:drawing>
          <wp:inline distT="0" distB="0" distL="0" distR="0" wp14:anchorId="6D418519" wp14:editId="059C0AD2">
            <wp:extent cx="5934582" cy="4869180"/>
            <wp:effectExtent l="0" t="0" r="9525" b="7620"/>
            <wp:docPr id="14287985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83029" name=""/>
                    <pic:cNvPicPr/>
                  </pic:nvPicPr>
                  <pic:blipFill rotWithShape="1">
                    <a:blip r:embed="rId286">
                      <a:extLst>
                        <a:ext uri="{BEBA8EAE-BF5A-486C-A8C5-ECC9F3942E4B}">
                          <a14:imgProps xmlns:a14="http://schemas.microsoft.com/office/drawing/2010/main">
                            <a14:imgLayer r:embed="rId287">
                              <a14:imgEffect>
                                <a14:sharpenSoften amount="50000"/>
                              </a14:imgEffect>
                            </a14:imgLayer>
                          </a14:imgProps>
                        </a:ext>
                      </a:extLst>
                    </a:blip>
                    <a:srcRect t="24356" r="56224" b="6897"/>
                    <a:stretch>
                      <a:fillRect/>
                    </a:stretch>
                  </pic:blipFill>
                  <pic:spPr bwMode="auto">
                    <a:xfrm>
                      <a:off x="0" y="0"/>
                      <a:ext cx="5999973" cy="4922831"/>
                    </a:xfrm>
                    <a:prstGeom prst="rect">
                      <a:avLst/>
                    </a:prstGeom>
                    <a:ln>
                      <a:noFill/>
                    </a:ln>
                    <a:extLst>
                      <a:ext uri="{53640926-AAD7-44D8-BBD7-CCE9431645EC}">
                        <a14:shadowObscured xmlns:a14="http://schemas.microsoft.com/office/drawing/2010/main"/>
                      </a:ext>
                    </a:extLst>
                  </pic:spPr>
                </pic:pic>
              </a:graphicData>
            </a:graphic>
          </wp:inline>
        </w:drawing>
      </w:r>
    </w:p>
    <w:p w14:paraId="1E31ACA1"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ru-RU"/>
          <w14:ligatures w14:val="none"/>
        </w:rPr>
      </w:pPr>
    </w:p>
    <w:p w14:paraId="72B8676A"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noProof/>
          <w:kern w:val="0"/>
          <w:sz w:val="28"/>
          <w:szCs w:val="28"/>
          <w:lang w:val="ru-RU"/>
          <w14:ligatures w14:val="none"/>
        </w:rPr>
      </w:pPr>
      <w:r w:rsidRPr="00B44B71">
        <w:rPr>
          <w:rFonts w:ascii="Times New Roman" w:eastAsia="Times New Roman" w:hAnsi="Times New Roman" w:cs="Times New Roman"/>
          <w:noProof/>
          <w:kern w:val="0"/>
          <w:sz w:val="28"/>
          <w:szCs w:val="28"/>
          <w:lang w:val="ru-RU"/>
          <w14:ligatures w14:val="none"/>
        </w:rPr>
        <w:t>Рис</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lang w:val="ru-RU"/>
          <w14:ligatures w14:val="none"/>
        </w:rPr>
        <w:t xml:space="preserve">3. </w:t>
      </w:r>
      <w:r w:rsidRPr="00B44B71">
        <w:rPr>
          <w:rFonts w:ascii="Times New Roman" w:eastAsia="Times New Roman" w:hAnsi="Times New Roman" w:cs="Times New Roman"/>
          <w:noProof/>
          <w:kern w:val="0"/>
          <w:sz w:val="28"/>
          <w:szCs w:val="28"/>
          <w:lang w:val="uk-UA"/>
          <w14:ligatures w14:val="none"/>
        </w:rPr>
        <w:t>Карта л</w:t>
      </w:r>
      <w:r w:rsidRPr="00B44B71">
        <w:rPr>
          <w:rFonts w:ascii="Times New Roman" w:eastAsia="Times New Roman" w:hAnsi="Times New Roman" w:cs="Times New Roman"/>
          <w:noProof/>
          <w:kern w:val="0"/>
          <w:sz w:val="28"/>
          <w:szCs w:val="28"/>
          <w:lang w:val="ru-RU"/>
          <w14:ligatures w14:val="none"/>
        </w:rPr>
        <w:t>огічн</w:t>
      </w:r>
      <w:r w:rsidRPr="00B44B71">
        <w:rPr>
          <w:rFonts w:ascii="Times New Roman" w:eastAsia="Times New Roman" w:hAnsi="Times New Roman" w:cs="Times New Roman"/>
          <w:noProof/>
          <w:kern w:val="0"/>
          <w:sz w:val="28"/>
          <w:szCs w:val="28"/>
          <w:lang w:val="uk-UA"/>
          <w14:ligatures w14:val="none"/>
        </w:rPr>
        <w:t>ого</w:t>
      </w:r>
      <w:r w:rsidRPr="00B44B71">
        <w:rPr>
          <w:rFonts w:ascii="Times New Roman" w:eastAsia="Times New Roman" w:hAnsi="Times New Roman" w:cs="Times New Roman"/>
          <w:noProof/>
          <w:kern w:val="0"/>
          <w:sz w:val="28"/>
          <w:szCs w:val="28"/>
          <w:lang w:val="ru-RU"/>
          <w14:ligatures w14:val="none"/>
        </w:rPr>
        <w:t xml:space="preserve"> зв’яз</w:t>
      </w:r>
      <w:r w:rsidRPr="00B44B71">
        <w:rPr>
          <w:rFonts w:ascii="Times New Roman" w:eastAsia="Times New Roman" w:hAnsi="Times New Roman" w:cs="Times New Roman"/>
          <w:noProof/>
          <w:kern w:val="0"/>
          <w:sz w:val="28"/>
          <w:szCs w:val="28"/>
          <w:lang w:val="uk-UA"/>
          <w14:ligatures w14:val="none"/>
        </w:rPr>
        <w:t>ку</w:t>
      </w:r>
      <w:r w:rsidRPr="00B44B71">
        <w:rPr>
          <w:rFonts w:ascii="Times New Roman" w:eastAsia="Times New Roman" w:hAnsi="Times New Roman" w:cs="Times New Roman"/>
          <w:noProof/>
          <w:kern w:val="0"/>
          <w:sz w:val="28"/>
          <w:szCs w:val="28"/>
          <w:lang w:val="ru-RU"/>
          <w14:ligatures w14:val="none"/>
        </w:rPr>
        <w:t xml:space="preserve"> між поставленими завданнями та компетентностями, що набуваються за результатами їх виконання.</w:t>
      </w:r>
    </w:p>
    <w:p w14:paraId="27643FED" w14:textId="77777777" w:rsidR="00B44B71" w:rsidRDefault="00B44B71" w:rsidP="00023291">
      <w:pPr>
        <w:tabs>
          <w:tab w:val="left" w:pos="9638"/>
        </w:tabs>
        <w:spacing w:after="0" w:line="240" w:lineRule="auto"/>
        <w:ind w:firstLine="709"/>
        <w:jc w:val="center"/>
        <w:rPr>
          <w:rFonts w:ascii="Times New Roman" w:eastAsia="Times New Roman" w:hAnsi="Times New Roman" w:cs="Times New Roman"/>
          <w:noProof/>
          <w:kern w:val="0"/>
          <w:sz w:val="28"/>
          <w:szCs w:val="28"/>
          <w:lang w:val="ru-RU"/>
          <w14:ligatures w14:val="none"/>
        </w:rPr>
      </w:pPr>
    </w:p>
    <w:p w14:paraId="48733620" w14:textId="77777777" w:rsidR="008D5CD5" w:rsidRPr="00B44B71" w:rsidRDefault="008D5CD5" w:rsidP="008D5CD5">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Крім того, відеоформат пояснення забезпечує наочність та повторюваність навчального матеріалу, що особливо важливо для технічних дисциплін, пов’язаних із роботою складних електромеханічних, гідравлічних та пневматичних систем. Можливість багаторазового перегляду інструкцій формує у здобувачів стійкі практичні навички, підвищує рівень самостійності та сприяє розвитку професійного мислення.</w:t>
      </w:r>
    </w:p>
    <w:p w14:paraId="0D25D919" w14:textId="77777777" w:rsidR="008D5CD5" w:rsidRPr="00B44B71" w:rsidRDefault="008D5CD5" w:rsidP="008D5CD5">
      <w:pPr>
        <w:tabs>
          <w:tab w:val="left" w:pos="993"/>
          <w:tab w:val="left" w:pos="9638"/>
        </w:tabs>
        <w:spacing w:after="0" w:line="240" w:lineRule="auto"/>
        <w:ind w:firstLine="709"/>
        <w:jc w:val="both"/>
        <w:rPr>
          <w:rFonts w:ascii="Times New Roman" w:eastAsia="Times New Roman" w:hAnsi="Times New Roman" w:cs="Times New Roman"/>
          <w:noProof/>
          <w:kern w:val="0"/>
          <w:sz w:val="28"/>
          <w:szCs w:val="28"/>
          <w:lang w:val="ru-RU"/>
          <w14:ligatures w14:val="none"/>
        </w:rPr>
      </w:pPr>
      <w:r w:rsidRPr="00B44B71">
        <w:rPr>
          <w:rFonts w:ascii="Times New Roman" w:eastAsia="Times New Roman" w:hAnsi="Times New Roman" w:cs="Times New Roman"/>
          <w:noProof/>
          <w:kern w:val="0"/>
          <w:sz w:val="28"/>
          <w:szCs w:val="28"/>
          <w:lang w:val="ru-RU"/>
          <w14:ligatures w14:val="none"/>
        </w:rPr>
        <w:t>5.</w:t>
      </w:r>
      <w:r w:rsidRPr="00B44B71">
        <w:rPr>
          <w:rFonts w:ascii="Times New Roman" w:eastAsia="Times New Roman" w:hAnsi="Times New Roman" w:cs="Times New Roman"/>
          <w:noProof/>
          <w:kern w:val="0"/>
          <w:sz w:val="28"/>
          <w:szCs w:val="28"/>
          <w:lang w:val="ru-RU"/>
          <w14:ligatures w14:val="none"/>
        </w:rPr>
        <w:tab/>
      </w:r>
      <w:r w:rsidRPr="00B44B71">
        <w:rPr>
          <w:rFonts w:ascii="Times New Roman" w:eastAsia="Times New Roman" w:hAnsi="Times New Roman" w:cs="Times New Roman"/>
          <w:noProof/>
          <w:kern w:val="0"/>
          <w:sz w:val="28"/>
          <w:szCs w:val="28"/>
          <w:lang w:val="uk-UA"/>
          <w14:ligatures w14:val="none"/>
        </w:rPr>
        <w:t>В</w:t>
      </w:r>
      <w:r w:rsidRPr="00B44B71">
        <w:rPr>
          <w:rFonts w:ascii="Times New Roman" w:eastAsia="Times New Roman" w:hAnsi="Times New Roman" w:cs="Times New Roman"/>
          <w:noProof/>
          <w:kern w:val="0"/>
          <w:sz w:val="28"/>
          <w:szCs w:val="28"/>
          <w:lang w:val="ru-RU"/>
          <w14:ligatures w14:val="none"/>
        </w:rPr>
        <w:t xml:space="preserve"> інформаційно–освітньому середовищі </w:t>
      </w:r>
      <w:r w:rsidRPr="00B44B71">
        <w:rPr>
          <w:rFonts w:ascii="Times New Roman" w:eastAsia="Times New Roman" w:hAnsi="Times New Roman" w:cs="Times New Roman"/>
          <w:noProof/>
          <w:kern w:val="0"/>
          <w:sz w:val="28"/>
          <w:szCs w:val="28"/>
          <w:lang w:val="uk-UA"/>
          <w14:ligatures w14:val="none"/>
        </w:rPr>
        <w:t>р</w:t>
      </w:r>
      <w:r w:rsidRPr="00B44B71">
        <w:rPr>
          <w:rFonts w:ascii="Times New Roman" w:eastAsia="Times New Roman" w:hAnsi="Times New Roman" w:cs="Times New Roman"/>
          <w:noProof/>
          <w:kern w:val="0"/>
          <w:sz w:val="28"/>
          <w:szCs w:val="28"/>
          <w:lang w:val="ru-RU"/>
          <w14:ligatures w14:val="none"/>
        </w:rPr>
        <w:t>озташовано джерела теоретичної інформації та задачники для поглибленого вивчення дисципліни, загальний вигляд яких показано на рис. 6.</w:t>
      </w:r>
    </w:p>
    <w:p w14:paraId="324C763D" w14:textId="77777777" w:rsidR="008D5CD5" w:rsidRPr="00B44B71" w:rsidRDefault="008D5CD5" w:rsidP="008D5CD5">
      <w:pPr>
        <w:tabs>
          <w:tab w:val="left" w:pos="993"/>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 xml:space="preserve">Наявність теоретичних ресурсів у поєднанні із задачниками сприяє інтеграції дистанційного та аудиторного компонентів навчання. Здобувачі мають можливість самостійно опрацьовувати теоретичний матеріал у позааудиторно, а під час очних занять зосереджуватися на практичному застосуванні знань, </w:t>
      </w:r>
      <w:r w:rsidRPr="00B44B71">
        <w:rPr>
          <w:rFonts w:ascii="Times New Roman" w:eastAsia="Times New Roman" w:hAnsi="Times New Roman" w:cs="Times New Roman"/>
          <w:noProof/>
          <w:kern w:val="0"/>
          <w:sz w:val="28"/>
          <w:szCs w:val="28"/>
          <w:lang w:val="uk-UA"/>
          <w14:ligatures w14:val="none"/>
        </w:rPr>
        <w:lastRenderedPageBreak/>
        <w:t>аналізі складних ситуацій та вирішенні професійно орієнтованих завдань. Така модель відповідає сучасним підходам до організації змішаного навчання, де самостійна підготовка виступає підґрунтям для активної взаємодії під час аудиторної роботи.</w:t>
      </w:r>
    </w:p>
    <w:p w14:paraId="273F74DE" w14:textId="77777777" w:rsidR="008D5CD5" w:rsidRPr="00B44B71" w:rsidRDefault="008D5CD5" w:rsidP="008D5CD5">
      <w:pPr>
        <w:tabs>
          <w:tab w:val="left" w:pos="9638"/>
        </w:tabs>
        <w:spacing w:after="0" w:line="240" w:lineRule="auto"/>
        <w:ind w:firstLine="709"/>
        <w:rPr>
          <w:rFonts w:ascii="Times New Roman" w:eastAsia="Times New Roman" w:hAnsi="Times New Roman" w:cs="Times New Roman"/>
          <w:noProof/>
          <w:kern w:val="0"/>
          <w:sz w:val="28"/>
          <w:szCs w:val="28"/>
          <w:lang w:val="ru-RU"/>
          <w14:ligatures w14:val="none"/>
        </w:rPr>
      </w:pPr>
    </w:p>
    <w:p w14:paraId="11F62DA5" w14:textId="77777777" w:rsidR="00B44B71" w:rsidRPr="00B44B71" w:rsidRDefault="00B44B71" w:rsidP="008D5CD5">
      <w:pPr>
        <w:tabs>
          <w:tab w:val="left" w:pos="9638"/>
        </w:tabs>
        <w:spacing w:after="0" w:line="240" w:lineRule="auto"/>
        <w:ind w:firstLine="142"/>
        <w:jc w:val="both"/>
        <w:rPr>
          <w:rFonts w:ascii="Times New Roman" w:eastAsia="Times New Roman" w:hAnsi="Times New Roman" w:cs="Times New Roman"/>
          <w:noProof/>
          <w:kern w:val="0"/>
          <w:sz w:val="28"/>
          <w:szCs w:val="28"/>
          <w:lang w:val="ru-RU"/>
          <w14:ligatures w14:val="none"/>
        </w:rPr>
      </w:pPr>
      <w:r w:rsidRPr="00B44B71">
        <w:rPr>
          <w:rFonts w:ascii="Times New Roman" w:eastAsia="Times New Roman" w:hAnsi="Times New Roman" w:cs="Times New Roman"/>
          <w:noProof/>
          <w:kern w:val="0"/>
          <w:sz w:val="24"/>
          <w:szCs w:val="24"/>
          <w:lang w:val="uk-UA" w:eastAsia="uk-UA"/>
          <w14:ligatures w14:val="none"/>
        </w:rPr>
        <mc:AlternateContent>
          <mc:Choice Requires="wpi">
            <w:drawing>
              <wp:anchor distT="0" distB="0" distL="114300" distR="114300" simplePos="0" relativeHeight="251676672" behindDoc="0" locked="0" layoutInCell="1" allowOverlap="1" wp14:anchorId="22E78A02" wp14:editId="27A62FC4">
                <wp:simplePos x="0" y="0"/>
                <wp:positionH relativeFrom="column">
                  <wp:posOffset>4675505</wp:posOffset>
                </wp:positionH>
                <wp:positionV relativeFrom="paragraph">
                  <wp:posOffset>2098040</wp:posOffset>
                </wp:positionV>
                <wp:extent cx="51435" cy="79375"/>
                <wp:effectExtent l="38100" t="38100" r="43815" b="34925"/>
                <wp:wrapNone/>
                <wp:docPr id="1428798574" name="Рукописні дані 11"/>
                <wp:cNvGraphicFramePr/>
                <a:graphic xmlns:a="http://schemas.openxmlformats.org/drawingml/2006/main">
                  <a:graphicData uri="http://schemas.microsoft.com/office/word/2010/wordprocessingInk">
                    <w14:contentPart bwMode="auto" r:id="rId288">
                      <w14:nvContentPartPr>
                        <w14:cNvContentPartPr/>
                      </w14:nvContentPartPr>
                      <w14:xfrm>
                        <a:off x="0" y="0"/>
                        <a:ext cx="51435" cy="79375"/>
                      </w14:xfrm>
                    </w14:contentPart>
                  </a:graphicData>
                </a:graphic>
              </wp:anchor>
            </w:drawing>
          </mc:Choice>
          <mc:Fallback>
            <w:pict>
              <v:shape w14:anchorId="3326195C" id="Рукописні дані 11" o:spid="_x0000_s1026" type="#_x0000_t75" style="position:absolute;margin-left:367.65pt;margin-top:164.7pt;width:5pt;height:7.2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">
                <v:imagedata r:id="rId289" o:title=""/>
              </v:shape>
            </w:pict>
          </mc:Fallback>
        </mc:AlternateContent>
      </w:r>
      <w:r w:rsidRPr="00B44B71">
        <w:rPr>
          <w:rFonts w:ascii="Times New Roman" w:eastAsia="Times New Roman" w:hAnsi="Times New Roman" w:cs="Times New Roman"/>
          <w:noProof/>
          <w:kern w:val="0"/>
          <w:sz w:val="24"/>
          <w:szCs w:val="24"/>
          <w:lang w:val="uk-UA" w:eastAsia="uk-UA"/>
          <w14:ligatures w14:val="none"/>
        </w:rPr>
        <mc:AlternateContent>
          <mc:Choice Requires="wpi">
            <w:drawing>
              <wp:anchor distT="0" distB="0" distL="114300" distR="114300" simplePos="0" relativeHeight="251674624" behindDoc="0" locked="0" layoutInCell="1" allowOverlap="1" wp14:anchorId="2D833F28" wp14:editId="1F1AA9EA">
                <wp:simplePos x="0" y="0"/>
                <wp:positionH relativeFrom="column">
                  <wp:posOffset>4206240</wp:posOffset>
                </wp:positionH>
                <wp:positionV relativeFrom="paragraph">
                  <wp:posOffset>2176780</wp:posOffset>
                </wp:positionV>
                <wp:extent cx="402590" cy="197485"/>
                <wp:effectExtent l="38100" t="38100" r="35560" b="50165"/>
                <wp:wrapNone/>
                <wp:docPr id="1374169765" name="Рукописні дані 6"/>
                <wp:cNvGraphicFramePr/>
                <a:graphic xmlns:a="http://schemas.openxmlformats.org/drawingml/2006/main">
                  <a:graphicData uri="http://schemas.microsoft.com/office/word/2010/wordprocessingInk">
                    <w14:contentPart bwMode="auto" r:id="rId290">
                      <w14:nvContentPartPr>
                        <w14:cNvContentPartPr/>
                      </w14:nvContentPartPr>
                      <w14:xfrm>
                        <a:off x="0" y="0"/>
                        <a:ext cx="402590" cy="197485"/>
                      </w14:xfrm>
                    </w14:contentPart>
                  </a:graphicData>
                </a:graphic>
              </wp:anchor>
            </w:drawing>
          </mc:Choice>
          <mc:Fallback>
            <w:pict>
              <v:shape w14:anchorId="6331AFB5" id="Рукописні дані 6" o:spid="_x0000_s1026" type="#_x0000_t75" style="position:absolute;margin-left:330.7pt;margin-top:170.9pt;width:32.65pt;height:16.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">
                <v:imagedata r:id="rId291" o:title=""/>
              </v:shape>
            </w:pict>
          </mc:Fallback>
        </mc:AlternateContent>
      </w:r>
      <w:r w:rsidRPr="00B44B71">
        <w:rPr>
          <w:rFonts w:ascii="Times New Roman" w:eastAsia="Times New Roman" w:hAnsi="Times New Roman" w:cs="Times New Roman"/>
          <w:noProof/>
          <w:kern w:val="0"/>
          <w:sz w:val="24"/>
          <w:szCs w:val="24"/>
          <w:lang w:val="uk-UA" w:eastAsia="uk-UA"/>
          <w14:ligatures w14:val="none"/>
        </w:rPr>
        <mc:AlternateContent>
          <mc:Choice Requires="wpi">
            <w:drawing>
              <wp:anchor distT="0" distB="0" distL="114300" distR="114300" simplePos="0" relativeHeight="251675648" behindDoc="0" locked="0" layoutInCell="1" allowOverlap="1" wp14:anchorId="5CF53B51" wp14:editId="46F16CF0">
                <wp:simplePos x="0" y="0"/>
                <wp:positionH relativeFrom="column">
                  <wp:posOffset>4163060</wp:posOffset>
                </wp:positionH>
                <wp:positionV relativeFrom="paragraph">
                  <wp:posOffset>2326640</wp:posOffset>
                </wp:positionV>
                <wp:extent cx="86995" cy="71755"/>
                <wp:effectExtent l="38100" t="38100" r="8255" b="42545"/>
                <wp:wrapNone/>
                <wp:docPr id="1207122705" name="Рукописні дані 9"/>
                <wp:cNvGraphicFramePr/>
                <a:graphic xmlns:a="http://schemas.openxmlformats.org/drawingml/2006/main">
                  <a:graphicData uri="http://schemas.microsoft.com/office/word/2010/wordprocessingInk">
                    <w14:contentPart bwMode="auto" r:id="rId292">
                      <w14:nvContentPartPr>
                        <w14:cNvContentPartPr/>
                      </w14:nvContentPartPr>
                      <w14:xfrm>
                        <a:off x="0" y="0"/>
                        <a:ext cx="86995" cy="71755"/>
                      </w14:xfrm>
                    </w14:contentPart>
                  </a:graphicData>
                </a:graphic>
              </wp:anchor>
            </w:drawing>
          </mc:Choice>
          <mc:Fallback>
            <w:pict>
              <v:shape w14:anchorId="0FE066DA" id="Рукописні дані 9" o:spid="_x0000_s1026" type="#_x0000_t75" style="position:absolute;margin-left:327.3pt;margin-top:182.7pt;width:7.8pt;height:6.6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">
                <v:imagedata r:id="rId293" o:title=""/>
              </v:shape>
            </w:pict>
          </mc:Fallback>
        </mc:AlternateContent>
      </w:r>
      <w:r w:rsidRPr="00B44B71">
        <w:rPr>
          <w:rFonts w:ascii="Times New Roman" w:eastAsia="Times New Roman" w:hAnsi="Times New Roman" w:cs="Times New Roman"/>
          <w:noProof/>
          <w:kern w:val="0"/>
          <w:sz w:val="24"/>
          <w:szCs w:val="24"/>
          <w:lang w:val="uk-UA" w:eastAsia="uk-UA"/>
          <w14:ligatures w14:val="none"/>
        </w:rPr>
        <mc:AlternateContent>
          <mc:Choice Requires="wpi">
            <w:drawing>
              <wp:anchor distT="0" distB="0" distL="114300" distR="114300" simplePos="0" relativeHeight="251678720" behindDoc="0" locked="0" layoutInCell="1" allowOverlap="1" wp14:anchorId="36ED1D36" wp14:editId="41867B48">
                <wp:simplePos x="0" y="0"/>
                <wp:positionH relativeFrom="column">
                  <wp:posOffset>4345940</wp:posOffset>
                </wp:positionH>
                <wp:positionV relativeFrom="paragraph">
                  <wp:posOffset>2590165</wp:posOffset>
                </wp:positionV>
                <wp:extent cx="121285" cy="124460"/>
                <wp:effectExtent l="38100" t="38100" r="50165" b="46990"/>
                <wp:wrapNone/>
                <wp:docPr id="173947488" name="Рукописні дані 17"/>
                <wp:cNvGraphicFramePr/>
                <a:graphic xmlns:a="http://schemas.openxmlformats.org/drawingml/2006/main">
                  <a:graphicData uri="http://schemas.microsoft.com/office/word/2010/wordprocessingInk">
                    <w14:contentPart bwMode="auto" r:id="rId294">
                      <w14:nvContentPartPr>
                        <w14:cNvContentPartPr/>
                      </w14:nvContentPartPr>
                      <w14:xfrm>
                        <a:off x="0" y="0"/>
                        <a:ext cx="121285" cy="124460"/>
                      </w14:xfrm>
                    </w14:contentPart>
                  </a:graphicData>
                </a:graphic>
              </wp:anchor>
            </w:drawing>
          </mc:Choice>
          <mc:Fallback>
            <w:pict>
              <v:shape w14:anchorId="50E470E6" id="Рукописні дані 17" o:spid="_x0000_s1026" type="#_x0000_t75" style="position:absolute;margin-left:341.7pt;margin-top:203.45pt;width:10.5pt;height:10.7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">
                <v:imagedata r:id="rId295" o:title=""/>
              </v:shape>
            </w:pict>
          </mc:Fallback>
        </mc:AlternateContent>
      </w:r>
      <w:r w:rsidRPr="00B44B71">
        <w:rPr>
          <w:rFonts w:ascii="Times New Roman" w:eastAsia="Times New Roman" w:hAnsi="Times New Roman" w:cs="Times New Roman"/>
          <w:noProof/>
          <w:kern w:val="0"/>
          <w:sz w:val="24"/>
          <w:szCs w:val="24"/>
          <w:lang w:val="uk-UA" w:eastAsia="uk-UA"/>
          <w14:ligatures w14:val="none"/>
        </w:rPr>
        <mc:AlternateContent>
          <mc:Choice Requires="wpi">
            <w:drawing>
              <wp:anchor distT="0" distB="0" distL="114300" distR="114300" simplePos="0" relativeHeight="251677696" behindDoc="0" locked="0" layoutInCell="1" allowOverlap="1" wp14:anchorId="5F344AC0" wp14:editId="7424A088">
                <wp:simplePos x="0" y="0"/>
                <wp:positionH relativeFrom="column">
                  <wp:posOffset>3406140</wp:posOffset>
                </wp:positionH>
                <wp:positionV relativeFrom="paragraph">
                  <wp:posOffset>2623820</wp:posOffset>
                </wp:positionV>
                <wp:extent cx="822960" cy="53975"/>
                <wp:effectExtent l="38100" t="38100" r="0" b="41275"/>
                <wp:wrapNone/>
                <wp:docPr id="1506856820" name="Рукописні дані 16"/>
                <wp:cNvGraphicFramePr/>
                <a:graphic xmlns:a="http://schemas.openxmlformats.org/drawingml/2006/main">
                  <a:graphicData uri="http://schemas.microsoft.com/office/word/2010/wordprocessingInk">
                    <w14:contentPart bwMode="auto" r:id="rId296">
                      <w14:nvContentPartPr>
                        <w14:cNvContentPartPr/>
                      </w14:nvContentPartPr>
                      <w14:xfrm>
                        <a:off x="0" y="0"/>
                        <a:ext cx="822960" cy="53975"/>
                      </w14:xfrm>
                    </w14:contentPart>
                  </a:graphicData>
                </a:graphic>
              </wp:anchor>
            </w:drawing>
          </mc:Choice>
          <mc:Fallback>
            <w:pict>
              <v:shape w14:anchorId="549D1308" id="Рукописні дані 16" o:spid="_x0000_s1026" type="#_x0000_t75" style="position:absolute;margin-left:267.7pt;margin-top:206.1pt;width:65.75pt;height:5.2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">
                <v:imagedata r:id="rId297" o:title=""/>
              </v:shape>
            </w:pict>
          </mc:Fallback>
        </mc:AlternateContent>
      </w:r>
      <w:r w:rsidRPr="00B44B71">
        <w:rPr>
          <w:rFonts w:ascii="Times New Roman" w:eastAsia="Times New Roman" w:hAnsi="Times New Roman" w:cs="Times New Roman"/>
          <w:noProof/>
          <w:kern w:val="0"/>
          <w:sz w:val="24"/>
          <w:szCs w:val="24"/>
          <w:lang w:val="uk-UA" w:eastAsia="uk-UA"/>
          <w14:ligatures w14:val="none"/>
        </w:rPr>
        <w:drawing>
          <wp:inline distT="0" distB="0" distL="0" distR="0" wp14:anchorId="3C2F7A1E" wp14:editId="046C9C5B">
            <wp:extent cx="5892667" cy="2882900"/>
            <wp:effectExtent l="0" t="0" r="0" b="0"/>
            <wp:docPr id="14287985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138131" name=""/>
                    <pic:cNvPicPr/>
                  </pic:nvPicPr>
                  <pic:blipFill rotWithShape="1">
                    <a:blip r:embed="rId298">
                      <a:extLst>
                        <a:ext uri="{BEBA8EAE-BF5A-486C-A8C5-ECC9F3942E4B}">
                          <a14:imgProps xmlns:a14="http://schemas.microsoft.com/office/drawing/2010/main">
                            <a14:imgLayer r:embed="rId299">
                              <a14:imgEffect>
                                <a14:sharpenSoften amount="50000"/>
                              </a14:imgEffect>
                            </a14:imgLayer>
                          </a14:imgProps>
                        </a:ext>
                      </a:extLst>
                    </a:blip>
                    <a:srcRect t="20228" r="14073" b="5042"/>
                    <a:stretch>
                      <a:fillRect/>
                    </a:stretch>
                  </pic:blipFill>
                  <pic:spPr bwMode="auto">
                    <a:xfrm>
                      <a:off x="0" y="0"/>
                      <a:ext cx="5900501" cy="2886733"/>
                    </a:xfrm>
                    <a:prstGeom prst="rect">
                      <a:avLst/>
                    </a:prstGeom>
                    <a:ln>
                      <a:noFill/>
                    </a:ln>
                    <a:extLst>
                      <a:ext uri="{53640926-AAD7-44D8-BBD7-CCE9431645EC}">
                        <a14:shadowObscured xmlns:a14="http://schemas.microsoft.com/office/drawing/2010/main"/>
                      </a:ext>
                    </a:extLst>
                  </pic:spPr>
                </pic:pic>
              </a:graphicData>
            </a:graphic>
          </wp:inline>
        </w:drawing>
      </w:r>
    </w:p>
    <w:p w14:paraId="2C41CD03"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kern w:val="0"/>
          <w:sz w:val="28"/>
          <w:szCs w:val="28"/>
          <w:lang w:val="ru-RU"/>
          <w14:ligatures w14:val="none"/>
        </w:rPr>
      </w:pPr>
    </w:p>
    <w:p w14:paraId="7362BD29"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ru-RU"/>
          <w14:ligatures w14:val="none"/>
        </w:rPr>
        <w:t>Рис</w:t>
      </w:r>
      <w:r w:rsidRPr="00B44B71">
        <w:rPr>
          <w:rFonts w:ascii="Times New Roman" w:eastAsia="Times New Roman" w:hAnsi="Times New Roman" w:cs="Times New Roman"/>
          <w:noProof/>
          <w:kern w:val="0"/>
          <w:sz w:val="28"/>
          <w:szCs w:val="28"/>
          <w:lang w:val="uk-UA"/>
          <w14:ligatures w14:val="none"/>
        </w:rPr>
        <w:t>.</w:t>
      </w:r>
      <w:r w:rsidRPr="00B44B71">
        <w:rPr>
          <w:rFonts w:ascii="Times New Roman" w:eastAsia="Times New Roman" w:hAnsi="Times New Roman" w:cs="Times New Roman"/>
          <w:noProof/>
          <w:kern w:val="0"/>
          <w:sz w:val="28"/>
          <w:szCs w:val="28"/>
          <w:lang w:val="ru-RU"/>
          <w14:ligatures w14:val="none"/>
        </w:rPr>
        <w:t xml:space="preserve"> 5.</w:t>
      </w:r>
      <w:r w:rsidRPr="00B44B71">
        <w:rPr>
          <w:rFonts w:ascii="Times New Roman" w:eastAsia="Times New Roman" w:hAnsi="Times New Roman" w:cs="Times New Roman"/>
          <w:noProof/>
          <w:kern w:val="0"/>
          <w:sz w:val="24"/>
          <w:szCs w:val="24"/>
          <w:lang w:val="ru-RU"/>
          <w14:ligatures w14:val="none"/>
        </w:rPr>
        <w:t xml:space="preserve"> </w:t>
      </w:r>
      <w:r w:rsidRPr="00B44B71">
        <w:rPr>
          <w:rFonts w:ascii="Times New Roman" w:eastAsia="Times New Roman" w:hAnsi="Times New Roman" w:cs="Times New Roman"/>
          <w:noProof/>
          <w:kern w:val="0"/>
          <w:sz w:val="28"/>
          <w:szCs w:val="28"/>
          <w:lang w:val="ru-RU"/>
          <w14:ligatures w14:val="none"/>
        </w:rPr>
        <w:t>Вигляд лабораторної роботи в інформаційно–освітньому середовищі MOODLE.</w:t>
      </w:r>
    </w:p>
    <w:p w14:paraId="2DFFBC44"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noProof/>
          <w:kern w:val="0"/>
          <w:sz w:val="28"/>
          <w:szCs w:val="28"/>
          <w:lang w:val="uk-UA"/>
          <w14:ligatures w14:val="none"/>
        </w:rPr>
      </w:pPr>
    </w:p>
    <w:p w14:paraId="7414C1EF"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Крім того, доступ до задачників для поглибленого вивчення дисципліни забезпечує диференціацію навчання та можливість формування індивідуальних освітніх траєкторій. Здобувачі з різним рівнем підготовки можуть обирати відповідний рівень складності завдань, що сприяє розвитку аналітичного мислення, професійних компетентностей та самостійності у навчальній діяльності.</w:t>
      </w:r>
    </w:p>
    <w:p w14:paraId="5B60D693"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p>
    <w:tbl>
      <w:tblPr>
        <w:tblStyle w:val="10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90"/>
        <w:gridCol w:w="560"/>
      </w:tblGrid>
      <w:tr w:rsidR="00B44B71" w:rsidRPr="00B44B71" w14:paraId="310B1E0E" w14:textId="77777777" w:rsidTr="00F918EC">
        <w:trPr>
          <w:jc w:val="center"/>
        </w:trPr>
        <w:tc>
          <w:tcPr>
            <w:tcW w:w="7486" w:type="dxa"/>
          </w:tcPr>
          <w:p w14:paraId="2D149CD8" w14:textId="77777777" w:rsidR="00B44B71" w:rsidRPr="00B44B71" w:rsidRDefault="00B44B71" w:rsidP="00023291">
            <w:pPr>
              <w:tabs>
                <w:tab w:val="left" w:pos="993"/>
                <w:tab w:val="left" w:pos="9638"/>
              </w:tabs>
              <w:ind w:firstLine="709"/>
              <w:jc w:val="both"/>
              <w:rPr>
                <w:rFonts w:ascii="Times New Roman" w:hAnsi="Times New Roman" w:cs="Times New Roman"/>
                <w:noProof/>
              </w:rPr>
            </w:pPr>
            <w:r w:rsidRPr="00B44B71">
              <w:rPr>
                <w:rFonts w:ascii="Times New Roman" w:hAnsi="Times New Roman" w:cs="Times New Roman"/>
                <w:noProof/>
                <w:lang w:val="uk-UA" w:eastAsia="uk-UA"/>
              </w:rPr>
              <w:drawing>
                <wp:inline distT="0" distB="0" distL="0" distR="0" wp14:anchorId="55B6FF29" wp14:editId="6867B942">
                  <wp:extent cx="5762609" cy="2347415"/>
                  <wp:effectExtent l="0" t="0" r="0" b="0"/>
                  <wp:docPr id="14287985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902408" name=""/>
                          <pic:cNvPicPr/>
                        </pic:nvPicPr>
                        <pic:blipFill rotWithShape="1">
                          <a:blip r:embed="rId300">
                            <a:extLst>
                              <a:ext uri="{BEBA8EAE-BF5A-486C-A8C5-ECC9F3942E4B}">
                                <a14:imgProps xmlns:a14="http://schemas.microsoft.com/office/drawing/2010/main">
                                  <a14:imgLayer r:embed="rId301">
                                    <a14:imgEffect>
                                      <a14:sharpenSoften amount="50000"/>
                                    </a14:imgEffect>
                                  </a14:imgLayer>
                                </a14:imgProps>
                              </a:ext>
                            </a:extLst>
                          </a:blip>
                          <a:srcRect l="463" t="8669" r="13144" b="5246"/>
                          <a:stretch>
                            <a:fillRect/>
                          </a:stretch>
                        </pic:blipFill>
                        <pic:spPr bwMode="auto">
                          <a:xfrm>
                            <a:off x="0" y="0"/>
                            <a:ext cx="5836768" cy="2377624"/>
                          </a:xfrm>
                          <a:prstGeom prst="rect">
                            <a:avLst/>
                          </a:prstGeom>
                          <a:ln>
                            <a:noFill/>
                          </a:ln>
                          <a:extLst>
                            <a:ext uri="{53640926-AAD7-44D8-BBD7-CCE9431645EC}">
                              <a14:shadowObscured xmlns:a14="http://schemas.microsoft.com/office/drawing/2010/main"/>
                            </a:ext>
                          </a:extLst>
                        </pic:spPr>
                      </pic:pic>
                    </a:graphicData>
                  </a:graphic>
                </wp:inline>
              </w:drawing>
            </w:r>
          </w:p>
        </w:tc>
        <w:tc>
          <w:tcPr>
            <w:tcW w:w="560" w:type="dxa"/>
            <w:vAlign w:val="center"/>
          </w:tcPr>
          <w:p w14:paraId="0AD1E356" w14:textId="77777777" w:rsidR="00B44B71" w:rsidRPr="00B44B71" w:rsidRDefault="00B44B71" w:rsidP="00023291">
            <w:pPr>
              <w:tabs>
                <w:tab w:val="left" w:pos="993"/>
                <w:tab w:val="left" w:pos="9638"/>
              </w:tabs>
              <w:ind w:firstLine="709"/>
              <w:jc w:val="center"/>
              <w:rPr>
                <w:rFonts w:ascii="Times New Roman" w:hAnsi="Times New Roman" w:cs="Times New Roman"/>
                <w:noProof/>
                <w:sz w:val="28"/>
                <w:szCs w:val="28"/>
              </w:rPr>
            </w:pPr>
            <w:r w:rsidRPr="00B44B71">
              <w:rPr>
                <w:rFonts w:ascii="Times New Roman" w:hAnsi="Times New Roman" w:cs="Times New Roman"/>
                <w:noProof/>
                <w:sz w:val="28"/>
                <w:szCs w:val="28"/>
              </w:rPr>
              <w:t>а</w:t>
            </w:r>
          </w:p>
        </w:tc>
      </w:tr>
      <w:tr w:rsidR="00B44B71" w:rsidRPr="00B44B71" w14:paraId="14D6F05C" w14:textId="77777777" w:rsidTr="00F918EC">
        <w:trPr>
          <w:jc w:val="center"/>
        </w:trPr>
        <w:tc>
          <w:tcPr>
            <w:tcW w:w="7486" w:type="dxa"/>
          </w:tcPr>
          <w:p w14:paraId="128CC153" w14:textId="77777777" w:rsidR="00B44B71" w:rsidRPr="00B44B71" w:rsidRDefault="00B44B71" w:rsidP="00023291">
            <w:pPr>
              <w:tabs>
                <w:tab w:val="left" w:pos="993"/>
                <w:tab w:val="left" w:pos="9638"/>
              </w:tabs>
              <w:ind w:firstLine="709"/>
              <w:jc w:val="both"/>
              <w:rPr>
                <w:rFonts w:ascii="Times New Roman" w:hAnsi="Times New Roman" w:cs="Times New Roman"/>
                <w:noProof/>
                <w:sz w:val="16"/>
                <w:szCs w:val="16"/>
              </w:rPr>
            </w:pPr>
          </w:p>
          <w:p w14:paraId="3CE15682" w14:textId="77777777" w:rsidR="00B44B71" w:rsidRPr="00B44B71" w:rsidRDefault="00B44B71" w:rsidP="00023291">
            <w:pPr>
              <w:tabs>
                <w:tab w:val="left" w:pos="993"/>
                <w:tab w:val="left" w:pos="9638"/>
              </w:tabs>
              <w:ind w:firstLine="709"/>
              <w:jc w:val="both"/>
              <w:rPr>
                <w:rFonts w:ascii="Times New Roman" w:hAnsi="Times New Roman" w:cs="Times New Roman"/>
                <w:noProof/>
                <w:sz w:val="28"/>
                <w:szCs w:val="28"/>
              </w:rPr>
            </w:pPr>
            <w:r w:rsidRPr="00B44B71">
              <w:rPr>
                <w:rFonts w:ascii="Times New Roman" w:hAnsi="Times New Roman" w:cs="Times New Roman"/>
                <w:noProof/>
                <w:sz w:val="28"/>
                <w:szCs w:val="28"/>
                <w:lang w:val="uk-UA" w:eastAsia="uk-UA"/>
              </w:rPr>
              <w:lastRenderedPageBreak/>
              <w:drawing>
                <wp:inline distT="0" distB="0" distL="0" distR="0" wp14:anchorId="6E3B125C" wp14:editId="6B3C3726">
                  <wp:extent cx="1279525" cy="1477670"/>
                  <wp:effectExtent l="0" t="0" r="0" b="8255"/>
                  <wp:docPr id="142879856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305091" cy="1507195"/>
                          </a:xfrm>
                          <a:prstGeom prst="rect">
                            <a:avLst/>
                          </a:prstGeom>
                          <a:noFill/>
                        </pic:spPr>
                      </pic:pic>
                    </a:graphicData>
                  </a:graphic>
                </wp:inline>
              </w:drawing>
            </w:r>
            <w:r w:rsidRPr="00B44B71">
              <w:rPr>
                <w:rFonts w:ascii="Times New Roman" w:hAnsi="Times New Roman" w:cs="Times New Roman"/>
                <w:noProof/>
                <w:sz w:val="28"/>
                <w:szCs w:val="28"/>
                <w:lang w:val="uk-UA" w:eastAsia="uk-UA"/>
              </w:rPr>
              <w:drawing>
                <wp:inline distT="0" distB="0" distL="0" distR="0" wp14:anchorId="001CA405" wp14:editId="65CD06FE">
                  <wp:extent cx="1425575" cy="1482601"/>
                  <wp:effectExtent l="0" t="0" r="3175" b="3810"/>
                  <wp:docPr id="142879856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435519" cy="1492943"/>
                          </a:xfrm>
                          <a:prstGeom prst="rect">
                            <a:avLst/>
                          </a:prstGeom>
                          <a:noFill/>
                        </pic:spPr>
                      </pic:pic>
                    </a:graphicData>
                  </a:graphic>
                </wp:inline>
              </w:drawing>
            </w:r>
            <w:r w:rsidRPr="00B44B71">
              <w:rPr>
                <w:rFonts w:ascii="Times New Roman" w:hAnsi="Times New Roman" w:cs="Times New Roman"/>
                <w:noProof/>
                <w:sz w:val="28"/>
                <w:szCs w:val="28"/>
                <w:lang w:val="uk-UA" w:eastAsia="uk-UA"/>
              </w:rPr>
              <w:drawing>
                <wp:inline distT="0" distB="0" distL="0" distR="0" wp14:anchorId="05921A71" wp14:editId="510D0C95">
                  <wp:extent cx="1352507" cy="1473977"/>
                  <wp:effectExtent l="0" t="0" r="635" b="0"/>
                  <wp:docPr id="142879856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379012" cy="1502862"/>
                          </a:xfrm>
                          <a:prstGeom prst="rect">
                            <a:avLst/>
                          </a:prstGeom>
                          <a:noFill/>
                        </pic:spPr>
                      </pic:pic>
                    </a:graphicData>
                  </a:graphic>
                </wp:inline>
              </w:drawing>
            </w:r>
          </w:p>
        </w:tc>
        <w:tc>
          <w:tcPr>
            <w:tcW w:w="560" w:type="dxa"/>
            <w:vAlign w:val="center"/>
          </w:tcPr>
          <w:p w14:paraId="2BC08C66" w14:textId="77777777" w:rsidR="00B44B71" w:rsidRPr="00B44B71" w:rsidRDefault="00B44B71" w:rsidP="00023291">
            <w:pPr>
              <w:tabs>
                <w:tab w:val="left" w:pos="993"/>
                <w:tab w:val="left" w:pos="9638"/>
              </w:tabs>
              <w:ind w:firstLine="709"/>
              <w:jc w:val="center"/>
              <w:rPr>
                <w:rFonts w:ascii="Times New Roman" w:hAnsi="Times New Roman" w:cs="Times New Roman"/>
                <w:noProof/>
                <w:sz w:val="28"/>
                <w:szCs w:val="28"/>
              </w:rPr>
            </w:pPr>
            <w:r w:rsidRPr="00B44B71">
              <w:rPr>
                <w:rFonts w:ascii="Times New Roman" w:hAnsi="Times New Roman" w:cs="Times New Roman"/>
                <w:noProof/>
                <w:sz w:val="28"/>
                <w:szCs w:val="28"/>
              </w:rPr>
              <w:lastRenderedPageBreak/>
              <w:t>б</w:t>
            </w:r>
          </w:p>
        </w:tc>
      </w:tr>
    </w:tbl>
    <w:p w14:paraId="14CFC1F5"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16"/>
          <w:szCs w:val="16"/>
          <w:lang w:val="ru-RU"/>
          <w14:ligatures w14:val="none"/>
        </w:rPr>
      </w:pPr>
    </w:p>
    <w:p w14:paraId="015080E4" w14:textId="77777777" w:rsidR="00B44B71" w:rsidRPr="00B44B71" w:rsidRDefault="00B44B71" w:rsidP="00023291">
      <w:pPr>
        <w:tabs>
          <w:tab w:val="left" w:pos="993"/>
          <w:tab w:val="left" w:pos="9638"/>
        </w:tabs>
        <w:spacing w:after="0" w:line="240" w:lineRule="auto"/>
        <w:ind w:firstLine="709"/>
        <w:jc w:val="center"/>
        <w:rPr>
          <w:rFonts w:ascii="Times New Roman" w:eastAsia="Times New Roman" w:hAnsi="Times New Roman" w:cs="Times New Roman"/>
          <w:noProof/>
          <w:kern w:val="0"/>
          <w:sz w:val="28"/>
          <w:szCs w:val="28"/>
          <w:lang w:val="ru-RU"/>
          <w14:ligatures w14:val="none"/>
        </w:rPr>
      </w:pPr>
      <w:r w:rsidRPr="00B44B71">
        <w:rPr>
          <w:rFonts w:ascii="Times New Roman" w:eastAsia="Times New Roman" w:hAnsi="Times New Roman" w:cs="Times New Roman"/>
          <w:noProof/>
          <w:kern w:val="0"/>
          <w:sz w:val="28"/>
          <w:szCs w:val="28"/>
          <w:lang w:val="ru-RU"/>
          <w14:ligatures w14:val="none"/>
        </w:rPr>
        <w:t>Рис.</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lang w:val="ru-RU"/>
          <w14:ligatures w14:val="none"/>
        </w:rPr>
        <w:t>6. Інформаційні ресурси для вивчення дисципліни: а – розміщені на сторінці курсу в MOODLE; б – загальний вигляд посібників.</w:t>
      </w:r>
    </w:p>
    <w:p w14:paraId="086D56BD" w14:textId="77777777" w:rsidR="00B44B71" w:rsidRPr="00B44B71" w:rsidRDefault="00B44B71" w:rsidP="00023291">
      <w:pPr>
        <w:tabs>
          <w:tab w:val="left" w:pos="993"/>
          <w:tab w:val="left" w:pos="9638"/>
        </w:tabs>
        <w:spacing w:after="0" w:line="240" w:lineRule="auto"/>
        <w:ind w:firstLine="709"/>
        <w:jc w:val="center"/>
        <w:rPr>
          <w:rFonts w:ascii="Times New Roman" w:eastAsia="Times New Roman" w:hAnsi="Times New Roman" w:cs="Times New Roman"/>
          <w:noProof/>
          <w:kern w:val="0"/>
          <w:sz w:val="28"/>
          <w:szCs w:val="28"/>
          <w:lang w:val="uk-UA"/>
          <w14:ligatures w14:val="none"/>
        </w:rPr>
      </w:pPr>
    </w:p>
    <w:p w14:paraId="65A55512" w14:textId="77777777" w:rsidR="00B44B71" w:rsidRPr="00B44B71" w:rsidRDefault="00B44B71" w:rsidP="00023291">
      <w:pPr>
        <w:numPr>
          <w:ilvl w:val="0"/>
          <w:numId w:val="19"/>
        </w:numPr>
        <w:tabs>
          <w:tab w:val="left" w:pos="993"/>
          <w:tab w:val="left" w:pos="9638"/>
        </w:tabs>
        <w:spacing w:after="0" w:line="240" w:lineRule="auto"/>
        <w:ind w:left="0" w:firstLine="709"/>
        <w:contextualSpacing/>
        <w:jc w:val="both"/>
        <w:rPr>
          <w:rFonts w:ascii="Times New Roman" w:eastAsia="Calibri" w:hAnsi="Times New Roman" w:cs="Times New Roman"/>
          <w:noProof/>
          <w:sz w:val="28"/>
          <w:szCs w:val="28"/>
          <w:lang w:val="uk-UA"/>
        </w:rPr>
      </w:pPr>
      <w:r w:rsidRPr="00B44B71">
        <w:rPr>
          <w:rFonts w:ascii="Times New Roman" w:eastAsia="Calibri" w:hAnsi="Times New Roman" w:cs="Times New Roman"/>
          <w:noProof/>
          <w:sz w:val="28"/>
          <w:szCs w:val="28"/>
          <w:lang w:val="uk-UA"/>
        </w:rPr>
        <w:t xml:space="preserve">Налаштовано тестові завдання з можливістю необмеженої кількості спроб але з зарахуванням кращого результату, що є не нижчим за оцінку «4». Такий інструмент стимулює здобувачів до самостійної роботи з матеріалом у дистанційному форматі, дозволяє аналізувати власні помилки та поступово підвищувати рівень засвоєння матеріалу. При цьому зарахування найкращого результату, не нижчого за встановлений пороговий рівень, сприяє формуванню мотивації до досягнення якісного результату, а не формального виконання завдань. </w:t>
      </w:r>
    </w:p>
    <w:p w14:paraId="12BD72AA" w14:textId="77777777" w:rsidR="00B44B71" w:rsidRPr="00B44B71" w:rsidRDefault="00B44B71" w:rsidP="00023291">
      <w:pPr>
        <w:tabs>
          <w:tab w:val="left" w:pos="993"/>
          <w:tab w:val="left" w:pos="9638"/>
        </w:tabs>
        <w:spacing w:after="0" w:line="240" w:lineRule="auto"/>
        <w:ind w:firstLine="709"/>
        <w:jc w:val="both"/>
        <w:rPr>
          <w:rFonts w:ascii="Times New Roman" w:eastAsia="Calibri" w:hAnsi="Times New Roman" w:cs="Times New Roman"/>
          <w:noProof/>
          <w:sz w:val="28"/>
          <w:szCs w:val="28"/>
          <w:lang w:val="uk-UA"/>
        </w:rPr>
      </w:pPr>
      <w:r w:rsidRPr="00B44B71">
        <w:rPr>
          <w:rFonts w:ascii="Times New Roman" w:eastAsia="Times New Roman" w:hAnsi="Times New Roman" w:cs="Times New Roman"/>
          <w:noProof/>
          <w:kern w:val="0"/>
          <w:sz w:val="28"/>
          <w:szCs w:val="28"/>
          <w:lang w:val="ru-RU"/>
          <w14:ligatures w14:val="none"/>
        </w:rPr>
        <w:t>Результати після перевірки керівником курсу чи системою автоматично (де це можливо) заносилися у електронний журнал (рис.7), доступ до якого мають всі без винятку під’єднані користувачі дисципліни.</w:t>
      </w:r>
      <w:r w:rsidRPr="00B44B71">
        <w:rPr>
          <w:rFonts w:ascii="Times New Roman" w:eastAsia="Times New Roman" w:hAnsi="Times New Roman" w:cs="Times New Roman"/>
          <w:kern w:val="0"/>
          <w:sz w:val="24"/>
          <w:szCs w:val="24"/>
          <w:lang w:val="uk-UA" w:eastAsia="uk-UA"/>
          <w14:ligatures w14:val="none"/>
        </w:rPr>
        <w:t xml:space="preserve"> </w:t>
      </w:r>
      <w:r w:rsidRPr="00B44B71">
        <w:rPr>
          <w:rFonts w:ascii="Times New Roman" w:eastAsia="Calibri" w:hAnsi="Times New Roman" w:cs="Times New Roman"/>
          <w:noProof/>
          <w:sz w:val="28"/>
          <w:szCs w:val="28"/>
          <w:lang w:val="uk-UA"/>
        </w:rPr>
        <w:t>Використання електронного журналу, у свою чергу, забезпечує прозорість оцінювання, постійний моніторинг навчальних досягнень та оперативний зворотний зв’язок між викладачем і здобувачами освіти. Це дає змогу своєчасно виявляти прогалини у знаннях, коригувати освітню траєкторію та підвищувати ефективність навчального процесу.</w:t>
      </w:r>
    </w:p>
    <w:p w14:paraId="08E49AC2" w14:textId="77777777" w:rsidR="00B44B71" w:rsidRPr="00B44B71" w:rsidRDefault="00B44B71" w:rsidP="00023291">
      <w:pPr>
        <w:tabs>
          <w:tab w:val="left" w:pos="993"/>
          <w:tab w:val="left" w:pos="9638"/>
        </w:tabs>
        <w:spacing w:after="0" w:line="240" w:lineRule="auto"/>
        <w:ind w:firstLine="709"/>
        <w:contextualSpacing/>
        <w:jc w:val="both"/>
        <w:rPr>
          <w:rFonts w:ascii="Times New Roman" w:eastAsia="Calibri" w:hAnsi="Times New Roman" w:cs="Times New Roman"/>
          <w:noProof/>
          <w:sz w:val="28"/>
          <w:szCs w:val="28"/>
          <w:lang w:val="uk-UA"/>
        </w:rPr>
      </w:pPr>
    </w:p>
    <w:p w14:paraId="4511C464" w14:textId="77777777" w:rsidR="00B44B71" w:rsidRPr="00B44B71" w:rsidRDefault="00B44B71" w:rsidP="00023291">
      <w:pPr>
        <w:tabs>
          <w:tab w:val="left" w:pos="993"/>
          <w:tab w:val="left" w:pos="9638"/>
        </w:tabs>
        <w:spacing w:after="0" w:line="240" w:lineRule="auto"/>
        <w:ind w:firstLine="709"/>
        <w:jc w:val="center"/>
        <w:rPr>
          <w:rFonts w:ascii="Times New Roman" w:eastAsia="Times New Roman" w:hAnsi="Times New Roman" w:cs="Times New Roman"/>
          <w:noProof/>
          <w:kern w:val="0"/>
          <w:sz w:val="28"/>
          <w:szCs w:val="28"/>
          <w:lang w:val="ru-RU"/>
          <w14:ligatures w14:val="none"/>
        </w:rPr>
      </w:pPr>
      <w:r w:rsidRPr="00B44B71">
        <w:rPr>
          <w:rFonts w:ascii="Times New Roman" w:eastAsia="Times New Roman" w:hAnsi="Times New Roman" w:cs="Times New Roman"/>
          <w:noProof/>
          <w:kern w:val="0"/>
          <w:sz w:val="24"/>
          <w:szCs w:val="24"/>
          <w:lang w:val="uk-UA" w:eastAsia="uk-UA"/>
          <w14:ligatures w14:val="none"/>
        </w:rPr>
        <w:drawing>
          <wp:inline distT="0" distB="0" distL="0" distR="0" wp14:anchorId="7CA89E6C" wp14:editId="6BD27D75">
            <wp:extent cx="4763848" cy="2730500"/>
            <wp:effectExtent l="0" t="0" r="0" b="0"/>
            <wp:docPr id="14287985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754965" name=""/>
                    <pic:cNvPicPr/>
                  </pic:nvPicPr>
                  <pic:blipFill rotWithShape="1">
                    <a:blip r:embed="rId305">
                      <a:extLst>
                        <a:ext uri="{BEBA8EAE-BF5A-486C-A8C5-ECC9F3942E4B}">
                          <a14:imgProps xmlns:a14="http://schemas.microsoft.com/office/drawing/2010/main">
                            <a14:imgLayer r:embed="rId306">
                              <a14:imgEffect>
                                <a14:sharpenSoften amount="50000"/>
                              </a14:imgEffect>
                            </a14:imgLayer>
                          </a14:imgProps>
                        </a:ext>
                      </a:extLst>
                    </a:blip>
                    <a:srcRect l="6968" t="7636" r="20459" b="12468"/>
                    <a:stretch>
                      <a:fillRect/>
                    </a:stretch>
                  </pic:blipFill>
                  <pic:spPr bwMode="auto">
                    <a:xfrm>
                      <a:off x="0" y="0"/>
                      <a:ext cx="4816712" cy="2760800"/>
                    </a:xfrm>
                    <a:prstGeom prst="rect">
                      <a:avLst/>
                    </a:prstGeom>
                    <a:ln>
                      <a:noFill/>
                    </a:ln>
                    <a:extLst>
                      <a:ext uri="{53640926-AAD7-44D8-BBD7-CCE9431645EC}">
                        <a14:shadowObscured xmlns:a14="http://schemas.microsoft.com/office/drawing/2010/main"/>
                      </a:ext>
                    </a:extLst>
                  </pic:spPr>
                </pic:pic>
              </a:graphicData>
            </a:graphic>
          </wp:inline>
        </w:drawing>
      </w:r>
    </w:p>
    <w:p w14:paraId="55A807D8"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16"/>
          <w:szCs w:val="16"/>
          <w:lang w:val="ru-RU"/>
          <w14:ligatures w14:val="none"/>
        </w:rPr>
      </w:pPr>
    </w:p>
    <w:p w14:paraId="2A41C94E" w14:textId="77777777" w:rsidR="00B44B71" w:rsidRPr="00B44B71" w:rsidRDefault="00B44B71" w:rsidP="00023291">
      <w:pPr>
        <w:tabs>
          <w:tab w:val="left" w:pos="993"/>
          <w:tab w:val="left" w:pos="9638"/>
        </w:tabs>
        <w:spacing w:after="0" w:line="240" w:lineRule="auto"/>
        <w:ind w:firstLine="709"/>
        <w:jc w:val="center"/>
        <w:rPr>
          <w:rFonts w:ascii="Times New Roman" w:eastAsia="Times New Roman" w:hAnsi="Times New Roman" w:cs="Times New Roman"/>
          <w:noProof/>
          <w:kern w:val="0"/>
          <w:sz w:val="28"/>
          <w:szCs w:val="28"/>
          <w:lang w:val="ru-RU"/>
          <w14:ligatures w14:val="none"/>
        </w:rPr>
      </w:pPr>
      <w:r w:rsidRPr="00B44B71">
        <w:rPr>
          <w:rFonts w:ascii="Times New Roman" w:eastAsia="Times New Roman" w:hAnsi="Times New Roman" w:cs="Times New Roman"/>
          <w:noProof/>
          <w:kern w:val="0"/>
          <w:sz w:val="28"/>
          <w:szCs w:val="28"/>
          <w:lang w:val="ru-RU"/>
          <w14:ligatures w14:val="none"/>
        </w:rPr>
        <w:t>Ри</w:t>
      </w:r>
      <w:r w:rsidRPr="00B44B71">
        <w:rPr>
          <w:rFonts w:ascii="Times New Roman" w:eastAsia="Times New Roman" w:hAnsi="Times New Roman" w:cs="Times New Roman"/>
          <w:noProof/>
          <w:kern w:val="0"/>
          <w:sz w:val="28"/>
          <w:szCs w:val="28"/>
          <w:lang w:val="uk-UA"/>
          <w14:ligatures w14:val="none"/>
        </w:rPr>
        <w:t>с.</w:t>
      </w:r>
      <w:r w:rsidRPr="00B44B71">
        <w:rPr>
          <w:rFonts w:ascii="Times New Roman" w:eastAsia="Times New Roman" w:hAnsi="Times New Roman" w:cs="Times New Roman"/>
          <w:noProof/>
          <w:kern w:val="0"/>
          <w:sz w:val="28"/>
          <w:szCs w:val="28"/>
          <w:lang w:val="ru-RU"/>
          <w14:ligatures w14:val="none"/>
        </w:rPr>
        <w:t xml:space="preserve"> 7. Електронний журнал відображення результатів навчання.</w:t>
      </w:r>
    </w:p>
    <w:p w14:paraId="38D47507"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28"/>
          <w:szCs w:val="28"/>
          <w:lang w:val="ru-RU"/>
          <w14:ligatures w14:val="none"/>
        </w:rPr>
      </w:pPr>
    </w:p>
    <w:p w14:paraId="499A5027"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Відповідно до відомостей описаних у джерелах літератури о</w:t>
      </w:r>
      <w:r w:rsidRPr="00B44B71">
        <w:rPr>
          <w:rFonts w:ascii="Times New Roman" w:eastAsia="Times New Roman" w:hAnsi="Times New Roman" w:cs="Times New Roman"/>
          <w:noProof/>
          <w:kern w:val="0"/>
          <w:sz w:val="28"/>
          <w:szCs w:val="28"/>
          <w:lang w:val="ru-RU"/>
          <w14:ligatures w14:val="none"/>
        </w:rPr>
        <w:t xml:space="preserve">чікувалося, що застосування змішаного навчання забезпечить більш глибоке та продуктивне сприйняття нового матеріалу. </w:t>
      </w:r>
      <w:r w:rsidRPr="00B44B71">
        <w:rPr>
          <w:rFonts w:ascii="Times New Roman" w:eastAsia="Times New Roman" w:hAnsi="Times New Roman" w:cs="Times New Roman"/>
          <w:noProof/>
          <w:kern w:val="0"/>
          <w:sz w:val="28"/>
          <w:szCs w:val="28"/>
          <w:lang w:val="uk-UA"/>
          <w14:ligatures w14:val="none"/>
        </w:rPr>
        <w:t xml:space="preserve">Однак стверджувати це можна тільки на підставі конкретних числових даних. Такі дані були отримані за результатами проведення педагогічного експерименту. </w:t>
      </w:r>
    </w:p>
    <w:p w14:paraId="4001D45D"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28"/>
          <w:szCs w:val="28"/>
          <w:lang w:val="ru-RU"/>
          <w14:ligatures w14:val="none"/>
        </w:rPr>
      </w:pPr>
      <w:r w:rsidRPr="00B44B71">
        <w:rPr>
          <w:rFonts w:ascii="Times New Roman" w:eastAsia="Times New Roman" w:hAnsi="Times New Roman" w:cs="Times New Roman"/>
          <w:noProof/>
          <w:kern w:val="0"/>
          <w:sz w:val="28"/>
          <w:szCs w:val="28"/>
          <w:lang w:val="uk-UA"/>
          <w14:ligatures w14:val="none"/>
        </w:rPr>
        <w:t>У</w:t>
      </w:r>
      <w:r w:rsidRPr="00B44B71">
        <w:rPr>
          <w:rFonts w:ascii="Times New Roman" w:eastAsia="Times New Roman" w:hAnsi="Times New Roman" w:cs="Times New Roman"/>
          <w:noProof/>
          <w:kern w:val="0"/>
          <w:sz w:val="28"/>
          <w:szCs w:val="28"/>
          <w:lang w:val="ru-RU"/>
          <w14:ligatures w14:val="none"/>
        </w:rPr>
        <w:t xml:space="preserve"> ході дослідження </w:t>
      </w:r>
      <w:r w:rsidRPr="00B44B71">
        <w:rPr>
          <w:rFonts w:ascii="Times New Roman" w:eastAsia="Times New Roman" w:hAnsi="Times New Roman" w:cs="Times New Roman"/>
          <w:noProof/>
          <w:kern w:val="0"/>
          <w:sz w:val="28"/>
          <w:szCs w:val="28"/>
          <w:lang w:val="uk-UA"/>
          <w14:ligatures w14:val="none"/>
        </w:rPr>
        <w:t xml:space="preserve">для обох груп викладачем </w:t>
      </w:r>
      <w:r w:rsidRPr="00B44B71">
        <w:rPr>
          <w:rFonts w:ascii="Times New Roman" w:eastAsia="Times New Roman" w:hAnsi="Times New Roman" w:cs="Times New Roman"/>
          <w:noProof/>
          <w:kern w:val="0"/>
          <w:sz w:val="28"/>
          <w:szCs w:val="28"/>
          <w:lang w:val="ru-RU"/>
          <w14:ligatures w14:val="none"/>
        </w:rPr>
        <w:t>застосовував</w:t>
      </w:r>
      <w:r w:rsidRPr="00B44B71">
        <w:rPr>
          <w:rFonts w:ascii="Times New Roman" w:eastAsia="Times New Roman" w:hAnsi="Times New Roman" w:cs="Times New Roman"/>
          <w:noProof/>
          <w:kern w:val="0"/>
          <w:sz w:val="28"/>
          <w:szCs w:val="28"/>
          <w:lang w:val="uk-UA"/>
          <w14:ligatures w14:val="none"/>
        </w:rPr>
        <w:t>алося</w:t>
      </w:r>
      <w:r w:rsidRPr="00B44B71">
        <w:rPr>
          <w:rFonts w:ascii="Times New Roman" w:eastAsia="Times New Roman" w:hAnsi="Times New Roman" w:cs="Times New Roman"/>
          <w:noProof/>
          <w:kern w:val="0"/>
          <w:sz w:val="28"/>
          <w:szCs w:val="28"/>
          <w:lang w:val="ru-RU"/>
          <w14:ligatures w14:val="none"/>
        </w:rPr>
        <w:t xml:space="preserve"> контекстне, проблемне та модульне навчання, які були спрямовані на активізацію наукового пошуку, розвиток критичного мислення й творчого потенціалу кожного здобувача освіти. Незалежно від стартового рівня знань, усі учасники експерименту отримали можливість відчути, що навчання може бути не лише обов’язком, а й цікавим процесом, де поєднуються традиції та інновації.</w:t>
      </w:r>
    </w:p>
    <w:p w14:paraId="213CD8B7"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ru-RU"/>
          <w14:ligatures w14:val="none"/>
        </w:rPr>
        <w:t xml:space="preserve">Для чистоти дослідження на початку вивчення дисципліни у обох групах проводилось визначення рівня знань тестовим методом, який складався із 25 завдань </w:t>
      </w:r>
      <w:r w:rsidRPr="00B44B71">
        <w:rPr>
          <w:rFonts w:ascii="Times New Roman" w:eastAsia="Times New Roman" w:hAnsi="Times New Roman" w:cs="Times New Roman"/>
          <w:noProof/>
          <w:kern w:val="0"/>
          <w:sz w:val="28"/>
          <w:szCs w:val="28"/>
          <w:lang w:val="uk-UA"/>
          <w14:ligatures w14:val="none"/>
        </w:rPr>
        <w:t>трьох</w:t>
      </w:r>
      <w:r w:rsidRPr="00B44B71">
        <w:rPr>
          <w:rFonts w:ascii="Times New Roman" w:eastAsia="Times New Roman" w:hAnsi="Times New Roman" w:cs="Times New Roman"/>
          <w:noProof/>
          <w:kern w:val="0"/>
          <w:sz w:val="28"/>
          <w:szCs w:val="28"/>
          <w:lang w:val="ru-RU"/>
          <w14:ligatures w14:val="none"/>
        </w:rPr>
        <w:t xml:space="preserve"> ступенів складності та оцінювався у 100 балів. Результат такого тесту вважався фундаментальними знаннями, з якими в подальшому працює керівник курсу з застосуванням двох різних траекторій: для першої контрольної групи класичним методом, а для другої – методом змішаного навчання. Як кінцеві результати бралися оцінки, отримані за контрольний захід, що також оціню</w:t>
      </w:r>
      <w:r w:rsidRPr="00B44B71">
        <w:rPr>
          <w:rFonts w:ascii="Times New Roman" w:eastAsia="Times New Roman" w:hAnsi="Times New Roman" w:cs="Times New Roman"/>
          <w:noProof/>
          <w:kern w:val="0"/>
          <w:sz w:val="28"/>
          <w:szCs w:val="28"/>
          <w:lang w:val="uk-UA"/>
          <w14:ligatures w14:val="none"/>
        </w:rPr>
        <w:t>вав</w:t>
      </w:r>
      <w:r w:rsidRPr="00B44B71">
        <w:rPr>
          <w:rFonts w:ascii="Times New Roman" w:eastAsia="Times New Roman" w:hAnsi="Times New Roman" w:cs="Times New Roman"/>
          <w:noProof/>
          <w:kern w:val="0"/>
          <w:sz w:val="28"/>
          <w:szCs w:val="28"/>
          <w:lang w:val="ru-RU"/>
          <w14:ligatures w14:val="none"/>
        </w:rPr>
        <w:t>ся у 100 бальній системі і м</w:t>
      </w:r>
      <w:r w:rsidRPr="00B44B71">
        <w:rPr>
          <w:rFonts w:ascii="Times New Roman" w:eastAsia="Times New Roman" w:hAnsi="Times New Roman" w:cs="Times New Roman"/>
          <w:noProof/>
          <w:kern w:val="0"/>
          <w:sz w:val="28"/>
          <w:szCs w:val="28"/>
          <w:lang w:val="uk-UA"/>
          <w14:ligatures w14:val="none"/>
        </w:rPr>
        <w:t>істив</w:t>
      </w:r>
      <w:r w:rsidRPr="00B44B71">
        <w:rPr>
          <w:rFonts w:ascii="Times New Roman" w:eastAsia="Times New Roman" w:hAnsi="Times New Roman" w:cs="Times New Roman"/>
          <w:noProof/>
          <w:kern w:val="0"/>
          <w:sz w:val="28"/>
          <w:szCs w:val="28"/>
          <w:lang w:val="ru-RU"/>
          <w14:ligatures w14:val="none"/>
        </w:rPr>
        <w:t xml:space="preserve"> варіативні завдання різної складності. На рис. 8 показано результати проведених тестувань.</w:t>
      </w:r>
    </w:p>
    <w:p w14:paraId="3652B1A8"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ru-RU"/>
          <w14:ligatures w14:val="none"/>
        </w:rPr>
        <w:t xml:space="preserve">Представлений графік нагадує своєрідний «термометр успішності», який відображає поступове зростання рівня знань здобувачів освіти. </w:t>
      </w:r>
      <w:r w:rsidRPr="00B44B71">
        <w:rPr>
          <w:rFonts w:ascii="Times New Roman" w:eastAsia="Times New Roman" w:hAnsi="Times New Roman" w:cs="Times New Roman"/>
          <w:noProof/>
          <w:kern w:val="0"/>
          <w:sz w:val="28"/>
          <w:szCs w:val="28"/>
          <w:lang w:val="uk-UA"/>
          <w14:ligatures w14:val="none"/>
        </w:rPr>
        <w:t>С</w:t>
      </w:r>
      <w:r w:rsidRPr="00B44B71">
        <w:rPr>
          <w:rFonts w:ascii="Times New Roman" w:eastAsia="Times New Roman" w:hAnsi="Times New Roman" w:cs="Times New Roman"/>
          <w:noProof/>
          <w:kern w:val="0"/>
          <w:sz w:val="28"/>
          <w:szCs w:val="28"/>
          <w:lang w:val="ru-RU"/>
          <w14:ligatures w14:val="none"/>
        </w:rPr>
        <w:t xml:space="preserve">товпчики </w:t>
      </w:r>
      <w:r w:rsidRPr="00B44B71">
        <w:rPr>
          <w:rFonts w:ascii="Times New Roman" w:eastAsia="Times New Roman" w:hAnsi="Times New Roman" w:cs="Times New Roman"/>
          <w:noProof/>
          <w:kern w:val="0"/>
          <w:sz w:val="28"/>
          <w:szCs w:val="28"/>
          <w:lang w:val="uk-UA"/>
          <w14:ligatures w14:val="none"/>
        </w:rPr>
        <w:t xml:space="preserve">ліворуч </w:t>
      </w:r>
      <w:r w:rsidRPr="00B44B71">
        <w:rPr>
          <w:rFonts w:ascii="Times New Roman" w:eastAsia="Times New Roman" w:hAnsi="Times New Roman" w:cs="Times New Roman"/>
          <w:noProof/>
          <w:kern w:val="0"/>
          <w:sz w:val="28"/>
          <w:szCs w:val="28"/>
          <w:lang w:val="ru-RU"/>
          <w14:ligatures w14:val="none"/>
        </w:rPr>
        <w:t>демонструють стартові позиції обох груп. Для контрольної цей показник становить 61,6, а для експериментальної 63,5, що свідчить про майже однаковий початковий інтелектуальний «фундамент». Це створює передумови для об’єктивного порівняння результатів.</w:t>
      </w:r>
    </w:p>
    <w:p w14:paraId="1D765752"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12"/>
          <w:szCs w:val="12"/>
          <w:lang w:val="uk-UA"/>
          <w14:ligatures w14:val="none"/>
        </w:rPr>
      </w:pPr>
    </w:p>
    <w:p w14:paraId="60009DBC" w14:textId="77777777" w:rsidR="00B44B71" w:rsidRPr="00B44B71" w:rsidRDefault="00B44B71" w:rsidP="00023291">
      <w:pPr>
        <w:tabs>
          <w:tab w:val="left" w:pos="993"/>
          <w:tab w:val="left" w:pos="9638"/>
        </w:tabs>
        <w:spacing w:after="0" w:line="240" w:lineRule="auto"/>
        <w:ind w:firstLine="709"/>
        <w:jc w:val="center"/>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eastAsia="uk-UA"/>
          <w14:ligatures w14:val="none"/>
        </w:rPr>
        <w:drawing>
          <wp:inline distT="0" distB="0" distL="0" distR="0" wp14:anchorId="0523E4D3" wp14:editId="4D0E14BF">
            <wp:extent cx="4817745" cy="2662031"/>
            <wp:effectExtent l="0" t="0" r="1905" b="5080"/>
            <wp:docPr id="142879857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7" cstate="print">
                      <a:extLst>
                        <a:ext uri="{BEBA8EAE-BF5A-486C-A8C5-ECC9F3942E4B}">
                          <a14:imgProps xmlns:a14="http://schemas.microsoft.com/office/drawing/2010/main">
                            <a14:imgLayer r:embed="rId30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828785" cy="2668131"/>
                    </a:xfrm>
                    <a:prstGeom prst="rect">
                      <a:avLst/>
                    </a:prstGeom>
                    <a:noFill/>
                    <a:ln>
                      <a:noFill/>
                    </a:ln>
                  </pic:spPr>
                </pic:pic>
              </a:graphicData>
            </a:graphic>
          </wp:inline>
        </w:drawing>
      </w:r>
    </w:p>
    <w:p w14:paraId="12B010F0" w14:textId="77777777" w:rsidR="00B44B71" w:rsidRPr="00B44B71" w:rsidRDefault="00B44B71" w:rsidP="00023291">
      <w:pPr>
        <w:tabs>
          <w:tab w:val="left" w:pos="993"/>
          <w:tab w:val="left" w:pos="9638"/>
        </w:tabs>
        <w:spacing w:after="0" w:line="240" w:lineRule="auto"/>
        <w:ind w:firstLine="709"/>
        <w:jc w:val="center"/>
        <w:rPr>
          <w:rFonts w:ascii="Times New Roman" w:eastAsia="Times New Roman" w:hAnsi="Times New Roman" w:cs="Times New Roman"/>
          <w:noProof/>
          <w:kern w:val="0"/>
          <w:sz w:val="28"/>
          <w:szCs w:val="28"/>
          <w:lang w:val="ru-RU"/>
          <w14:ligatures w14:val="none"/>
        </w:rPr>
      </w:pPr>
      <w:r w:rsidRPr="00B44B71">
        <w:rPr>
          <w:rFonts w:ascii="Times New Roman" w:eastAsia="Times New Roman" w:hAnsi="Times New Roman" w:cs="Times New Roman"/>
          <w:noProof/>
          <w:kern w:val="0"/>
          <w:sz w:val="28"/>
          <w:szCs w:val="28"/>
          <w:lang w:val="ru-RU"/>
          <w14:ligatures w14:val="none"/>
        </w:rPr>
        <w:t>Рис</w:t>
      </w:r>
      <w:r w:rsidRPr="00B44B71">
        <w:rPr>
          <w:rFonts w:ascii="Times New Roman" w:eastAsia="Times New Roman" w:hAnsi="Times New Roman" w:cs="Times New Roman"/>
          <w:noProof/>
          <w:kern w:val="0"/>
          <w:sz w:val="28"/>
          <w:szCs w:val="28"/>
          <w:lang w:val="uk-UA"/>
          <w14:ligatures w14:val="none"/>
        </w:rPr>
        <w:t>.</w:t>
      </w:r>
      <w:r w:rsidRPr="00B44B71">
        <w:rPr>
          <w:rFonts w:ascii="Times New Roman" w:eastAsia="Times New Roman" w:hAnsi="Times New Roman" w:cs="Times New Roman"/>
          <w:noProof/>
          <w:kern w:val="0"/>
          <w:sz w:val="28"/>
          <w:szCs w:val="28"/>
          <w:lang w:val="ru-RU"/>
          <w14:ligatures w14:val="none"/>
        </w:rPr>
        <w:t>. 8. Результати оцінювання у досліджуваних групах.</w:t>
      </w:r>
    </w:p>
    <w:p w14:paraId="07868049"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28"/>
          <w:szCs w:val="28"/>
          <w:lang w:val="ru-RU"/>
          <w14:ligatures w14:val="none"/>
        </w:rPr>
      </w:pPr>
    </w:p>
    <w:p w14:paraId="4DF433BB"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28"/>
          <w:szCs w:val="28"/>
          <w:lang w:val="ru-RU"/>
          <w14:ligatures w14:val="none"/>
        </w:rPr>
      </w:pPr>
      <w:r w:rsidRPr="00B44B71">
        <w:rPr>
          <w:rFonts w:ascii="Times New Roman" w:eastAsia="Times New Roman" w:hAnsi="Times New Roman" w:cs="Times New Roman"/>
          <w:noProof/>
          <w:kern w:val="0"/>
          <w:sz w:val="28"/>
          <w:szCs w:val="28"/>
          <w:lang w:val="uk-UA"/>
          <w14:ligatures w14:val="none"/>
        </w:rPr>
        <w:lastRenderedPageBreak/>
        <w:t>С</w:t>
      </w:r>
      <w:r w:rsidRPr="00B44B71">
        <w:rPr>
          <w:rFonts w:ascii="Times New Roman" w:eastAsia="Times New Roman" w:hAnsi="Times New Roman" w:cs="Times New Roman"/>
          <w:noProof/>
          <w:kern w:val="0"/>
          <w:sz w:val="28"/>
          <w:szCs w:val="28"/>
          <w:lang w:val="ru-RU"/>
          <w14:ligatures w14:val="none"/>
        </w:rPr>
        <w:t xml:space="preserve">товпчики </w:t>
      </w:r>
      <w:r w:rsidRPr="00B44B71">
        <w:rPr>
          <w:rFonts w:ascii="Times New Roman" w:eastAsia="Times New Roman" w:hAnsi="Times New Roman" w:cs="Times New Roman"/>
          <w:noProof/>
          <w:kern w:val="0"/>
          <w:sz w:val="28"/>
          <w:szCs w:val="28"/>
          <w:lang w:val="uk-UA"/>
          <w14:ligatures w14:val="none"/>
        </w:rPr>
        <w:t xml:space="preserve">справа </w:t>
      </w:r>
      <w:r w:rsidRPr="00B44B71">
        <w:rPr>
          <w:rFonts w:ascii="Times New Roman" w:eastAsia="Times New Roman" w:hAnsi="Times New Roman" w:cs="Times New Roman"/>
          <w:noProof/>
          <w:kern w:val="0"/>
          <w:sz w:val="28"/>
          <w:szCs w:val="28"/>
          <w:lang w:val="ru-RU"/>
          <w14:ligatures w14:val="none"/>
        </w:rPr>
        <w:t>символізують підсумкові досягнення. Контрольна група, яка навчалася традиційними методами, демонструє стабільне, проте помірне зростання. Її якісний середній показник на завершення вивчення курсу станови</w:t>
      </w:r>
      <w:r w:rsidRPr="00B44B71">
        <w:rPr>
          <w:rFonts w:ascii="Times New Roman" w:eastAsia="Times New Roman" w:hAnsi="Times New Roman" w:cs="Times New Roman"/>
          <w:noProof/>
          <w:kern w:val="0"/>
          <w:sz w:val="28"/>
          <w:szCs w:val="28"/>
          <w:lang w:val="uk-UA"/>
          <w14:ligatures w14:val="none"/>
        </w:rPr>
        <w:t>в</w:t>
      </w:r>
      <w:r w:rsidRPr="00B44B71">
        <w:rPr>
          <w:rFonts w:ascii="Times New Roman" w:eastAsia="Times New Roman" w:hAnsi="Times New Roman" w:cs="Times New Roman"/>
          <w:noProof/>
          <w:kern w:val="0"/>
          <w:sz w:val="28"/>
          <w:szCs w:val="28"/>
          <w:lang w:val="ru-RU"/>
          <w14:ligatures w14:val="none"/>
        </w:rPr>
        <w:t xml:space="preserve"> 72,3. Водночас експериментальна група, «занурена» у середовище змішаного навчання, демонструє значно вищий показник якісних результатів навчання, що становив 82,5 та відповідав оцінці «дуже добре» за національною шкалою оцінювання. </w:t>
      </w:r>
    </w:p>
    <w:p w14:paraId="2C716427"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Порівняльний аналіз результатів навчання у контрольній та експериментальній групах дозволяє об’єктивно оцінити ефективність застосованих методик підготовки та визначити педагогічну доцільність упровадження змішаного навчання як інструменту реалізації індивідуальної освітньої траєкторії. Отримані кількісні показники свідчать про суттєву перевагу експериментального підходу над традиційною моделлю організації освітнього процесу.</w:t>
      </w:r>
    </w:p>
    <w:p w14:paraId="151BF022"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 xml:space="preserve">Абсолютний приріст знань у контрольній групі склав 10,7 бала, що демонструє позитивний вплив традиційної організації навчального процесу. Водночас в експериментальній групі цей показник досяг 19,0 бала, що майже вдвічі перевищує результат контрольної групи. </w:t>
      </w:r>
    </w:p>
    <w:p w14:paraId="6BD7F229"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 xml:space="preserve">Відносний приріст результатів також підтверджує ефективність експериментального підходу. У контрольній групі він становив 17,37 %, тоді як в експериментальній групі </w:t>
      </w:r>
      <w:r w:rsidRPr="00B44B71">
        <w:rPr>
          <w:rFonts w:ascii="Times New Roman" w:eastAsia="Times New Roman" w:hAnsi="Times New Roman" w:cs="Times New Roman"/>
          <w:noProof/>
          <w:kern w:val="0"/>
          <w:sz w:val="28"/>
          <w:szCs w:val="28"/>
          <w:lang w:val="ru-RU"/>
          <w14:ligatures w14:val="none"/>
        </w:rPr>
        <w:t xml:space="preserve">– </w:t>
      </w:r>
      <w:r w:rsidRPr="00B44B71">
        <w:rPr>
          <w:rFonts w:ascii="Times New Roman" w:eastAsia="Times New Roman" w:hAnsi="Times New Roman" w:cs="Times New Roman"/>
          <w:noProof/>
          <w:kern w:val="0"/>
          <w:sz w:val="28"/>
          <w:szCs w:val="28"/>
          <w:lang w:val="uk-UA"/>
          <w14:ligatures w14:val="none"/>
        </w:rPr>
        <w:t>29,92 %. Це свідчить про те, що використання змішаного навчання значно підвищує результативність освітнього процесу, особливо в умовах професійної підготовки, де важливо не лише засвоїти теоретичний матеріал, а й сформувати практичну готовність до виконання службових завдань.</w:t>
      </w:r>
    </w:p>
    <w:p w14:paraId="5671F65F"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Значення коефіцієнта нормалізованого приросту знань є особливо показовим. У контрольній групі він становить 0,28, що входить ще в область низького рівня педагогічної ефективності (граничний поріг переходу з низької до середньої відповідає значенню 0,3). В експериментальній групі цей показник дорівнює 0,52, що вже свідчить про стійкий середній рівень ефективності навчання. Це означає, що запропонована методика не лише покращує підсумкові результати, а й значно ефективніше використовує навчальний потенціал здобувачів освіти.</w:t>
      </w:r>
    </w:p>
    <w:p w14:paraId="6D056E81"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Порівняльний ефект експерименту становить 8,3 бала, що відображає додатковий приріст навчальних досягнень, отриманий саме завдяки впровадженню змішаного навчання. Коефіцієнт переваги показав, що ефективність експериментальної методики приблизно у 1,8 раза перевищує результативність традиційного підходу. Такий показник має важливе практичне значення для системи військової освіти, де якість підготовки безпосередньо впливає на професійну готовність майбутнього офіцера.</w:t>
      </w:r>
    </w:p>
    <w:p w14:paraId="046D3C75"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 xml:space="preserve">Якщо аналізувати динаміку результатів навчання (рис.9), то лінійні діаграми, якими представлені динаміка якісного прогресу вивчення курсу, нагадують дві паралельні прямі. </w:t>
      </w:r>
      <w:r w:rsidRPr="00B44B71">
        <w:rPr>
          <w:rFonts w:ascii="Times New Roman" w:eastAsia="Times New Roman" w:hAnsi="Times New Roman" w:cs="Times New Roman"/>
          <w:noProof/>
          <w:kern w:val="0"/>
          <w:sz w:val="28"/>
          <w:szCs w:val="28"/>
          <w:lang w:val="ru-RU"/>
          <w14:ligatures w14:val="none"/>
        </w:rPr>
        <w:t xml:space="preserve">Спершу контрольна й експериментальна групи </w:t>
      </w:r>
      <w:r w:rsidRPr="00B44B71">
        <w:rPr>
          <w:rFonts w:ascii="Times New Roman" w:eastAsia="Times New Roman" w:hAnsi="Times New Roman" w:cs="Times New Roman"/>
          <w:noProof/>
          <w:kern w:val="0"/>
          <w:sz w:val="28"/>
          <w:szCs w:val="28"/>
          <w:lang w:val="ru-RU"/>
          <w14:ligatures w14:val="none"/>
        </w:rPr>
        <w:lastRenderedPageBreak/>
        <w:t xml:space="preserve">йдуть нарівні, маючи майже однаковий рівень підготовки. Проте вже після 20% пройденого навчання їхні траєкторії розходяться: контрольна група продовжує набувати знання помірним темпом, тоді як експериментальна демонструє різке зростання. </w:t>
      </w:r>
    </w:p>
    <w:p w14:paraId="6DB51610"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16"/>
          <w:szCs w:val="16"/>
          <w:lang w:val="uk-UA"/>
          <w14:ligatures w14:val="none"/>
        </w:rPr>
      </w:pPr>
    </w:p>
    <w:p w14:paraId="571C618B" w14:textId="77777777" w:rsidR="00B44B71" w:rsidRPr="00B44B71" w:rsidRDefault="00B44B71" w:rsidP="00023291">
      <w:pPr>
        <w:tabs>
          <w:tab w:val="left" w:pos="993"/>
          <w:tab w:val="left" w:pos="9638"/>
        </w:tabs>
        <w:spacing w:after="0" w:line="240" w:lineRule="auto"/>
        <w:ind w:firstLine="709"/>
        <w:jc w:val="center"/>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eastAsia="uk-UA"/>
          <w14:ligatures w14:val="none"/>
        </w:rPr>
        <w:drawing>
          <wp:inline distT="0" distB="0" distL="0" distR="0" wp14:anchorId="303EAFAA" wp14:editId="6FE5E326">
            <wp:extent cx="4126972" cy="2495550"/>
            <wp:effectExtent l="0" t="0" r="6985" b="0"/>
            <wp:docPr id="142879857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9" cstate="print">
                      <a:extLst>
                        <a:ext uri="{BEBA8EAE-BF5A-486C-A8C5-ECC9F3942E4B}">
                          <a14:imgProps xmlns:a14="http://schemas.microsoft.com/office/drawing/2010/main">
                            <a14:imgLayer r:embed="rId31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163084" cy="2517387"/>
                    </a:xfrm>
                    <a:prstGeom prst="rect">
                      <a:avLst/>
                    </a:prstGeom>
                    <a:noFill/>
                    <a:ln>
                      <a:noFill/>
                    </a:ln>
                  </pic:spPr>
                </pic:pic>
              </a:graphicData>
            </a:graphic>
          </wp:inline>
        </w:drawing>
      </w:r>
    </w:p>
    <w:p w14:paraId="76D6E38A"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8"/>
          <w:szCs w:val="8"/>
          <w:lang w:val="uk-UA"/>
          <w14:ligatures w14:val="none"/>
        </w:rPr>
      </w:pPr>
    </w:p>
    <w:p w14:paraId="2CE4215E" w14:textId="77777777" w:rsidR="00B44B71" w:rsidRPr="00B44B71" w:rsidRDefault="00B44B71" w:rsidP="00023291">
      <w:pPr>
        <w:tabs>
          <w:tab w:val="left" w:pos="993"/>
          <w:tab w:val="left" w:pos="9638"/>
        </w:tabs>
        <w:spacing w:after="0" w:line="240" w:lineRule="auto"/>
        <w:ind w:firstLine="709"/>
        <w:jc w:val="center"/>
        <w:rPr>
          <w:rFonts w:ascii="Times New Roman" w:eastAsia="Times New Roman" w:hAnsi="Times New Roman" w:cs="Times New Roman"/>
          <w:noProof/>
          <w:kern w:val="0"/>
          <w:sz w:val="28"/>
          <w:szCs w:val="28"/>
          <w:lang w:val="ru-RU"/>
          <w14:ligatures w14:val="none"/>
        </w:rPr>
      </w:pPr>
      <w:r w:rsidRPr="00B44B71">
        <w:rPr>
          <w:rFonts w:ascii="Times New Roman" w:eastAsia="Times New Roman" w:hAnsi="Times New Roman" w:cs="Times New Roman"/>
          <w:noProof/>
          <w:kern w:val="0"/>
          <w:sz w:val="28"/>
          <w:szCs w:val="28"/>
          <w:lang w:val="ru-RU"/>
          <w14:ligatures w14:val="none"/>
        </w:rPr>
        <w:t>Рис</w:t>
      </w:r>
      <w:r w:rsidRPr="00B44B71">
        <w:rPr>
          <w:rFonts w:ascii="Times New Roman" w:eastAsia="Times New Roman" w:hAnsi="Times New Roman" w:cs="Times New Roman"/>
          <w:noProof/>
          <w:kern w:val="0"/>
          <w:sz w:val="28"/>
          <w:szCs w:val="28"/>
          <w:lang w:val="uk-UA"/>
          <w14:ligatures w14:val="none"/>
        </w:rPr>
        <w:t>.</w:t>
      </w:r>
      <w:r w:rsidRPr="00B44B71">
        <w:rPr>
          <w:rFonts w:ascii="Times New Roman" w:eastAsia="Times New Roman" w:hAnsi="Times New Roman" w:cs="Times New Roman"/>
          <w:noProof/>
          <w:kern w:val="0"/>
          <w:sz w:val="28"/>
          <w:szCs w:val="28"/>
          <w:lang w:val="ru-RU"/>
          <w14:ligatures w14:val="none"/>
        </w:rPr>
        <w:t xml:space="preserve"> 9. Динаміка результатів навчання досліджуваних груп.</w:t>
      </w:r>
    </w:p>
    <w:p w14:paraId="46E0CCEB" w14:textId="77777777" w:rsidR="00B44B71" w:rsidRPr="00B44B71" w:rsidRDefault="00B44B71" w:rsidP="00023291">
      <w:pPr>
        <w:tabs>
          <w:tab w:val="left" w:pos="993"/>
          <w:tab w:val="left" w:pos="9638"/>
        </w:tabs>
        <w:spacing w:after="0" w:line="240" w:lineRule="auto"/>
        <w:ind w:firstLine="709"/>
        <w:jc w:val="center"/>
        <w:rPr>
          <w:rFonts w:ascii="Times New Roman" w:eastAsia="Times New Roman" w:hAnsi="Times New Roman" w:cs="Times New Roman"/>
          <w:noProof/>
          <w:kern w:val="0"/>
          <w:sz w:val="28"/>
          <w:szCs w:val="28"/>
          <w:lang w:val="ru-RU"/>
          <w14:ligatures w14:val="none"/>
        </w:rPr>
      </w:pPr>
    </w:p>
    <w:p w14:paraId="39222EEF" w14:textId="77777777" w:rsidR="00B44B71" w:rsidRPr="00B44B71" w:rsidRDefault="00B44B71" w:rsidP="00023291">
      <w:pPr>
        <w:tabs>
          <w:tab w:val="left" w:pos="993"/>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noProof/>
          <w:kern w:val="0"/>
          <w:sz w:val="28"/>
          <w:szCs w:val="28"/>
          <w:lang w:val="uk-UA"/>
          <w14:ligatures w14:val="none"/>
        </w:rPr>
        <w:t>Таким чином, результати проведеного педагогічного експерименту переконливо доводять, що застосування змішаного навчання є педагогічно обґрунтованим і забезпечує суттєве підвищення якості професійної підготовки здобувачів військової освіти. Отримані показники підтверджують доцільність подальшого впровадження цієї методики як ефективного інструменту формування компетентного, адаптивного та професійно мобільного військового фахівця сучасного зразка.</w:t>
      </w:r>
    </w:p>
    <w:p w14:paraId="6F6F5F5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b/>
          <w:bCs/>
          <w:color w:val="000000"/>
          <w:kern w:val="0"/>
          <w:sz w:val="28"/>
          <w:szCs w:val="28"/>
          <w:lang w:val="uk-UA"/>
          <w14:ligatures w14:val="none"/>
        </w:rPr>
      </w:pPr>
      <w:r w:rsidRPr="00B44B71">
        <w:rPr>
          <w:rFonts w:ascii="Times New Roman" w:eastAsia="Times New Roman" w:hAnsi="Times New Roman" w:cs="Times New Roman"/>
          <w:b/>
          <w:bCs/>
          <w:noProof/>
          <w:kern w:val="0"/>
          <w:sz w:val="28"/>
          <w:szCs w:val="28"/>
          <w:lang w:val="uk-UA"/>
          <w14:ligatures w14:val="none"/>
        </w:rPr>
        <w:t>Висновки.</w:t>
      </w:r>
      <w:r w:rsidRPr="00B44B71">
        <w:rPr>
          <w:rFonts w:ascii="Times New Roman" w:eastAsia="Times New Roman" w:hAnsi="Times New Roman" w:cs="Times New Roman"/>
          <w:noProof/>
          <w:kern w:val="0"/>
          <w:sz w:val="28"/>
          <w:szCs w:val="28"/>
          <w:lang w:val="uk-UA"/>
          <w14:ligatures w14:val="none"/>
        </w:rPr>
        <w:t xml:space="preserve"> Застосування змішаного навчання відкриває широкі можливості для організації індивідуальної освітньої траєкторії здобувачів освіти. Поєднання традиційних аудиторних форм із цифровими інструментами змішаного навчання забезпечує гнучкість, варіативність і персоналізацію навчального процесу. Завдяки цьому кожен здобувач освіти може рухатися власним темпом, отримувати доступ до різнорівневих завдань, обирати оптимальні форми подачі матеріалу та отримувати тьюторський супровід відповідно до власних потреб і можливостей. Числові показники ефективності впровадження змішаного навчання</w:t>
      </w:r>
      <w:r w:rsidRPr="00B44B71">
        <w:rPr>
          <w:rFonts w:ascii="Times New Roman" w:eastAsia="Times New Roman" w:hAnsi="Times New Roman" w:cs="Times New Roman"/>
          <w:noProof/>
          <w:kern w:val="0"/>
          <w:sz w:val="28"/>
          <w:szCs w:val="28"/>
          <w:lang w:val="ru-RU"/>
          <w14:ligatures w14:val="none"/>
        </w:rPr>
        <w:t xml:space="preserve"> свідчать, що в обох групах спостерігається позитивна динаміка навчальних досягнень, однак в експериментальній групі вона є значно вищою. Абсолютний приріст знань становить 19,0 бала проти 10,7 у контрольній групі, а відносний приріст </w:t>
      </w:r>
      <w:r w:rsidRPr="00B44B71">
        <w:rPr>
          <w:rFonts w:ascii="Times New Roman" w:eastAsia="Times New Roman" w:hAnsi="Times New Roman" w:cs="Times New Roman"/>
          <w:noProof/>
          <w:kern w:val="0"/>
          <w:sz w:val="28"/>
          <w:szCs w:val="28"/>
          <w:lang w:val="uk-UA"/>
          <w14:ligatures w14:val="none"/>
        </w:rPr>
        <w:t>відповідно</w:t>
      </w:r>
      <w:r w:rsidRPr="00B44B71">
        <w:rPr>
          <w:rFonts w:ascii="Times New Roman" w:eastAsia="Times New Roman" w:hAnsi="Times New Roman" w:cs="Times New Roman"/>
          <w:noProof/>
          <w:kern w:val="0"/>
          <w:sz w:val="28"/>
          <w:szCs w:val="28"/>
          <w:lang w:val="ru-RU"/>
          <w14:ligatures w14:val="none"/>
        </w:rPr>
        <w:t xml:space="preserve"> – 29,92 % </w:t>
      </w:r>
      <w:r w:rsidRPr="00B44B71">
        <w:rPr>
          <w:rFonts w:ascii="Times New Roman" w:eastAsia="Times New Roman" w:hAnsi="Times New Roman" w:cs="Times New Roman"/>
          <w:noProof/>
          <w:kern w:val="0"/>
          <w:sz w:val="28"/>
          <w:szCs w:val="28"/>
          <w:lang w:val="uk-UA"/>
          <w14:ligatures w14:val="none"/>
        </w:rPr>
        <w:t>на</w:t>
      </w:r>
      <w:r w:rsidRPr="00B44B71">
        <w:rPr>
          <w:rFonts w:ascii="Times New Roman" w:eastAsia="Times New Roman" w:hAnsi="Times New Roman" w:cs="Times New Roman"/>
          <w:noProof/>
          <w:kern w:val="0"/>
          <w:sz w:val="28"/>
          <w:szCs w:val="28"/>
          <w:lang w:val="ru-RU"/>
          <w14:ligatures w14:val="none"/>
        </w:rPr>
        <w:t>проти</w:t>
      </w:r>
      <w:r w:rsidRPr="00B44B71">
        <w:rPr>
          <w:rFonts w:ascii="Times New Roman" w:eastAsia="Times New Roman" w:hAnsi="Times New Roman" w:cs="Times New Roman"/>
          <w:noProof/>
          <w:kern w:val="0"/>
          <w:sz w:val="28"/>
          <w:szCs w:val="28"/>
          <w:lang w:val="uk-UA"/>
          <w14:ligatures w14:val="none"/>
        </w:rPr>
        <w:t>вагу</w:t>
      </w:r>
      <w:r w:rsidRPr="00B44B71">
        <w:rPr>
          <w:rFonts w:ascii="Times New Roman" w:eastAsia="Times New Roman" w:hAnsi="Times New Roman" w:cs="Times New Roman"/>
          <w:noProof/>
          <w:kern w:val="0"/>
          <w:sz w:val="28"/>
          <w:szCs w:val="28"/>
          <w:lang w:val="ru-RU"/>
          <w14:ligatures w14:val="none"/>
        </w:rPr>
        <w:t xml:space="preserve"> 17,37 %. Нормалізований приріст знань </w:t>
      </w:r>
      <w:r w:rsidRPr="00B44B71">
        <w:rPr>
          <w:rFonts w:ascii="Times New Roman" w:eastAsia="Times New Roman" w:hAnsi="Times New Roman" w:cs="Times New Roman"/>
          <w:noProof/>
          <w:kern w:val="0"/>
          <w:sz w:val="28"/>
          <w:szCs w:val="28"/>
          <w14:ligatures w14:val="none"/>
        </w:rPr>
        <w:t>G</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lang w:val="ru-RU"/>
          <w14:ligatures w14:val="none"/>
        </w:rPr>
        <w:t>=</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lang w:val="ru-RU"/>
          <w14:ligatures w14:val="none"/>
        </w:rPr>
        <w:t xml:space="preserve">0,52 в експериментальній групі відповідає середньому рівню ефективності, тоді як у контрольній групі </w:t>
      </w:r>
      <w:r w:rsidRPr="00B44B71">
        <w:rPr>
          <w:rFonts w:ascii="Times New Roman" w:eastAsia="Times New Roman" w:hAnsi="Times New Roman" w:cs="Times New Roman"/>
          <w:noProof/>
          <w:kern w:val="0"/>
          <w:sz w:val="28"/>
          <w:szCs w:val="28"/>
          <w14:ligatures w14:val="none"/>
        </w:rPr>
        <w:t>G</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lang w:val="ru-RU"/>
          <w14:ligatures w14:val="none"/>
        </w:rPr>
        <w:t>=</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lang w:val="ru-RU"/>
          <w14:ligatures w14:val="none"/>
        </w:rPr>
        <w:t xml:space="preserve">0,28 свідчить про значно нижчу результативність. </w:t>
      </w:r>
      <w:r w:rsidRPr="00B44B71">
        <w:rPr>
          <w:rFonts w:ascii="Times New Roman" w:eastAsia="Times New Roman" w:hAnsi="Times New Roman" w:cs="Times New Roman"/>
          <w:noProof/>
          <w:kern w:val="0"/>
          <w:sz w:val="28"/>
          <w:szCs w:val="28"/>
          <w:lang w:val="uk-UA"/>
          <w14:ligatures w14:val="none"/>
        </w:rPr>
        <w:t xml:space="preserve">Значення коефіцієнту переваги 1,8 свідчить, що результат змішаного навчання є ефективнішим ніж традиційний підхід у розмірі кратному самому коефіцієнту. Використання змішаного навчання як </w:t>
      </w:r>
      <w:r w:rsidRPr="00B44B71">
        <w:rPr>
          <w:rFonts w:ascii="Times New Roman" w:eastAsia="Times New Roman" w:hAnsi="Times New Roman" w:cs="Times New Roman"/>
          <w:noProof/>
          <w:kern w:val="0"/>
          <w:sz w:val="28"/>
          <w:szCs w:val="28"/>
          <w:lang w:val="uk-UA"/>
          <w14:ligatures w14:val="none"/>
        </w:rPr>
        <w:lastRenderedPageBreak/>
        <w:t>інструменту реалізації індивідуальної освітньої траєкторії є педагогічно обґрунтованим та забезпечує суттєве підвищення показників навчальної діяльності здобувачів освіти. Такий підхід не лише підвищує якість засвоєння знань, а й формує у майбутніх фахівців навички самостійності, критичного мислення та відповідальності за власний освітній результат, а змішане навчання постає дієвим інструментом для реалізації компетентісного підходу через забезпечення індивідуальних освітніх траєкторій та переходу до освіти західного зразку.</w:t>
      </w:r>
      <w:r w:rsidRPr="00B44B71">
        <w:rPr>
          <w:rFonts w:ascii="Times New Roman" w:eastAsia="Times New Roman" w:hAnsi="Times New Roman" w:cs="Times New Roman"/>
          <w:bCs/>
          <w:color w:val="000000"/>
          <w:kern w:val="0"/>
          <w:sz w:val="28"/>
          <w:szCs w:val="28"/>
          <w:lang w:val="uk-UA"/>
          <w14:ligatures w14:val="none"/>
        </w:rPr>
        <w:t xml:space="preserve"> </w:t>
      </w:r>
    </w:p>
    <w:p w14:paraId="3E878252" w14:textId="2142AF44" w:rsidR="00B44B71" w:rsidRPr="008D5CD5" w:rsidRDefault="00B44B71" w:rsidP="008D5CD5">
      <w:pPr>
        <w:tabs>
          <w:tab w:val="left" w:pos="9638"/>
        </w:tabs>
        <w:spacing w:after="0" w:line="240" w:lineRule="auto"/>
        <w:ind w:firstLine="709"/>
        <w:jc w:val="both"/>
        <w:rPr>
          <w:rFonts w:ascii="Times New Roman" w:eastAsia="Times New Roman" w:hAnsi="Times New Roman" w:cs="Times New Roman"/>
          <w:noProof/>
          <w:kern w:val="0"/>
          <w:sz w:val="28"/>
          <w:szCs w:val="28"/>
          <w:lang w:val="uk-UA"/>
          <w14:ligatures w14:val="none"/>
        </w:rPr>
      </w:pPr>
      <w:r w:rsidRPr="00B44B71">
        <w:rPr>
          <w:rFonts w:ascii="Times New Roman" w:eastAsia="Times New Roman" w:hAnsi="Times New Roman" w:cs="Times New Roman"/>
          <w:b/>
          <w:bCs/>
          <w:noProof/>
          <w:kern w:val="0"/>
          <w:sz w:val="28"/>
          <w:szCs w:val="28"/>
          <w:lang w:val="uk-UA"/>
          <w14:ligatures w14:val="none"/>
        </w:rPr>
        <w:t>Перспективи подальших досліджень.</w:t>
      </w:r>
      <w:r w:rsidRPr="00B44B71">
        <w:rPr>
          <w:rFonts w:ascii="Times New Roman" w:eastAsia="Times New Roman" w:hAnsi="Times New Roman" w:cs="Times New Roman"/>
          <w:noProof/>
          <w:kern w:val="0"/>
          <w:sz w:val="28"/>
          <w:szCs w:val="28"/>
          <w:lang w:val="uk-UA"/>
          <w14:ligatures w14:val="none"/>
        </w:rPr>
        <w:t xml:space="preserve"> </w:t>
      </w:r>
      <w:r w:rsidRPr="00B44B71">
        <w:rPr>
          <w:rFonts w:ascii="Times New Roman" w:eastAsia="Times New Roman" w:hAnsi="Times New Roman" w:cs="Times New Roman"/>
          <w:noProof/>
          <w:kern w:val="0"/>
          <w:sz w:val="28"/>
          <w:szCs w:val="28"/>
          <w:lang w:val="uk-UA" w:eastAsia="ar-SA"/>
          <w14:ligatures w14:val="none"/>
        </w:rPr>
        <w:t>Запровадження змішаного навчання у системі військової освіти України доцільно здійснювати поетапно, з урахуванням як організаційних, так і технологічних аспектів.Тому подальші дослідження можуть бути спрямовані на реалізацію можливостей інтеграції різних типів інтерактивних засобів таких як симуляційні технології, цифрові тренажери та віртуальні лабораторії у процес гібридного навчання</w:t>
      </w:r>
      <w:r w:rsidRPr="00B44B71">
        <w:rPr>
          <w:rFonts w:ascii="Times New Roman" w:eastAsia="Times New Roman" w:hAnsi="Times New Roman" w:cs="Times New Roman"/>
          <w:noProof/>
          <w:kern w:val="0"/>
          <w:sz w:val="28"/>
          <w:szCs w:val="28"/>
          <w:lang w:val="uk-UA"/>
          <w14:ligatures w14:val="none"/>
        </w:rPr>
        <w:t>.</w:t>
      </w:r>
    </w:p>
    <w:p w14:paraId="6F9F4B45" w14:textId="77777777" w:rsidR="00B44B71" w:rsidRPr="00B44B71" w:rsidRDefault="00B44B71" w:rsidP="008D5CD5">
      <w:pPr>
        <w:tabs>
          <w:tab w:val="left" w:pos="9638"/>
        </w:tabs>
        <w:adjustRightInd w:val="0"/>
        <w:snapToGrid w:val="0"/>
        <w:spacing w:after="0" w:line="240" w:lineRule="auto"/>
        <w:jc w:val="center"/>
        <w:rPr>
          <w:rFonts w:ascii="Times New Roman" w:eastAsia="Times New Roman" w:hAnsi="Times New Roman" w:cs="Times New Roman"/>
          <w:b/>
          <w:bCs/>
          <w:noProof/>
          <w:kern w:val="0"/>
          <w:sz w:val="24"/>
          <w:szCs w:val="24"/>
          <w:shd w:val="clear" w:color="auto" w:fill="FFFFFF"/>
          <w:lang w:val="uk-UA"/>
          <w14:ligatures w14:val="none"/>
        </w:rPr>
      </w:pPr>
      <w:r w:rsidRPr="00B44B71">
        <w:rPr>
          <w:rFonts w:ascii="Times New Roman" w:eastAsia="Times New Roman" w:hAnsi="Times New Roman" w:cs="Times New Roman"/>
          <w:b/>
          <w:bCs/>
          <w:noProof/>
          <w:kern w:val="0"/>
          <w:sz w:val="24"/>
          <w:szCs w:val="24"/>
          <w:shd w:val="clear" w:color="auto" w:fill="FFFFFF"/>
          <w:lang w:val="uk-UA"/>
          <w14:ligatures w14:val="none"/>
        </w:rPr>
        <w:t>ЛІТЕРАТУРА</w:t>
      </w:r>
    </w:p>
    <w:p w14:paraId="4D177AD8" w14:textId="77777777" w:rsidR="00B44B71" w:rsidRPr="00B44B71" w:rsidRDefault="00B44B71" w:rsidP="008D5CD5">
      <w:pPr>
        <w:tabs>
          <w:tab w:val="left" w:pos="851"/>
          <w:tab w:val="left" w:pos="9638"/>
        </w:tabs>
        <w:adjustRightInd w:val="0"/>
        <w:snapToGrid w:val="0"/>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lang w:val="uk-UA"/>
          <w14:ligatures w14:val="none"/>
        </w:rPr>
        <w:t>Boychuk, Y., Novikova, V., &amp; Opanasenko, Y. (2022). Pedagogical conditions for blended learning technologies. https://doi.org/10.18662/rrem/14.3/596</w:t>
      </w:r>
    </w:p>
    <w:p w14:paraId="18D09626" w14:textId="77777777" w:rsidR="00B44B71" w:rsidRPr="00B44B71" w:rsidRDefault="00B44B71" w:rsidP="00023291">
      <w:pPr>
        <w:tabs>
          <w:tab w:val="left" w:pos="851"/>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14:ligatures w14:val="none"/>
        </w:rPr>
        <w:t xml:space="preserve">Bykov V.Yu. (2023) Revitalizing education through the integration of cloud technologies. </w:t>
      </w:r>
      <w:r w:rsidRPr="00B44B71">
        <w:rPr>
          <w:rFonts w:ascii="Times New Roman" w:eastAsia="Times New Roman" w:hAnsi="Times New Roman" w:cs="Times New Roman"/>
          <w:i/>
          <w:iCs/>
          <w:noProof/>
          <w:spacing w:val="-8"/>
          <w:kern w:val="0"/>
          <w:sz w:val="24"/>
          <w:szCs w:val="24"/>
          <w14:ligatures w14:val="none"/>
        </w:rPr>
        <w:t>Educational Dimension.</w:t>
      </w:r>
      <w:r w:rsidRPr="00B44B71">
        <w:rPr>
          <w:rFonts w:ascii="Times New Roman" w:eastAsia="Times New Roman" w:hAnsi="Times New Roman" w:cs="Times New Roman"/>
          <w:noProof/>
          <w:spacing w:val="-8"/>
          <w:kern w:val="0"/>
          <w:sz w:val="24"/>
          <w:szCs w:val="24"/>
          <w14:ligatures w14:val="none"/>
        </w:rPr>
        <w:t xml:space="preserve"> 2023. 8. </w:t>
      </w:r>
      <w:r w:rsidRPr="00B44B71">
        <w:rPr>
          <w:rFonts w:ascii="Times New Roman" w:eastAsia="Times New Roman" w:hAnsi="Times New Roman" w:cs="Times New Roman"/>
          <w:noProof/>
          <w:spacing w:val="-8"/>
          <w:kern w:val="0"/>
          <w:sz w:val="24"/>
          <w:szCs w:val="24"/>
          <w:lang w:val="ru-RU"/>
          <w14:ligatures w14:val="none"/>
        </w:rPr>
        <w:t>р</w:t>
      </w:r>
      <w:r w:rsidRPr="00B44B71">
        <w:rPr>
          <w:rFonts w:ascii="Times New Roman" w:eastAsia="Times New Roman" w:hAnsi="Times New Roman" w:cs="Times New Roman"/>
          <w:noProof/>
          <w:spacing w:val="-8"/>
          <w:kern w:val="0"/>
          <w:sz w:val="24"/>
          <w:szCs w:val="24"/>
          <w14:ligatures w14:val="none"/>
        </w:rPr>
        <w:t xml:space="preserve">. 143–167. </w:t>
      </w:r>
      <w:r w:rsidRPr="00B44B71">
        <w:rPr>
          <w:rFonts w:ascii="Times New Roman" w:eastAsia="Times New Roman" w:hAnsi="Times New Roman" w:cs="Times New Roman"/>
          <w:spacing w:val="-8"/>
          <w:kern w:val="0"/>
          <w:sz w:val="24"/>
          <w:szCs w:val="24"/>
          <w14:ligatures w14:val="none"/>
        </w:rPr>
        <w:t>https://doi.org//</w:t>
      </w:r>
      <w:r w:rsidRPr="00B44B71">
        <w:rPr>
          <w:rFonts w:ascii="Times New Roman" w:eastAsia="Times New Roman" w:hAnsi="Times New Roman" w:cs="Times New Roman"/>
          <w:noProof/>
          <w:spacing w:val="-8"/>
          <w:kern w:val="0"/>
          <w:sz w:val="24"/>
          <w:szCs w:val="24"/>
          <w14:ligatures w14:val="none"/>
        </w:rPr>
        <w:t xml:space="preserve"> </w:t>
      </w:r>
      <w:hyperlink r:id="rId311" w:history="1">
        <w:r w:rsidRPr="00B44B71">
          <w:rPr>
            <w:rFonts w:ascii="Times New Roman" w:eastAsia="Times New Roman" w:hAnsi="Times New Roman" w:cs="Times New Roman"/>
            <w:noProof/>
            <w:spacing w:val="-8"/>
            <w:kern w:val="0"/>
            <w:sz w:val="24"/>
            <w:szCs w:val="24"/>
            <w14:ligatures w14:val="none"/>
          </w:rPr>
          <w:t>10.31812/ed.598</w:t>
        </w:r>
      </w:hyperlink>
    </w:p>
    <w:p w14:paraId="151CF5F1" w14:textId="77777777" w:rsidR="00B44B71" w:rsidRPr="00B44B71" w:rsidRDefault="00B44B71" w:rsidP="00023291">
      <w:pPr>
        <w:tabs>
          <w:tab w:val="left" w:pos="851"/>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14:ligatures w14:val="none"/>
        </w:rPr>
        <w:t xml:space="preserve">Lokshyna, </w:t>
      </w:r>
      <w:r w:rsidRPr="00B44B71">
        <w:rPr>
          <w:rFonts w:ascii="Times New Roman" w:eastAsia="Times New Roman" w:hAnsi="Times New Roman" w:cs="Times New Roman"/>
          <w:noProof/>
          <w:spacing w:val="-8"/>
          <w:kern w:val="0"/>
          <w:sz w:val="24"/>
          <w:szCs w:val="24"/>
          <w:lang w:val="ru-RU"/>
          <w14:ligatures w14:val="none"/>
        </w:rPr>
        <w:t>О</w:t>
      </w:r>
      <w:r w:rsidRPr="00B44B71">
        <w:rPr>
          <w:rFonts w:ascii="Times New Roman" w:eastAsia="Times New Roman" w:hAnsi="Times New Roman" w:cs="Times New Roman"/>
          <w:noProof/>
          <w:spacing w:val="-8"/>
          <w:kern w:val="0"/>
          <w:sz w:val="24"/>
          <w:szCs w:val="24"/>
          <w14:ligatures w14:val="none"/>
        </w:rPr>
        <w:t xml:space="preserve">. </w:t>
      </w:r>
      <w:r w:rsidRPr="00B44B71">
        <w:rPr>
          <w:rFonts w:ascii="Times New Roman" w:eastAsia="Times New Roman" w:hAnsi="Times New Roman" w:cs="Times New Roman"/>
          <w:noProof/>
          <w:spacing w:val="-8"/>
          <w:kern w:val="0"/>
          <w:sz w:val="24"/>
          <w:szCs w:val="24"/>
          <w:lang w:val="ru-RU"/>
          <w14:ligatures w14:val="none"/>
        </w:rPr>
        <w:t>І</w:t>
      </w:r>
      <w:r w:rsidRPr="00B44B71">
        <w:rPr>
          <w:rFonts w:ascii="Times New Roman" w:eastAsia="Times New Roman" w:hAnsi="Times New Roman" w:cs="Times New Roman"/>
          <w:noProof/>
          <w:spacing w:val="-8"/>
          <w:kern w:val="0"/>
          <w:sz w:val="24"/>
          <w:szCs w:val="24"/>
          <w14:ligatures w14:val="none"/>
        </w:rPr>
        <w:t xml:space="preserve">. (2019). The Secondary Education Reform in Ukraine Moving to the EU Standards.   </w:t>
      </w:r>
      <w:r w:rsidRPr="00B44B71">
        <w:rPr>
          <w:rFonts w:ascii="Times New Roman" w:eastAsia="Times New Roman" w:hAnsi="Times New Roman" w:cs="Times New Roman"/>
          <w:i/>
          <w:iCs/>
          <w:noProof/>
          <w:spacing w:val="-8"/>
          <w:kern w:val="0"/>
          <w:sz w:val="24"/>
          <w:szCs w:val="24"/>
          <w14:ligatures w14:val="none"/>
        </w:rPr>
        <w:t>Paedagogia – Psychologia</w:t>
      </w:r>
      <w:r w:rsidRPr="00B44B71">
        <w:rPr>
          <w:rFonts w:ascii="Times New Roman" w:eastAsia="Times New Roman" w:hAnsi="Times New Roman" w:cs="Times New Roman"/>
          <w:noProof/>
          <w:spacing w:val="-8"/>
          <w:kern w:val="0"/>
          <w:sz w:val="24"/>
          <w:szCs w:val="24"/>
          <w14:ligatures w14:val="none"/>
        </w:rPr>
        <w:t>. 2019.  32, (1). – P. 99–110.</w:t>
      </w:r>
    </w:p>
    <w:p w14:paraId="1313D2A1" w14:textId="77777777" w:rsidR="00B44B71" w:rsidRPr="00B44B71" w:rsidRDefault="00B44B71" w:rsidP="00023291">
      <w:pPr>
        <w:tabs>
          <w:tab w:val="left" w:pos="851"/>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14:ligatures w14:val="none"/>
        </w:rPr>
        <w:t xml:space="preserve">Supreme Headquarters Allied Powers Europe, &amp; Headquarters Supreme Allied Commander Transformation.. </w:t>
      </w:r>
      <w:r w:rsidRPr="00B44B71">
        <w:rPr>
          <w:rFonts w:ascii="Times New Roman" w:eastAsia="Times New Roman" w:hAnsi="Times New Roman" w:cs="Times New Roman"/>
          <w:i/>
          <w:iCs/>
          <w:noProof/>
          <w:spacing w:val="-8"/>
          <w:kern w:val="0"/>
          <w:sz w:val="24"/>
          <w:szCs w:val="24"/>
          <w14:ligatures w14:val="none"/>
        </w:rPr>
        <w:t>Bi-Strategic Command Education and Individual Training Directive (E&amp;ITD) 075–007</w:t>
      </w:r>
      <w:r w:rsidRPr="00B44B71">
        <w:rPr>
          <w:rFonts w:ascii="Times New Roman" w:eastAsia="Times New Roman" w:hAnsi="Times New Roman" w:cs="Times New Roman"/>
          <w:noProof/>
          <w:spacing w:val="-8"/>
          <w:kern w:val="0"/>
          <w:sz w:val="24"/>
          <w:szCs w:val="24"/>
          <w14:ligatures w14:val="none"/>
        </w:rPr>
        <w:t xml:space="preserve">. </w:t>
      </w:r>
      <w:r w:rsidRPr="00B44B71">
        <w:rPr>
          <w:rFonts w:ascii="Times New Roman" w:eastAsia="Times New Roman" w:hAnsi="Times New Roman" w:cs="Times New Roman"/>
          <w:kern w:val="0"/>
          <w:sz w:val="24"/>
          <w:szCs w:val="24"/>
          <w14:ligatures w14:val="none"/>
        </w:rPr>
        <w:t>Retrieved from:</w:t>
      </w:r>
      <w:r w:rsidRPr="00B44B71">
        <w:rPr>
          <w:rFonts w:ascii="Times New Roman" w:eastAsia="Times New Roman" w:hAnsi="Times New Roman" w:cs="Times New Roman"/>
          <w:kern w:val="0"/>
          <w:sz w:val="24"/>
          <w:szCs w:val="24"/>
          <w:lang w:val="uk-UA"/>
          <w14:ligatures w14:val="none"/>
        </w:rPr>
        <w:t xml:space="preserve"> </w:t>
      </w:r>
      <w:hyperlink r:id="rId312" w:history="1">
        <w:r w:rsidRPr="00B44B71">
          <w:rPr>
            <w:rFonts w:ascii="Times New Roman" w:eastAsia="Times New Roman" w:hAnsi="Times New Roman" w:cs="Times New Roman"/>
            <w:noProof/>
            <w:color w:val="0000FF"/>
            <w:spacing w:val="-8"/>
            <w:kern w:val="0"/>
            <w:sz w:val="24"/>
            <w:szCs w:val="24"/>
            <w:u w:val="single"/>
            <w14:ligatures w14:val="none"/>
          </w:rPr>
          <w:t>https://hups.mil.gov.ua/wp-content/uploads/admission-university/osvita/Bi-SC075-007ENG.pdf</w:t>
        </w:r>
      </w:hyperlink>
    </w:p>
    <w:p w14:paraId="7A84272D" w14:textId="77777777" w:rsidR="00B44B71" w:rsidRPr="00B44B71" w:rsidRDefault="00B44B71" w:rsidP="00023291">
      <w:pPr>
        <w:tabs>
          <w:tab w:val="left" w:pos="851"/>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lang w:val="uk-UA"/>
          <w14:ligatures w14:val="none"/>
        </w:rPr>
        <w:t>Yaremchuk, N. (2021). Peculiarities of individual educational trajectory formation in distance learning.</w:t>
      </w:r>
      <w:r w:rsidRPr="00B44B71">
        <w:rPr>
          <w:rFonts w:ascii="Times New Roman" w:eastAsia="Times New Roman" w:hAnsi="Times New Roman" w:cs="Times New Roman"/>
          <w:noProof/>
          <w:spacing w:val="-8"/>
          <w:kern w:val="0"/>
          <w:sz w:val="24"/>
          <w:szCs w:val="24"/>
          <w:lang w:val="uk-UA"/>
          <w14:ligatures w14:val="none"/>
        </w:rPr>
        <w:br/>
        <w:t xml:space="preserve">https://doi.org/10.28925/1609-8595.2021.4.7 </w:t>
      </w:r>
    </w:p>
    <w:p w14:paraId="3ADFEE7F" w14:textId="77777777" w:rsidR="00B44B71" w:rsidRPr="00B44B71" w:rsidRDefault="00B44B71" w:rsidP="00023291">
      <w:pPr>
        <w:tabs>
          <w:tab w:val="left" w:pos="426"/>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lang w:val="uk-UA"/>
          <w14:ligatures w14:val="none"/>
        </w:rPr>
        <w:t xml:space="preserve">Байдацька, Н. М. (2019). Індивідуальна освітня траєкторія здобувача освіти як інструмент персоналізації навчання. </w:t>
      </w:r>
      <w:r w:rsidRPr="00B44B71">
        <w:rPr>
          <w:rFonts w:ascii="Times New Roman" w:eastAsia="Times New Roman" w:hAnsi="Times New Roman" w:cs="Times New Roman"/>
          <w:i/>
          <w:iCs/>
          <w:noProof/>
          <w:spacing w:val="-8"/>
          <w:kern w:val="0"/>
          <w:sz w:val="24"/>
          <w:szCs w:val="24"/>
          <w:lang w:val="uk-UA"/>
          <w14:ligatures w14:val="none"/>
        </w:rPr>
        <w:t>Педагогічні науки.</w:t>
      </w:r>
      <w:r w:rsidRPr="00B44B71">
        <w:rPr>
          <w:rFonts w:ascii="Times New Roman" w:eastAsia="Times New Roman" w:hAnsi="Times New Roman" w:cs="Times New Roman"/>
          <w:noProof/>
          <w:spacing w:val="-8"/>
          <w:kern w:val="0"/>
          <w:sz w:val="24"/>
          <w:szCs w:val="24"/>
          <w:lang w:val="uk-UA"/>
          <w14:ligatures w14:val="none"/>
        </w:rPr>
        <w:t xml:space="preserve"> 2019. 88(2). С. 45–52.</w:t>
      </w:r>
    </w:p>
    <w:p w14:paraId="3BCD4F6F" w14:textId="77777777" w:rsidR="00B44B71" w:rsidRPr="00B44B71" w:rsidRDefault="00B44B71" w:rsidP="00023291">
      <w:pPr>
        <w:tabs>
          <w:tab w:val="left" w:pos="426"/>
          <w:tab w:val="left" w:pos="9638"/>
        </w:tabs>
        <w:spacing w:after="0" w:line="240" w:lineRule="auto"/>
        <w:ind w:firstLine="709"/>
        <w:jc w:val="both"/>
        <w:rPr>
          <w:rFonts w:ascii="Times New Roman" w:eastAsia="Times New Roman" w:hAnsi="Times New Roman" w:cs="Times New Roman"/>
          <w:i/>
          <w:iCs/>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lang w:val="uk-UA"/>
          <w14:ligatures w14:val="none"/>
        </w:rPr>
        <w:t xml:space="preserve">Бібік, Н. М. (2017). Компетентнісний підхід у сучасній освіті: світовий досвід та українські перспективи. </w:t>
      </w:r>
      <w:r w:rsidRPr="00B44B71">
        <w:rPr>
          <w:rFonts w:ascii="Times New Roman" w:eastAsia="Times New Roman" w:hAnsi="Times New Roman" w:cs="Times New Roman"/>
          <w:i/>
          <w:iCs/>
          <w:noProof/>
          <w:spacing w:val="-8"/>
          <w:kern w:val="0"/>
          <w:sz w:val="24"/>
          <w:szCs w:val="24"/>
          <w:lang w:val="uk-UA"/>
          <w14:ligatures w14:val="none"/>
        </w:rPr>
        <w:t>Київ: К.І.С.</w:t>
      </w:r>
    </w:p>
    <w:p w14:paraId="4E6D323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spacing w:val="-8"/>
          <w:kern w:val="0"/>
          <w:sz w:val="24"/>
          <w:szCs w:val="24"/>
          <w:lang w:val="ru-RU"/>
          <w14:ligatures w14:val="none"/>
        </w:rPr>
      </w:pPr>
      <w:r w:rsidRPr="00B44B71">
        <w:rPr>
          <w:rFonts w:ascii="Times New Roman" w:eastAsia="Times New Roman" w:hAnsi="Times New Roman" w:cs="Times New Roman"/>
          <w:noProof/>
          <w:spacing w:val="-8"/>
          <w:kern w:val="0"/>
          <w:sz w:val="24"/>
          <w:szCs w:val="24"/>
          <w:lang w:val="uk-UA"/>
          <w14:ligatures w14:val="none"/>
        </w:rPr>
        <w:t xml:space="preserve">Бурдіна, С. В. (2020). Використання змішаного навчання у підготовці майбутніх фахівців. </w:t>
      </w:r>
      <w:r w:rsidRPr="00B44B71">
        <w:rPr>
          <w:rFonts w:ascii="Times New Roman" w:eastAsia="Times New Roman" w:hAnsi="Times New Roman" w:cs="Times New Roman"/>
          <w:i/>
          <w:iCs/>
          <w:noProof/>
          <w:spacing w:val="-8"/>
          <w:kern w:val="0"/>
          <w:sz w:val="24"/>
          <w:szCs w:val="24"/>
          <w:lang w:val="ru-RU"/>
          <w14:ligatures w14:val="none"/>
        </w:rPr>
        <w:t>Інформаційні технології і засоби навчання</w:t>
      </w:r>
      <w:r w:rsidRPr="00B44B71">
        <w:rPr>
          <w:rFonts w:ascii="Times New Roman" w:eastAsia="Times New Roman" w:hAnsi="Times New Roman" w:cs="Times New Roman"/>
          <w:noProof/>
          <w:spacing w:val="-8"/>
          <w:kern w:val="0"/>
          <w:sz w:val="24"/>
          <w:szCs w:val="24"/>
          <w:lang w:val="ru-RU"/>
          <w14:ligatures w14:val="none"/>
        </w:rPr>
        <w:t>. 2020. 76(2). С. 15–25.</w:t>
      </w:r>
    </w:p>
    <w:p w14:paraId="4E2D0AA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spacing w:val="-8"/>
          <w:kern w:val="0"/>
          <w:sz w:val="24"/>
          <w:szCs w:val="24"/>
          <w:lang w:val="ru-RU"/>
          <w14:ligatures w14:val="none"/>
        </w:rPr>
      </w:pPr>
      <w:r w:rsidRPr="00B44B71">
        <w:rPr>
          <w:rFonts w:ascii="Times New Roman" w:eastAsia="Times New Roman" w:hAnsi="Times New Roman" w:cs="Times New Roman"/>
          <w:noProof/>
          <w:spacing w:val="-8"/>
          <w:kern w:val="0"/>
          <w:sz w:val="24"/>
          <w:szCs w:val="24"/>
          <w:lang w:val="ru-RU"/>
          <w14:ligatures w14:val="none"/>
        </w:rPr>
        <w:t>https://doi.org/10.33407/itlt.v76i2.3220</w:t>
      </w:r>
    </w:p>
    <w:p w14:paraId="30FD8C5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spacing w:val="-8"/>
          <w:kern w:val="0"/>
          <w:sz w:val="24"/>
          <w:szCs w:val="24"/>
          <w:lang w:val="ru-RU"/>
          <w14:ligatures w14:val="none"/>
        </w:rPr>
      </w:pPr>
      <w:r w:rsidRPr="00B44B71">
        <w:rPr>
          <w:rFonts w:ascii="Times New Roman" w:eastAsia="Times New Roman" w:hAnsi="Times New Roman" w:cs="Times New Roman"/>
          <w:noProof/>
          <w:spacing w:val="-8"/>
          <w:kern w:val="0"/>
          <w:sz w:val="24"/>
          <w:szCs w:val="24"/>
          <w:lang w:val="ru-RU"/>
          <w14:ligatures w14:val="none"/>
        </w:rPr>
        <w:t xml:space="preserve">Величко, Л. П. (2015). Компетентнісний підхід у навчанні природничих дисциплін. </w:t>
      </w:r>
      <w:r w:rsidRPr="00B44B71">
        <w:rPr>
          <w:rFonts w:ascii="Times New Roman" w:eastAsia="Times New Roman" w:hAnsi="Times New Roman" w:cs="Times New Roman"/>
          <w:i/>
          <w:iCs/>
          <w:noProof/>
          <w:spacing w:val="-8"/>
          <w:kern w:val="0"/>
          <w:sz w:val="24"/>
          <w:szCs w:val="24"/>
          <w:lang w:val="ru-RU"/>
          <w14:ligatures w14:val="none"/>
        </w:rPr>
        <w:t>Київ: Педагогічна думка.</w:t>
      </w:r>
    </w:p>
    <w:p w14:paraId="09FECFB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spacing w:val="-8"/>
          <w:kern w:val="0"/>
          <w:sz w:val="24"/>
          <w:szCs w:val="24"/>
          <w:lang w:val="ru-RU"/>
          <w14:ligatures w14:val="none"/>
        </w:rPr>
      </w:pPr>
      <w:r w:rsidRPr="00B44B71">
        <w:rPr>
          <w:rFonts w:ascii="Times New Roman" w:eastAsia="Times New Roman" w:hAnsi="Times New Roman" w:cs="Times New Roman"/>
          <w:noProof/>
          <w:spacing w:val="-8"/>
          <w:kern w:val="0"/>
          <w:sz w:val="24"/>
          <w:szCs w:val="24"/>
          <w:lang w:val="ru-RU"/>
          <w14:ligatures w14:val="none"/>
        </w:rPr>
        <w:t xml:space="preserve">Грабовий, А. К. (2018). Індивідуалізація навчання у вищій школі: теоретичні аспекти. </w:t>
      </w:r>
      <w:r w:rsidRPr="00B44B71">
        <w:rPr>
          <w:rFonts w:ascii="Times New Roman" w:eastAsia="Times New Roman" w:hAnsi="Times New Roman" w:cs="Times New Roman"/>
          <w:i/>
          <w:iCs/>
          <w:noProof/>
          <w:spacing w:val="-8"/>
          <w:kern w:val="0"/>
          <w:sz w:val="24"/>
          <w:szCs w:val="24"/>
          <w:lang w:val="ru-RU"/>
          <w14:ligatures w14:val="none"/>
        </w:rPr>
        <w:t xml:space="preserve">Вісник педагогічної освіти. </w:t>
      </w:r>
      <w:r w:rsidRPr="00B44B71">
        <w:rPr>
          <w:rFonts w:ascii="Times New Roman" w:eastAsia="Times New Roman" w:hAnsi="Times New Roman" w:cs="Times New Roman"/>
          <w:noProof/>
          <w:spacing w:val="-8"/>
          <w:kern w:val="0"/>
          <w:sz w:val="24"/>
          <w:szCs w:val="24"/>
          <w:lang w:val="ru-RU"/>
          <w14:ligatures w14:val="none"/>
        </w:rPr>
        <w:t>2018. 45. С. 34–41.</w:t>
      </w:r>
    </w:p>
    <w:p w14:paraId="0F74341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spacing w:val="-8"/>
          <w:kern w:val="0"/>
          <w:sz w:val="24"/>
          <w:szCs w:val="24"/>
          <w:lang w:val="ru-RU"/>
          <w14:ligatures w14:val="none"/>
        </w:rPr>
      </w:pPr>
      <w:r w:rsidRPr="00B44B71">
        <w:rPr>
          <w:rFonts w:ascii="Times New Roman" w:eastAsia="Times New Roman" w:hAnsi="Times New Roman" w:cs="Times New Roman"/>
          <w:noProof/>
          <w:spacing w:val="-8"/>
          <w:kern w:val="0"/>
          <w:sz w:val="24"/>
          <w:szCs w:val="24"/>
          <w:lang w:val="ru-RU"/>
          <w14:ligatures w14:val="none"/>
        </w:rPr>
        <w:t xml:space="preserve">Єрмаков, І. Г. (2007). Життєва компетентність особистості: від теорії до практики. </w:t>
      </w:r>
      <w:r w:rsidRPr="00B44B71">
        <w:rPr>
          <w:rFonts w:ascii="Times New Roman" w:eastAsia="Times New Roman" w:hAnsi="Times New Roman" w:cs="Times New Roman"/>
          <w:i/>
          <w:iCs/>
          <w:noProof/>
          <w:spacing w:val="-8"/>
          <w:kern w:val="0"/>
          <w:sz w:val="24"/>
          <w:szCs w:val="24"/>
          <w:lang w:val="ru-RU"/>
          <w14:ligatures w14:val="none"/>
        </w:rPr>
        <w:t>Київ: Логос.</w:t>
      </w:r>
    </w:p>
    <w:p w14:paraId="78002E0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noProof/>
          <w:spacing w:val="-8"/>
          <w:kern w:val="0"/>
          <w:sz w:val="24"/>
          <w:szCs w:val="24"/>
          <w:lang w:val="ru-RU"/>
          <w14:ligatures w14:val="none"/>
        </w:rPr>
      </w:pPr>
      <w:r w:rsidRPr="00B44B71">
        <w:rPr>
          <w:rFonts w:ascii="Times New Roman" w:eastAsia="Times New Roman" w:hAnsi="Times New Roman" w:cs="Times New Roman"/>
          <w:noProof/>
          <w:spacing w:val="-8"/>
          <w:kern w:val="0"/>
          <w:sz w:val="24"/>
          <w:szCs w:val="24"/>
          <w:lang w:val="ru-RU"/>
          <w14:ligatures w14:val="none"/>
        </w:rPr>
        <w:t xml:space="preserve">Заблоцька, О. С. (2014). Компетентнісний підхід у системі професійної освіти. </w:t>
      </w:r>
      <w:r w:rsidRPr="00B44B71">
        <w:rPr>
          <w:rFonts w:ascii="Times New Roman" w:eastAsia="Times New Roman" w:hAnsi="Times New Roman" w:cs="Times New Roman"/>
          <w:i/>
          <w:iCs/>
          <w:noProof/>
          <w:spacing w:val="-8"/>
          <w:kern w:val="0"/>
          <w:sz w:val="24"/>
          <w:szCs w:val="24"/>
          <w:lang w:val="ru-RU"/>
          <w14:ligatures w14:val="none"/>
        </w:rPr>
        <w:t>Педагогіка і психологія</w:t>
      </w:r>
      <w:r w:rsidRPr="00B44B71">
        <w:rPr>
          <w:rFonts w:ascii="Times New Roman" w:eastAsia="Times New Roman" w:hAnsi="Times New Roman" w:cs="Times New Roman"/>
          <w:noProof/>
          <w:spacing w:val="-8"/>
          <w:kern w:val="0"/>
          <w:sz w:val="24"/>
          <w:szCs w:val="24"/>
          <w:lang w:val="ru-RU"/>
          <w14:ligatures w14:val="none"/>
        </w:rPr>
        <w:t>. 2007. 3. С. 55–62.</w:t>
      </w:r>
    </w:p>
    <w:p w14:paraId="39F389AE" w14:textId="77777777" w:rsidR="00B44B71" w:rsidRPr="00B44B71" w:rsidRDefault="00B44B71" w:rsidP="00023291">
      <w:pPr>
        <w:tabs>
          <w:tab w:val="left" w:pos="426"/>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lang w:val="ru-RU"/>
          <w14:ligatures w14:val="none"/>
        </w:rPr>
        <w:t xml:space="preserve">Зязюн, І. А. (2008). Філософія педагогічної дії. </w:t>
      </w:r>
      <w:r w:rsidRPr="00B44B71">
        <w:rPr>
          <w:rFonts w:ascii="Times New Roman" w:eastAsia="Times New Roman" w:hAnsi="Times New Roman" w:cs="Times New Roman"/>
          <w:i/>
          <w:iCs/>
          <w:noProof/>
          <w:spacing w:val="-8"/>
          <w:kern w:val="0"/>
          <w:sz w:val="24"/>
          <w:szCs w:val="24"/>
          <w:lang w:val="ru-RU"/>
          <w14:ligatures w14:val="none"/>
        </w:rPr>
        <w:t>Київ: Педагогічна думка.</w:t>
      </w:r>
    </w:p>
    <w:p w14:paraId="4EF5B3D9" w14:textId="77777777" w:rsidR="00B44B71" w:rsidRPr="00B44B71" w:rsidRDefault="00B44B71" w:rsidP="00023291">
      <w:pPr>
        <w:tabs>
          <w:tab w:val="left" w:pos="426"/>
          <w:tab w:val="left" w:pos="9638"/>
        </w:tabs>
        <w:spacing w:after="0" w:line="240" w:lineRule="auto"/>
        <w:ind w:firstLine="709"/>
        <w:jc w:val="both"/>
        <w:rPr>
          <w:rFonts w:ascii="Times New Roman" w:eastAsia="Times New Roman" w:hAnsi="Times New Roman" w:cs="Times New Roman"/>
          <w:noProof/>
          <w:spacing w:val="-8"/>
          <w:kern w:val="0"/>
          <w:sz w:val="24"/>
          <w:szCs w:val="24"/>
          <w:lang w:val="ru-RU"/>
          <w14:ligatures w14:val="none"/>
        </w:rPr>
      </w:pPr>
      <w:r w:rsidRPr="00B44B71">
        <w:rPr>
          <w:rFonts w:ascii="Times New Roman" w:eastAsia="Times New Roman" w:hAnsi="Times New Roman" w:cs="Times New Roman"/>
          <w:noProof/>
          <w:spacing w:val="-8"/>
          <w:kern w:val="0"/>
          <w:sz w:val="24"/>
          <w:szCs w:val="24"/>
          <w:lang w:val="ru-RU"/>
          <w14:ligatures w14:val="none"/>
        </w:rPr>
        <w:t xml:space="preserve">Морозова, Н. А. (2018). Змішане навчання як інноваційна модель освітнього процесу. </w:t>
      </w:r>
      <w:r w:rsidRPr="00B44B71">
        <w:rPr>
          <w:rFonts w:ascii="Times New Roman" w:eastAsia="Times New Roman" w:hAnsi="Times New Roman" w:cs="Times New Roman"/>
          <w:i/>
          <w:iCs/>
          <w:noProof/>
          <w:spacing w:val="-8"/>
          <w:kern w:val="0"/>
          <w:sz w:val="24"/>
          <w:szCs w:val="24"/>
          <w:lang w:val="ru-RU"/>
          <w14:ligatures w14:val="none"/>
        </w:rPr>
        <w:t>Освітологічний дискурс</w:t>
      </w:r>
      <w:r w:rsidRPr="00B44B71">
        <w:rPr>
          <w:rFonts w:ascii="Times New Roman" w:eastAsia="Times New Roman" w:hAnsi="Times New Roman" w:cs="Times New Roman"/>
          <w:noProof/>
          <w:spacing w:val="-8"/>
          <w:kern w:val="0"/>
          <w:sz w:val="24"/>
          <w:szCs w:val="24"/>
          <w:lang w:val="ru-RU"/>
          <w14:ligatures w14:val="none"/>
        </w:rPr>
        <w:t>. 2018. 3(22). С. 89–97.</w:t>
      </w:r>
    </w:p>
    <w:p w14:paraId="43016B4A" w14:textId="77777777" w:rsidR="00B44B71" w:rsidRPr="00B44B71" w:rsidRDefault="00B44B71" w:rsidP="00023291">
      <w:pPr>
        <w:tabs>
          <w:tab w:val="left" w:pos="426"/>
          <w:tab w:val="left" w:pos="9638"/>
        </w:tabs>
        <w:spacing w:after="0" w:line="240" w:lineRule="auto"/>
        <w:ind w:firstLine="709"/>
        <w:jc w:val="both"/>
        <w:rPr>
          <w:rFonts w:ascii="Times New Roman" w:eastAsia="Times New Roman" w:hAnsi="Times New Roman" w:cs="Times New Roman"/>
          <w:noProof/>
          <w:spacing w:val="-8"/>
          <w:kern w:val="0"/>
          <w:sz w:val="24"/>
          <w:szCs w:val="24"/>
          <w:lang w:val="ru-RU"/>
          <w14:ligatures w14:val="none"/>
        </w:rPr>
      </w:pPr>
      <w:r w:rsidRPr="00B44B71">
        <w:rPr>
          <w:rFonts w:ascii="Times New Roman" w:eastAsia="Times New Roman" w:hAnsi="Times New Roman" w:cs="Times New Roman"/>
          <w:noProof/>
          <w:spacing w:val="-8"/>
          <w:kern w:val="0"/>
          <w:sz w:val="24"/>
          <w:szCs w:val="24"/>
          <w:lang w:val="ru-RU"/>
          <w14:ligatures w14:val="none"/>
        </w:rPr>
        <w:t xml:space="preserve">Морозова, Т. О. (2020). Використання цифрових технологій у змішаному навчанні. </w:t>
      </w:r>
      <w:r w:rsidRPr="00B44B71">
        <w:rPr>
          <w:rFonts w:ascii="Times New Roman" w:eastAsia="Times New Roman" w:hAnsi="Times New Roman" w:cs="Times New Roman"/>
          <w:i/>
          <w:iCs/>
          <w:noProof/>
          <w:spacing w:val="-8"/>
          <w:kern w:val="0"/>
          <w:sz w:val="24"/>
          <w:szCs w:val="24"/>
          <w:lang w:val="ru-RU"/>
          <w14:ligatures w14:val="none"/>
        </w:rPr>
        <w:t>Інформаційні технології в освіті</w:t>
      </w:r>
      <w:r w:rsidRPr="00B44B71">
        <w:rPr>
          <w:rFonts w:ascii="Times New Roman" w:eastAsia="Times New Roman" w:hAnsi="Times New Roman" w:cs="Times New Roman"/>
          <w:noProof/>
          <w:spacing w:val="-8"/>
          <w:kern w:val="0"/>
          <w:sz w:val="24"/>
          <w:szCs w:val="24"/>
          <w:lang w:val="ru-RU"/>
          <w14:ligatures w14:val="none"/>
        </w:rPr>
        <w:t>. 2020. 43. С. 78–86.</w:t>
      </w:r>
    </w:p>
    <w:p w14:paraId="287DDF75" w14:textId="77777777" w:rsidR="00B44B71" w:rsidRPr="00B44B71" w:rsidRDefault="00B44B71" w:rsidP="00023291">
      <w:pPr>
        <w:tabs>
          <w:tab w:val="left" w:pos="426"/>
          <w:tab w:val="left" w:pos="9638"/>
        </w:tabs>
        <w:spacing w:after="0" w:line="240" w:lineRule="auto"/>
        <w:ind w:firstLine="709"/>
        <w:jc w:val="both"/>
        <w:rPr>
          <w:rFonts w:ascii="Times New Roman" w:eastAsia="Times New Roman" w:hAnsi="Times New Roman" w:cs="Times New Roman"/>
          <w:noProof/>
          <w:spacing w:val="-8"/>
          <w:kern w:val="0"/>
          <w:sz w:val="24"/>
          <w:szCs w:val="24"/>
          <w:lang w:val="ru-RU"/>
          <w14:ligatures w14:val="none"/>
        </w:rPr>
      </w:pPr>
      <w:r w:rsidRPr="00B44B71">
        <w:rPr>
          <w:rFonts w:ascii="Times New Roman" w:eastAsia="Times New Roman" w:hAnsi="Times New Roman" w:cs="Times New Roman"/>
          <w:noProof/>
          <w:spacing w:val="-8"/>
          <w:kern w:val="0"/>
          <w:sz w:val="24"/>
          <w:szCs w:val="24"/>
          <w:lang w:val="ru-RU"/>
          <w14:ligatures w14:val="none"/>
        </w:rPr>
        <w:lastRenderedPageBreak/>
        <w:t xml:space="preserve">Овчарук, О. В. (2014). Проблеми оцінювання ІК-компетентності в системі загальної середньої освіти. </w:t>
      </w:r>
      <w:r w:rsidRPr="00B44B71">
        <w:rPr>
          <w:rFonts w:ascii="Times New Roman" w:eastAsia="Times New Roman" w:hAnsi="Times New Roman" w:cs="Times New Roman"/>
          <w:i/>
          <w:iCs/>
          <w:noProof/>
          <w:spacing w:val="-8"/>
          <w:kern w:val="0"/>
          <w:sz w:val="24"/>
          <w:szCs w:val="24"/>
          <w:lang w:val="ru-RU"/>
          <w14:ligatures w14:val="none"/>
        </w:rPr>
        <w:t>Інформаційні технології і засоби навчання</w:t>
      </w:r>
      <w:r w:rsidRPr="00B44B71">
        <w:rPr>
          <w:rFonts w:ascii="Times New Roman" w:eastAsia="Times New Roman" w:hAnsi="Times New Roman" w:cs="Times New Roman"/>
          <w:noProof/>
          <w:spacing w:val="-8"/>
          <w:kern w:val="0"/>
          <w:sz w:val="24"/>
          <w:szCs w:val="24"/>
          <w:lang w:val="ru-RU"/>
          <w14:ligatures w14:val="none"/>
        </w:rPr>
        <w:t xml:space="preserve">. 2014. Отримано з: https://lib.iitta.gov.ua/id/eprint/7653/1/%D0%9F%D0%A0%D0%9E%D0%91%D0%9B%D0%95%D0%9C%D0%98%20%D0%9E%D0%A6%D0%86%D0%9D%D0%AE%D0%92%D0%90%D0%9D%D0%9D%D0%AF%20%D0%9E%D0%92%D0%A7%D0%90%D0%A0%D0%A3%D0%9A.pdf </w:t>
      </w:r>
    </w:p>
    <w:p w14:paraId="7FF262B8" w14:textId="77777777" w:rsidR="00B44B71" w:rsidRPr="00B44B71" w:rsidRDefault="00B44B71" w:rsidP="00023291">
      <w:pPr>
        <w:tabs>
          <w:tab w:val="left" w:pos="426"/>
          <w:tab w:val="left" w:pos="9638"/>
        </w:tabs>
        <w:spacing w:after="0" w:line="240" w:lineRule="auto"/>
        <w:ind w:firstLine="709"/>
        <w:jc w:val="both"/>
        <w:rPr>
          <w:rFonts w:ascii="Times New Roman" w:eastAsia="Times New Roman" w:hAnsi="Times New Roman" w:cs="Times New Roman"/>
          <w:noProof/>
          <w:spacing w:val="-8"/>
          <w:kern w:val="0"/>
          <w:sz w:val="24"/>
          <w:szCs w:val="24"/>
          <w:lang w:val="ru-RU"/>
          <w14:ligatures w14:val="none"/>
        </w:rPr>
      </w:pPr>
      <w:r w:rsidRPr="00B44B71">
        <w:rPr>
          <w:rFonts w:ascii="Times New Roman" w:eastAsia="Times New Roman" w:hAnsi="Times New Roman" w:cs="Times New Roman"/>
          <w:noProof/>
          <w:spacing w:val="-8"/>
          <w:kern w:val="0"/>
          <w:sz w:val="24"/>
          <w:szCs w:val="24"/>
          <w:lang w:val="ru-RU"/>
          <w14:ligatures w14:val="none"/>
        </w:rPr>
        <w:t>Паращенко, Л. І. (2015). Індивідуальна освітня траєкторія учня в умовах компетентнісного навчання. Київ: Освіта.</w:t>
      </w:r>
    </w:p>
    <w:p w14:paraId="10C2172C" w14:textId="77777777" w:rsidR="00B44B71" w:rsidRPr="00B44B71" w:rsidRDefault="00B44B71" w:rsidP="00023291">
      <w:pPr>
        <w:tabs>
          <w:tab w:val="left" w:pos="426"/>
          <w:tab w:val="left" w:pos="9638"/>
        </w:tabs>
        <w:spacing w:after="0" w:line="240" w:lineRule="auto"/>
        <w:ind w:firstLine="709"/>
        <w:jc w:val="both"/>
        <w:rPr>
          <w:rFonts w:ascii="Times New Roman" w:eastAsia="Times New Roman" w:hAnsi="Times New Roman" w:cs="Times New Roman"/>
          <w:noProof/>
          <w:spacing w:val="-8"/>
          <w:kern w:val="0"/>
          <w:sz w:val="24"/>
          <w:szCs w:val="24"/>
          <w:lang w:val="ru-RU"/>
          <w14:ligatures w14:val="none"/>
        </w:rPr>
      </w:pPr>
      <w:r w:rsidRPr="00B44B71">
        <w:rPr>
          <w:rFonts w:ascii="Times New Roman" w:eastAsia="Times New Roman" w:hAnsi="Times New Roman" w:cs="Times New Roman"/>
          <w:noProof/>
          <w:spacing w:val="-8"/>
          <w:kern w:val="0"/>
          <w:sz w:val="24"/>
          <w:szCs w:val="24"/>
          <w:lang w:val="ru-RU"/>
          <w14:ligatures w14:val="none"/>
        </w:rPr>
        <w:t xml:space="preserve">Петрук, В. А. (2016). Компетентнісний підхід у підготовці фахівців технічних спеціальностей. </w:t>
      </w:r>
      <w:r w:rsidRPr="00B44B71">
        <w:rPr>
          <w:rFonts w:ascii="Times New Roman" w:eastAsia="Times New Roman" w:hAnsi="Times New Roman" w:cs="Times New Roman"/>
          <w:i/>
          <w:iCs/>
          <w:noProof/>
          <w:spacing w:val="-8"/>
          <w:kern w:val="0"/>
          <w:sz w:val="24"/>
          <w:szCs w:val="24"/>
          <w:lang w:val="ru-RU"/>
          <w14:ligatures w14:val="none"/>
        </w:rPr>
        <w:t>Проблеми інженерно-педагогічної освіти</w:t>
      </w:r>
      <w:r w:rsidRPr="00B44B71">
        <w:rPr>
          <w:rFonts w:ascii="Times New Roman" w:eastAsia="Times New Roman" w:hAnsi="Times New Roman" w:cs="Times New Roman"/>
          <w:noProof/>
          <w:spacing w:val="-8"/>
          <w:kern w:val="0"/>
          <w:sz w:val="24"/>
          <w:szCs w:val="24"/>
          <w:lang w:val="ru-RU"/>
          <w14:ligatures w14:val="none"/>
        </w:rPr>
        <w:t>. 2016. 52. С.112–118.</w:t>
      </w:r>
    </w:p>
    <w:p w14:paraId="00FF9CE0" w14:textId="77777777" w:rsidR="00B44B71" w:rsidRPr="00B44B71" w:rsidRDefault="00B44B71" w:rsidP="00023291">
      <w:pPr>
        <w:tabs>
          <w:tab w:val="left" w:pos="426"/>
          <w:tab w:val="left" w:pos="9638"/>
        </w:tabs>
        <w:spacing w:after="0" w:line="240" w:lineRule="auto"/>
        <w:ind w:firstLine="709"/>
        <w:jc w:val="both"/>
        <w:rPr>
          <w:rFonts w:ascii="Times New Roman" w:eastAsia="Times New Roman" w:hAnsi="Times New Roman" w:cs="Times New Roman"/>
          <w:noProof/>
          <w:spacing w:val="-8"/>
          <w:kern w:val="0"/>
          <w:sz w:val="24"/>
          <w:szCs w:val="24"/>
          <w14:ligatures w14:val="none"/>
        </w:rPr>
      </w:pPr>
      <w:r w:rsidRPr="00B44B71">
        <w:rPr>
          <w:rFonts w:ascii="Times New Roman" w:eastAsia="Times New Roman" w:hAnsi="Times New Roman" w:cs="Times New Roman"/>
          <w:noProof/>
          <w:spacing w:val="-8"/>
          <w:kern w:val="0"/>
          <w:sz w:val="24"/>
          <w:szCs w:val="24"/>
          <w:lang w:val="ru-RU"/>
          <w14:ligatures w14:val="none"/>
        </w:rPr>
        <w:t xml:space="preserve">Пометун, О. І. (2008). Компетентнісний підхід у сучасній історичній освіті. </w:t>
      </w:r>
      <w:r w:rsidRPr="00B44B71">
        <w:rPr>
          <w:rFonts w:ascii="Times New Roman" w:eastAsia="Times New Roman" w:hAnsi="Times New Roman" w:cs="Times New Roman"/>
          <w:i/>
          <w:iCs/>
          <w:noProof/>
          <w:spacing w:val="-8"/>
          <w:kern w:val="0"/>
          <w:sz w:val="24"/>
          <w:szCs w:val="24"/>
          <w:lang w:val="ru-RU"/>
          <w14:ligatures w14:val="none"/>
        </w:rPr>
        <w:t>Педагогічні</w:t>
      </w:r>
      <w:r w:rsidRPr="00B44B71">
        <w:rPr>
          <w:rFonts w:ascii="Times New Roman" w:eastAsia="Times New Roman" w:hAnsi="Times New Roman" w:cs="Times New Roman"/>
          <w:i/>
          <w:iCs/>
          <w:noProof/>
          <w:spacing w:val="-8"/>
          <w:kern w:val="0"/>
          <w:sz w:val="24"/>
          <w:szCs w:val="24"/>
          <w14:ligatures w14:val="none"/>
        </w:rPr>
        <w:t xml:space="preserve"> </w:t>
      </w:r>
      <w:r w:rsidRPr="00B44B71">
        <w:rPr>
          <w:rFonts w:ascii="Times New Roman" w:eastAsia="Times New Roman" w:hAnsi="Times New Roman" w:cs="Times New Roman"/>
          <w:i/>
          <w:iCs/>
          <w:noProof/>
          <w:spacing w:val="-8"/>
          <w:kern w:val="0"/>
          <w:sz w:val="24"/>
          <w:szCs w:val="24"/>
          <w:lang w:val="ru-RU"/>
          <w14:ligatures w14:val="none"/>
        </w:rPr>
        <w:t>науки</w:t>
      </w:r>
      <w:r w:rsidRPr="00B44B71">
        <w:rPr>
          <w:rFonts w:ascii="Times New Roman" w:eastAsia="Times New Roman" w:hAnsi="Times New Roman" w:cs="Times New Roman"/>
          <w:noProof/>
          <w:spacing w:val="-8"/>
          <w:kern w:val="0"/>
          <w:sz w:val="24"/>
          <w:szCs w:val="24"/>
          <w14:ligatures w14:val="none"/>
        </w:rPr>
        <w:t xml:space="preserve">. 2008. 50. </w:t>
      </w:r>
      <w:r w:rsidRPr="00B44B71">
        <w:rPr>
          <w:rFonts w:ascii="Times New Roman" w:eastAsia="Times New Roman" w:hAnsi="Times New Roman" w:cs="Times New Roman"/>
          <w:noProof/>
          <w:spacing w:val="-8"/>
          <w:kern w:val="0"/>
          <w:sz w:val="24"/>
          <w:szCs w:val="24"/>
          <w:lang w:val="ru-RU"/>
          <w14:ligatures w14:val="none"/>
        </w:rPr>
        <w:t>С</w:t>
      </w:r>
      <w:r w:rsidRPr="00B44B71">
        <w:rPr>
          <w:rFonts w:ascii="Times New Roman" w:eastAsia="Times New Roman" w:hAnsi="Times New Roman" w:cs="Times New Roman"/>
          <w:noProof/>
          <w:spacing w:val="-8"/>
          <w:kern w:val="0"/>
          <w:sz w:val="24"/>
          <w:szCs w:val="24"/>
          <w14:ligatures w14:val="none"/>
        </w:rPr>
        <w:t xml:space="preserve">. 83–89. </w:t>
      </w:r>
    </w:p>
    <w:p w14:paraId="6931DF17" w14:textId="77777777" w:rsidR="00B44B71" w:rsidRPr="00B44B71" w:rsidRDefault="00B44B71" w:rsidP="00023291">
      <w:pPr>
        <w:tabs>
          <w:tab w:val="left" w:pos="426"/>
          <w:tab w:val="left" w:pos="9638"/>
        </w:tabs>
        <w:spacing w:after="0" w:line="240" w:lineRule="auto"/>
        <w:ind w:firstLine="709"/>
        <w:jc w:val="both"/>
        <w:rPr>
          <w:rFonts w:ascii="Times New Roman" w:eastAsia="Times New Roman" w:hAnsi="Times New Roman" w:cs="Times New Roman"/>
          <w:noProof/>
          <w:spacing w:val="-8"/>
          <w:kern w:val="0"/>
          <w:sz w:val="24"/>
          <w:szCs w:val="24"/>
          <w:lang w:val="ru-RU"/>
          <w14:ligatures w14:val="none"/>
        </w:rPr>
      </w:pPr>
      <w:r w:rsidRPr="00B44B71">
        <w:rPr>
          <w:rFonts w:ascii="Times New Roman" w:eastAsia="Times New Roman" w:hAnsi="Times New Roman" w:cs="Times New Roman"/>
          <w:noProof/>
          <w:spacing w:val="-8"/>
          <w:kern w:val="0"/>
          <w:sz w:val="24"/>
          <w:szCs w:val="24"/>
          <w14:ligatures w14:val="none"/>
        </w:rPr>
        <w:t xml:space="preserve">Raven, J. (2002). Competence in modern society: Its identification, development and release. </w:t>
      </w:r>
      <w:r w:rsidRPr="00B44B71">
        <w:rPr>
          <w:rFonts w:ascii="Times New Roman" w:eastAsia="Times New Roman" w:hAnsi="Times New Roman" w:cs="Times New Roman"/>
          <w:i/>
          <w:iCs/>
          <w:noProof/>
          <w:spacing w:val="-8"/>
          <w:kern w:val="0"/>
          <w:sz w:val="24"/>
          <w:szCs w:val="24"/>
          <w:lang w:val="ru-RU"/>
          <w14:ligatures w14:val="none"/>
        </w:rPr>
        <w:t>London: H. K. Lewis.</w:t>
      </w:r>
    </w:p>
    <w:p w14:paraId="39486B85" w14:textId="77777777" w:rsidR="00B44B71" w:rsidRPr="00B44B71" w:rsidRDefault="00B44B71" w:rsidP="00023291">
      <w:pPr>
        <w:tabs>
          <w:tab w:val="left" w:pos="426"/>
          <w:tab w:val="left" w:pos="9638"/>
        </w:tabs>
        <w:spacing w:after="0" w:line="240" w:lineRule="auto"/>
        <w:ind w:firstLine="709"/>
        <w:jc w:val="both"/>
        <w:rPr>
          <w:rFonts w:ascii="Times New Roman" w:eastAsia="Times New Roman" w:hAnsi="Times New Roman" w:cs="Times New Roman"/>
          <w:noProof/>
          <w:spacing w:val="-8"/>
          <w:kern w:val="0"/>
          <w:sz w:val="24"/>
          <w:szCs w:val="24"/>
          <w:lang w:val="ru-RU"/>
          <w14:ligatures w14:val="none"/>
        </w:rPr>
      </w:pPr>
      <w:r w:rsidRPr="00B44B71">
        <w:rPr>
          <w:rFonts w:ascii="Times New Roman" w:eastAsia="Times New Roman" w:hAnsi="Times New Roman" w:cs="Times New Roman"/>
          <w:noProof/>
          <w:spacing w:val="-8"/>
          <w:kern w:val="0"/>
          <w:sz w:val="24"/>
          <w:szCs w:val="24"/>
          <w:lang w:val="ru-RU"/>
          <w14:ligatures w14:val="none"/>
        </w:rPr>
        <w:t xml:space="preserve">Раков, С. А. (2013). Компетентнісний підхід у навчанні математики. </w:t>
      </w:r>
      <w:r w:rsidRPr="00B44B71">
        <w:rPr>
          <w:rFonts w:ascii="Times New Roman" w:eastAsia="Times New Roman" w:hAnsi="Times New Roman" w:cs="Times New Roman"/>
          <w:i/>
          <w:iCs/>
          <w:noProof/>
          <w:spacing w:val="-8"/>
          <w:kern w:val="0"/>
          <w:sz w:val="24"/>
          <w:szCs w:val="24"/>
          <w:lang w:val="ru-RU"/>
          <w14:ligatures w14:val="none"/>
        </w:rPr>
        <w:t>Харків: Факт</w:t>
      </w:r>
      <w:r w:rsidRPr="00B44B71">
        <w:rPr>
          <w:rFonts w:ascii="Times New Roman" w:eastAsia="Times New Roman" w:hAnsi="Times New Roman" w:cs="Times New Roman"/>
          <w:noProof/>
          <w:spacing w:val="-8"/>
          <w:kern w:val="0"/>
          <w:sz w:val="24"/>
          <w:szCs w:val="24"/>
          <w:lang w:val="ru-RU"/>
          <w14:ligatures w14:val="none"/>
        </w:rPr>
        <w:t>. Отримано з: https://irbis-nbuv.gov.ua/cgi-bin/irbis_nbuv/cgiirbis_64.exe?Z21ID=&amp;I21DBN=EC&amp;P21DBN=EC&amp;S21STN=1&amp;S21REF=10&amp;S21FMT=JwU_B&amp;C21COM=S&amp;S21CNR=20&amp;S21P01=0&amp;S21P02=0&amp;S21P03=U=&amp;S21COLORTERMS=0&amp;S21STR=%D0%921%20%D1%8021-353$</w:t>
      </w:r>
    </w:p>
    <w:p w14:paraId="2A519D6B" w14:textId="77777777" w:rsidR="00B44B71" w:rsidRPr="00B44B71" w:rsidRDefault="00B44B71" w:rsidP="00023291">
      <w:pPr>
        <w:tabs>
          <w:tab w:val="left" w:pos="426"/>
          <w:tab w:val="left" w:pos="9638"/>
        </w:tabs>
        <w:spacing w:after="0" w:line="240" w:lineRule="auto"/>
        <w:ind w:firstLine="709"/>
        <w:jc w:val="both"/>
        <w:rPr>
          <w:rFonts w:ascii="Times New Roman" w:eastAsia="Times New Roman" w:hAnsi="Times New Roman" w:cs="Times New Roman"/>
          <w:noProof/>
          <w:spacing w:val="-8"/>
          <w:kern w:val="0"/>
          <w:sz w:val="24"/>
          <w:szCs w:val="24"/>
          <w:lang w:val="ru-RU"/>
          <w14:ligatures w14:val="none"/>
        </w:rPr>
      </w:pPr>
      <w:r w:rsidRPr="00B44B71">
        <w:rPr>
          <w:rFonts w:ascii="Times New Roman" w:eastAsia="Times New Roman" w:hAnsi="Times New Roman" w:cs="Times New Roman"/>
          <w:noProof/>
          <w:spacing w:val="-8"/>
          <w:kern w:val="0"/>
          <w:sz w:val="24"/>
          <w:szCs w:val="24"/>
          <w:lang w:val="ru-RU"/>
          <w14:ligatures w14:val="none"/>
        </w:rPr>
        <w:t xml:space="preserve">Родигіна, І. В. (2014). Компетентнісний підхід у професійній освіті. </w:t>
      </w:r>
      <w:r w:rsidRPr="00B44B71">
        <w:rPr>
          <w:rFonts w:ascii="Times New Roman" w:eastAsia="Times New Roman" w:hAnsi="Times New Roman" w:cs="Times New Roman"/>
          <w:i/>
          <w:iCs/>
          <w:noProof/>
          <w:spacing w:val="-8"/>
          <w:kern w:val="0"/>
          <w:sz w:val="24"/>
          <w:szCs w:val="24"/>
          <w:lang w:val="ru-RU"/>
          <w14:ligatures w14:val="none"/>
        </w:rPr>
        <w:t>Педагогіка і психологія професійної освіти</w:t>
      </w:r>
      <w:r w:rsidRPr="00B44B71">
        <w:rPr>
          <w:rFonts w:ascii="Times New Roman" w:eastAsia="Times New Roman" w:hAnsi="Times New Roman" w:cs="Times New Roman"/>
          <w:noProof/>
          <w:spacing w:val="-8"/>
          <w:kern w:val="0"/>
          <w:sz w:val="24"/>
          <w:szCs w:val="24"/>
          <w:lang w:val="ru-RU"/>
          <w14:ligatures w14:val="none"/>
        </w:rPr>
        <w:t>.2014. 3. С. 22–30.</w:t>
      </w:r>
    </w:p>
    <w:p w14:paraId="1810CC05" w14:textId="77777777" w:rsidR="00B44B71" w:rsidRPr="00B44B71" w:rsidRDefault="00B44B71" w:rsidP="00023291">
      <w:pPr>
        <w:tabs>
          <w:tab w:val="left" w:pos="426"/>
          <w:tab w:val="left" w:pos="9638"/>
        </w:tabs>
        <w:spacing w:after="0" w:line="240" w:lineRule="auto"/>
        <w:ind w:firstLine="709"/>
        <w:jc w:val="both"/>
        <w:rPr>
          <w:rFonts w:ascii="Times New Roman" w:eastAsia="Times New Roman" w:hAnsi="Times New Roman" w:cs="Times New Roman"/>
          <w:noProof/>
          <w:spacing w:val="-8"/>
          <w:kern w:val="0"/>
          <w:sz w:val="24"/>
          <w:szCs w:val="24"/>
          <w:lang w:val="ru-RU"/>
          <w14:ligatures w14:val="none"/>
        </w:rPr>
      </w:pPr>
      <w:r w:rsidRPr="00B44B71">
        <w:rPr>
          <w:rFonts w:ascii="Times New Roman" w:eastAsia="Times New Roman" w:hAnsi="Times New Roman" w:cs="Times New Roman"/>
          <w:noProof/>
          <w:spacing w:val="-8"/>
          <w:kern w:val="0"/>
          <w:sz w:val="24"/>
          <w:szCs w:val="24"/>
          <w:lang w:val="ru-RU"/>
          <w14:ligatures w14:val="none"/>
        </w:rPr>
        <w:t xml:space="preserve">Трубачева, С. Є. (2018). Індивідуальна освітня траєкторія як засіб розвитку особистості. </w:t>
      </w:r>
      <w:r w:rsidRPr="00B44B71">
        <w:rPr>
          <w:rFonts w:ascii="Times New Roman" w:eastAsia="Times New Roman" w:hAnsi="Times New Roman" w:cs="Times New Roman"/>
          <w:i/>
          <w:iCs/>
          <w:noProof/>
          <w:spacing w:val="-8"/>
          <w:kern w:val="0"/>
          <w:sz w:val="24"/>
          <w:szCs w:val="24"/>
          <w:lang w:val="ru-RU"/>
          <w14:ligatures w14:val="none"/>
        </w:rPr>
        <w:t>Освітологічний дискурс</w:t>
      </w:r>
      <w:r w:rsidRPr="00B44B71">
        <w:rPr>
          <w:rFonts w:ascii="Times New Roman" w:eastAsia="Times New Roman" w:hAnsi="Times New Roman" w:cs="Times New Roman"/>
          <w:noProof/>
          <w:spacing w:val="-8"/>
          <w:kern w:val="0"/>
          <w:sz w:val="24"/>
          <w:szCs w:val="24"/>
          <w:lang w:val="ru-RU"/>
          <w14:ligatures w14:val="none"/>
        </w:rPr>
        <w:t xml:space="preserve"> 2018. 1. С. 45–52.</w:t>
      </w:r>
    </w:p>
    <w:p w14:paraId="576F8D7E" w14:textId="77777777" w:rsidR="00B44B71" w:rsidRPr="005C6658" w:rsidRDefault="00B44B71" w:rsidP="00023291">
      <w:pPr>
        <w:tabs>
          <w:tab w:val="left" w:pos="426"/>
          <w:tab w:val="left" w:pos="9638"/>
        </w:tabs>
        <w:spacing w:after="0" w:line="240" w:lineRule="auto"/>
        <w:ind w:firstLine="709"/>
        <w:jc w:val="both"/>
        <w:rPr>
          <w:rFonts w:ascii="Times New Roman" w:eastAsia="Times New Roman" w:hAnsi="Times New Roman" w:cs="Times New Roman"/>
          <w:noProof/>
          <w:spacing w:val="-8"/>
          <w:kern w:val="0"/>
          <w:sz w:val="24"/>
          <w:szCs w:val="24"/>
          <w:lang w:val="ru-RU"/>
          <w14:ligatures w14:val="none"/>
        </w:rPr>
      </w:pPr>
      <w:r w:rsidRPr="00B44B71">
        <w:rPr>
          <w:rFonts w:ascii="Times New Roman" w:eastAsia="Times New Roman" w:hAnsi="Times New Roman" w:cs="Times New Roman"/>
          <w:noProof/>
          <w:spacing w:val="-8"/>
          <w:kern w:val="0"/>
          <w:sz w:val="24"/>
          <w:szCs w:val="24"/>
          <w:lang w:val="ru-RU"/>
          <w14:ligatures w14:val="none"/>
        </w:rPr>
        <w:t xml:space="preserve">Удовиченко, Г. (2020). Змішане навчання у сучасній освіті. </w:t>
      </w:r>
      <w:r w:rsidRPr="00B44B71">
        <w:rPr>
          <w:rFonts w:ascii="Times New Roman" w:eastAsia="Times New Roman" w:hAnsi="Times New Roman" w:cs="Times New Roman"/>
          <w:i/>
          <w:iCs/>
          <w:noProof/>
          <w:spacing w:val="-8"/>
          <w:kern w:val="0"/>
          <w:sz w:val="24"/>
          <w:szCs w:val="24"/>
          <w:lang w:val="ru-RU"/>
          <w14:ligatures w14:val="none"/>
        </w:rPr>
        <w:t>Педагогічні науки</w:t>
      </w:r>
      <w:r w:rsidRPr="00B44B71">
        <w:rPr>
          <w:rFonts w:ascii="Times New Roman" w:eastAsia="Times New Roman" w:hAnsi="Times New Roman" w:cs="Times New Roman"/>
          <w:noProof/>
          <w:spacing w:val="-8"/>
          <w:kern w:val="0"/>
          <w:sz w:val="24"/>
          <w:szCs w:val="24"/>
          <w:lang w:val="ru-RU"/>
          <w14:ligatures w14:val="none"/>
        </w:rPr>
        <w:t xml:space="preserve">. 2020. </w:t>
      </w:r>
      <w:r w:rsidRPr="005C6658">
        <w:rPr>
          <w:rFonts w:ascii="Times New Roman" w:eastAsia="Times New Roman" w:hAnsi="Times New Roman" w:cs="Times New Roman"/>
          <w:noProof/>
          <w:spacing w:val="-8"/>
          <w:kern w:val="0"/>
          <w:sz w:val="24"/>
          <w:szCs w:val="24"/>
          <w:lang w:val="ru-RU"/>
          <w14:ligatures w14:val="none"/>
        </w:rPr>
        <w:t xml:space="preserve">92. </w:t>
      </w:r>
      <w:r w:rsidRPr="00B44B71">
        <w:rPr>
          <w:rFonts w:ascii="Times New Roman" w:eastAsia="Times New Roman" w:hAnsi="Times New Roman" w:cs="Times New Roman"/>
          <w:noProof/>
          <w:spacing w:val="-8"/>
          <w:kern w:val="0"/>
          <w:sz w:val="24"/>
          <w:szCs w:val="24"/>
          <w:lang w:val="ru-RU"/>
          <w14:ligatures w14:val="none"/>
        </w:rPr>
        <w:t>С</w:t>
      </w:r>
      <w:r w:rsidRPr="005C6658">
        <w:rPr>
          <w:rFonts w:ascii="Times New Roman" w:eastAsia="Times New Roman" w:hAnsi="Times New Roman" w:cs="Times New Roman"/>
          <w:noProof/>
          <w:spacing w:val="-8"/>
          <w:kern w:val="0"/>
          <w:sz w:val="24"/>
          <w:szCs w:val="24"/>
          <w:lang w:val="ru-RU"/>
          <w14:ligatures w14:val="none"/>
        </w:rPr>
        <w:t xml:space="preserve">. 67–74. </w:t>
      </w:r>
      <w:r w:rsidRPr="00B44B71">
        <w:rPr>
          <w:rFonts w:ascii="Times New Roman" w:eastAsia="Times New Roman" w:hAnsi="Times New Roman" w:cs="Times New Roman"/>
          <w:noProof/>
          <w:spacing w:val="-8"/>
          <w:kern w:val="0"/>
          <w:sz w:val="24"/>
          <w:szCs w:val="24"/>
          <w14:ligatures w14:val="none"/>
        </w:rPr>
        <w:t>https</w:t>
      </w:r>
      <w:r w:rsidRPr="005C6658">
        <w:rPr>
          <w:rFonts w:ascii="Times New Roman" w:eastAsia="Times New Roman" w:hAnsi="Times New Roman" w:cs="Times New Roman"/>
          <w:noProof/>
          <w:spacing w:val="-8"/>
          <w:kern w:val="0"/>
          <w:sz w:val="24"/>
          <w:szCs w:val="24"/>
          <w:lang w:val="ru-RU"/>
          <w14:ligatures w14:val="none"/>
        </w:rPr>
        <w:t>://</w:t>
      </w:r>
      <w:r w:rsidRPr="00B44B71">
        <w:rPr>
          <w:rFonts w:ascii="Times New Roman" w:eastAsia="Times New Roman" w:hAnsi="Times New Roman" w:cs="Times New Roman"/>
          <w:noProof/>
          <w:spacing w:val="-8"/>
          <w:kern w:val="0"/>
          <w:sz w:val="24"/>
          <w:szCs w:val="24"/>
          <w14:ligatures w14:val="none"/>
        </w:rPr>
        <w:t>doi</w:t>
      </w:r>
      <w:r w:rsidRPr="005C6658">
        <w:rPr>
          <w:rFonts w:ascii="Times New Roman" w:eastAsia="Times New Roman" w:hAnsi="Times New Roman" w:cs="Times New Roman"/>
          <w:noProof/>
          <w:spacing w:val="-8"/>
          <w:kern w:val="0"/>
          <w:sz w:val="24"/>
          <w:szCs w:val="24"/>
          <w:lang w:val="ru-RU"/>
          <w14:ligatures w14:val="none"/>
        </w:rPr>
        <w:t>.</w:t>
      </w:r>
      <w:r w:rsidRPr="00B44B71">
        <w:rPr>
          <w:rFonts w:ascii="Times New Roman" w:eastAsia="Times New Roman" w:hAnsi="Times New Roman" w:cs="Times New Roman"/>
          <w:noProof/>
          <w:spacing w:val="-8"/>
          <w:kern w:val="0"/>
          <w:sz w:val="24"/>
          <w:szCs w:val="24"/>
          <w14:ligatures w14:val="none"/>
        </w:rPr>
        <w:t>org</w:t>
      </w:r>
      <w:r w:rsidRPr="005C6658">
        <w:rPr>
          <w:rFonts w:ascii="Times New Roman" w:eastAsia="Times New Roman" w:hAnsi="Times New Roman" w:cs="Times New Roman"/>
          <w:noProof/>
          <w:spacing w:val="-8"/>
          <w:kern w:val="0"/>
          <w:sz w:val="24"/>
          <w:szCs w:val="24"/>
          <w:lang w:val="ru-RU"/>
          <w14:ligatures w14:val="none"/>
        </w:rPr>
        <w:t>/10.31812/</w:t>
      </w:r>
      <w:r w:rsidRPr="00B44B71">
        <w:rPr>
          <w:rFonts w:ascii="Times New Roman" w:eastAsia="Times New Roman" w:hAnsi="Times New Roman" w:cs="Times New Roman"/>
          <w:noProof/>
          <w:spacing w:val="-8"/>
          <w:kern w:val="0"/>
          <w:sz w:val="24"/>
          <w:szCs w:val="24"/>
          <w14:ligatures w14:val="none"/>
        </w:rPr>
        <w:t>educdim</w:t>
      </w:r>
      <w:r w:rsidRPr="005C6658">
        <w:rPr>
          <w:rFonts w:ascii="Times New Roman" w:eastAsia="Times New Roman" w:hAnsi="Times New Roman" w:cs="Times New Roman"/>
          <w:noProof/>
          <w:spacing w:val="-8"/>
          <w:kern w:val="0"/>
          <w:sz w:val="24"/>
          <w:szCs w:val="24"/>
          <w:lang w:val="ru-RU"/>
          <w14:ligatures w14:val="none"/>
        </w:rPr>
        <w:t xml:space="preserve">.5430 </w:t>
      </w:r>
    </w:p>
    <w:p w14:paraId="62918062" w14:textId="164A959A" w:rsidR="00B44B71" w:rsidRPr="008D5CD5" w:rsidRDefault="00B44B71" w:rsidP="008D5CD5">
      <w:pPr>
        <w:tabs>
          <w:tab w:val="left" w:pos="426"/>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lang w:val="ru-RU"/>
          <w14:ligatures w14:val="none"/>
        </w:rPr>
        <w:t>Ярошенко</w:t>
      </w:r>
      <w:r w:rsidRPr="00B44B71">
        <w:rPr>
          <w:rFonts w:ascii="Times New Roman" w:eastAsia="Times New Roman" w:hAnsi="Times New Roman" w:cs="Times New Roman"/>
          <w:noProof/>
          <w:spacing w:val="-8"/>
          <w:kern w:val="0"/>
          <w:sz w:val="24"/>
          <w:szCs w:val="24"/>
          <w14:ligatures w14:val="none"/>
        </w:rPr>
        <w:t xml:space="preserve">, </w:t>
      </w:r>
      <w:r w:rsidRPr="00B44B71">
        <w:rPr>
          <w:rFonts w:ascii="Times New Roman" w:eastAsia="Times New Roman" w:hAnsi="Times New Roman" w:cs="Times New Roman"/>
          <w:noProof/>
          <w:spacing w:val="-8"/>
          <w:kern w:val="0"/>
          <w:sz w:val="24"/>
          <w:szCs w:val="24"/>
          <w:lang w:val="ru-RU"/>
          <w14:ligatures w14:val="none"/>
        </w:rPr>
        <w:t>О</w:t>
      </w:r>
      <w:r w:rsidRPr="00B44B71">
        <w:rPr>
          <w:rFonts w:ascii="Times New Roman" w:eastAsia="Times New Roman" w:hAnsi="Times New Roman" w:cs="Times New Roman"/>
          <w:noProof/>
          <w:spacing w:val="-8"/>
          <w:kern w:val="0"/>
          <w:sz w:val="24"/>
          <w:szCs w:val="24"/>
          <w14:ligatures w14:val="none"/>
        </w:rPr>
        <w:t xml:space="preserve">. </w:t>
      </w:r>
      <w:r w:rsidRPr="00B44B71">
        <w:rPr>
          <w:rFonts w:ascii="Times New Roman" w:eastAsia="Times New Roman" w:hAnsi="Times New Roman" w:cs="Times New Roman"/>
          <w:noProof/>
          <w:spacing w:val="-8"/>
          <w:kern w:val="0"/>
          <w:sz w:val="24"/>
          <w:szCs w:val="24"/>
          <w:lang w:val="ru-RU"/>
          <w14:ligatures w14:val="none"/>
        </w:rPr>
        <w:t>Г</w:t>
      </w:r>
      <w:r w:rsidRPr="00B44B71">
        <w:rPr>
          <w:rFonts w:ascii="Times New Roman" w:eastAsia="Times New Roman" w:hAnsi="Times New Roman" w:cs="Times New Roman"/>
          <w:noProof/>
          <w:spacing w:val="-8"/>
          <w:kern w:val="0"/>
          <w:sz w:val="24"/>
          <w:szCs w:val="24"/>
          <w14:ligatures w14:val="none"/>
        </w:rPr>
        <w:t xml:space="preserve">. (2024). Innovations of the integrated course “Getting to know nature”. </w:t>
      </w:r>
      <w:r w:rsidRPr="00B44B71">
        <w:rPr>
          <w:rFonts w:ascii="Times New Roman" w:eastAsia="Times New Roman" w:hAnsi="Times New Roman" w:cs="Times New Roman"/>
          <w:i/>
          <w:iCs/>
          <w:noProof/>
          <w:spacing w:val="-8"/>
          <w:kern w:val="0"/>
          <w:sz w:val="24"/>
          <w:szCs w:val="24"/>
          <w14:ligatures w14:val="none"/>
        </w:rPr>
        <w:t>SWorld Conference Proceedings</w:t>
      </w:r>
      <w:r w:rsidRPr="00B44B71">
        <w:rPr>
          <w:rFonts w:ascii="Times New Roman" w:eastAsia="Times New Roman" w:hAnsi="Times New Roman" w:cs="Times New Roman"/>
          <w:noProof/>
          <w:spacing w:val="-8"/>
          <w:kern w:val="0"/>
          <w:sz w:val="24"/>
          <w:szCs w:val="24"/>
          <w14:ligatures w14:val="none"/>
        </w:rPr>
        <w:t xml:space="preserve">. https://doi.org/10.30890/2709-1783.2024-32-00-020 </w:t>
      </w:r>
    </w:p>
    <w:p w14:paraId="02F71B47" w14:textId="77777777" w:rsidR="00B44B71" w:rsidRPr="00B44B71" w:rsidRDefault="00B44B71" w:rsidP="00023291">
      <w:pPr>
        <w:shd w:val="clear" w:color="auto" w:fill="FFFFFF"/>
        <w:tabs>
          <w:tab w:val="left" w:pos="9638"/>
        </w:tabs>
        <w:spacing w:after="0" w:line="240" w:lineRule="auto"/>
        <w:ind w:firstLine="709"/>
        <w:contextualSpacing/>
        <w:mirrorIndents/>
        <w:jc w:val="center"/>
        <w:rPr>
          <w:rFonts w:ascii="Times New Roman" w:eastAsia="Times New Roman" w:hAnsi="Times New Roman" w:cs="Times New Roman"/>
          <w:b/>
          <w:spacing w:val="-4"/>
          <w:kern w:val="0"/>
          <w:sz w:val="24"/>
          <w:szCs w:val="24"/>
          <w14:ligatures w14:val="none"/>
        </w:rPr>
      </w:pPr>
      <w:r w:rsidRPr="00B44B71">
        <w:rPr>
          <w:rFonts w:ascii="Times New Roman" w:eastAsia="Times New Roman" w:hAnsi="Times New Roman" w:cs="Times New Roman"/>
          <w:b/>
          <w:spacing w:val="-4"/>
          <w:kern w:val="0"/>
          <w:sz w:val="24"/>
          <w:szCs w:val="24"/>
          <w14:ligatures w14:val="none"/>
        </w:rPr>
        <w:t>REFERENCES</w:t>
      </w:r>
    </w:p>
    <w:p w14:paraId="5CDE26F1" w14:textId="77777777" w:rsidR="00B44B71" w:rsidRPr="00B44B71" w:rsidRDefault="00B44B71" w:rsidP="00023291">
      <w:pPr>
        <w:tabs>
          <w:tab w:val="left" w:pos="851"/>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lang w:val="uk-UA"/>
          <w14:ligatures w14:val="none"/>
        </w:rPr>
        <w:t xml:space="preserve">Boychuk, Y., Novikova, V., &amp; Opanasenko, Y. (2022). Pedagogical conditions for blended learning technologies. https://doi.org/10.18662/rrem/14.3/596 </w:t>
      </w:r>
    </w:p>
    <w:p w14:paraId="5188D593" w14:textId="77777777" w:rsidR="00B44B71" w:rsidRPr="00B44B71" w:rsidRDefault="00B44B71" w:rsidP="00023291">
      <w:pPr>
        <w:tabs>
          <w:tab w:val="left" w:pos="851"/>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14:ligatures w14:val="none"/>
        </w:rPr>
        <w:t xml:space="preserve">Bykov V.Yu. (2023) Revitalizing education through the integration of cloud technologies. </w:t>
      </w:r>
      <w:r w:rsidRPr="00B44B71">
        <w:rPr>
          <w:rFonts w:ascii="Times New Roman" w:eastAsia="Times New Roman" w:hAnsi="Times New Roman" w:cs="Times New Roman"/>
          <w:i/>
          <w:iCs/>
          <w:noProof/>
          <w:spacing w:val="-8"/>
          <w:kern w:val="0"/>
          <w:sz w:val="24"/>
          <w:szCs w:val="24"/>
          <w14:ligatures w14:val="none"/>
        </w:rPr>
        <w:t>Educational Dimension.</w:t>
      </w:r>
      <w:r w:rsidRPr="00B44B71">
        <w:rPr>
          <w:rFonts w:ascii="Times New Roman" w:eastAsia="Times New Roman" w:hAnsi="Times New Roman" w:cs="Times New Roman"/>
          <w:noProof/>
          <w:spacing w:val="-8"/>
          <w:kern w:val="0"/>
          <w:sz w:val="24"/>
          <w:szCs w:val="24"/>
          <w14:ligatures w14:val="none"/>
        </w:rPr>
        <w:t xml:space="preserve"> 2023. 8.  143–167. </w:t>
      </w:r>
      <w:r w:rsidRPr="00B44B71">
        <w:rPr>
          <w:rFonts w:ascii="Times New Roman" w:eastAsia="Times New Roman" w:hAnsi="Times New Roman" w:cs="Times New Roman"/>
          <w:spacing w:val="-8"/>
          <w:kern w:val="0"/>
          <w:sz w:val="24"/>
          <w:szCs w:val="24"/>
          <w14:ligatures w14:val="none"/>
        </w:rPr>
        <w:t>https://doi.org//</w:t>
      </w:r>
      <w:r w:rsidRPr="00B44B71">
        <w:rPr>
          <w:rFonts w:ascii="Times New Roman" w:eastAsia="Times New Roman" w:hAnsi="Times New Roman" w:cs="Times New Roman"/>
          <w:noProof/>
          <w:spacing w:val="-8"/>
          <w:kern w:val="0"/>
          <w:sz w:val="24"/>
          <w:szCs w:val="24"/>
          <w14:ligatures w14:val="none"/>
        </w:rPr>
        <w:t xml:space="preserve"> </w:t>
      </w:r>
      <w:hyperlink r:id="rId313" w:history="1">
        <w:r w:rsidRPr="00B44B71">
          <w:rPr>
            <w:rFonts w:ascii="Times New Roman" w:eastAsia="Times New Roman" w:hAnsi="Times New Roman" w:cs="Times New Roman"/>
            <w:noProof/>
            <w:spacing w:val="-8"/>
            <w:kern w:val="0"/>
            <w:sz w:val="24"/>
            <w:szCs w:val="24"/>
            <w14:ligatures w14:val="none"/>
          </w:rPr>
          <w:t>10.31812/ed.598</w:t>
        </w:r>
      </w:hyperlink>
    </w:p>
    <w:p w14:paraId="09765A12" w14:textId="77777777" w:rsidR="00B44B71" w:rsidRPr="00B44B71" w:rsidRDefault="00B44B71" w:rsidP="00023291">
      <w:pPr>
        <w:tabs>
          <w:tab w:val="left" w:pos="851"/>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14:ligatures w14:val="none"/>
        </w:rPr>
        <w:t xml:space="preserve">Lokshyna, </w:t>
      </w:r>
      <w:r w:rsidRPr="00B44B71">
        <w:rPr>
          <w:rFonts w:ascii="Times New Roman" w:eastAsia="Times New Roman" w:hAnsi="Times New Roman" w:cs="Times New Roman"/>
          <w:noProof/>
          <w:spacing w:val="-8"/>
          <w:kern w:val="0"/>
          <w:sz w:val="24"/>
          <w:szCs w:val="24"/>
          <w:lang w:val="ru-RU"/>
          <w14:ligatures w14:val="none"/>
        </w:rPr>
        <w:t>О</w:t>
      </w:r>
      <w:r w:rsidRPr="00B44B71">
        <w:rPr>
          <w:rFonts w:ascii="Times New Roman" w:eastAsia="Times New Roman" w:hAnsi="Times New Roman" w:cs="Times New Roman"/>
          <w:noProof/>
          <w:spacing w:val="-8"/>
          <w:kern w:val="0"/>
          <w:sz w:val="24"/>
          <w:szCs w:val="24"/>
          <w14:ligatures w14:val="none"/>
        </w:rPr>
        <w:t xml:space="preserve">. </w:t>
      </w:r>
      <w:r w:rsidRPr="00B44B71">
        <w:rPr>
          <w:rFonts w:ascii="Times New Roman" w:eastAsia="Times New Roman" w:hAnsi="Times New Roman" w:cs="Times New Roman"/>
          <w:noProof/>
          <w:spacing w:val="-8"/>
          <w:kern w:val="0"/>
          <w:sz w:val="24"/>
          <w:szCs w:val="24"/>
          <w:lang w:val="ru-RU"/>
          <w14:ligatures w14:val="none"/>
        </w:rPr>
        <w:t>І</w:t>
      </w:r>
      <w:r w:rsidRPr="00B44B71">
        <w:rPr>
          <w:rFonts w:ascii="Times New Roman" w:eastAsia="Times New Roman" w:hAnsi="Times New Roman" w:cs="Times New Roman"/>
          <w:noProof/>
          <w:spacing w:val="-8"/>
          <w:kern w:val="0"/>
          <w:sz w:val="24"/>
          <w:szCs w:val="24"/>
          <w14:ligatures w14:val="none"/>
        </w:rPr>
        <w:t xml:space="preserve">. (2019). The Secondary Education Reform in Ukraine Moving to the EU Standards.   </w:t>
      </w:r>
      <w:r w:rsidRPr="00B44B71">
        <w:rPr>
          <w:rFonts w:ascii="Times New Roman" w:eastAsia="Times New Roman" w:hAnsi="Times New Roman" w:cs="Times New Roman"/>
          <w:i/>
          <w:iCs/>
          <w:noProof/>
          <w:spacing w:val="-8"/>
          <w:kern w:val="0"/>
          <w:sz w:val="24"/>
          <w:szCs w:val="24"/>
          <w14:ligatures w14:val="none"/>
        </w:rPr>
        <w:t>Paedagogia – Psychologia</w:t>
      </w:r>
      <w:r w:rsidRPr="00B44B71">
        <w:rPr>
          <w:rFonts w:ascii="Times New Roman" w:eastAsia="Times New Roman" w:hAnsi="Times New Roman" w:cs="Times New Roman"/>
          <w:noProof/>
          <w:spacing w:val="-8"/>
          <w:kern w:val="0"/>
          <w:sz w:val="24"/>
          <w:szCs w:val="24"/>
          <w14:ligatures w14:val="none"/>
        </w:rPr>
        <w:t>. 2019.  32, (1). 99–110.</w:t>
      </w:r>
    </w:p>
    <w:p w14:paraId="1C6A2D12" w14:textId="77777777" w:rsidR="00B44B71" w:rsidRPr="00B44B71" w:rsidRDefault="00B44B71" w:rsidP="00023291">
      <w:pPr>
        <w:tabs>
          <w:tab w:val="left" w:pos="851"/>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14:ligatures w14:val="none"/>
        </w:rPr>
        <w:t xml:space="preserve">Supreme Headquarters Allied Powers Europe, &amp; Headquarters Supreme Allied Commander Transformation. (2015, September 10). </w:t>
      </w:r>
      <w:r w:rsidRPr="00B44B71">
        <w:rPr>
          <w:rFonts w:ascii="Times New Roman" w:eastAsia="Times New Roman" w:hAnsi="Times New Roman" w:cs="Times New Roman"/>
          <w:i/>
          <w:iCs/>
          <w:noProof/>
          <w:spacing w:val="-8"/>
          <w:kern w:val="0"/>
          <w:sz w:val="24"/>
          <w:szCs w:val="24"/>
          <w14:ligatures w14:val="none"/>
        </w:rPr>
        <w:t>Bi-Strategic Command Education and Individual Training Directive (E&amp;ITD) 075–007</w:t>
      </w:r>
      <w:r w:rsidRPr="00B44B71">
        <w:rPr>
          <w:rFonts w:ascii="Times New Roman" w:eastAsia="Times New Roman" w:hAnsi="Times New Roman" w:cs="Times New Roman"/>
          <w:noProof/>
          <w:spacing w:val="-8"/>
          <w:kern w:val="0"/>
          <w:sz w:val="24"/>
          <w:szCs w:val="24"/>
          <w14:ligatures w14:val="none"/>
        </w:rPr>
        <w:t xml:space="preserve">. </w:t>
      </w:r>
      <w:hyperlink r:id="rId314" w:tgtFrame="_new" w:history="1">
        <w:r w:rsidRPr="003C3582">
          <w:rPr>
            <w:rFonts w:ascii="Times New Roman" w:eastAsia="Times New Roman" w:hAnsi="Times New Roman" w:cs="Times New Roman"/>
            <w:noProof/>
            <w:color w:val="0000FF"/>
            <w:spacing w:val="-8"/>
            <w:kern w:val="0"/>
            <w:sz w:val="24"/>
            <w:szCs w:val="24"/>
            <w:u w:val="single"/>
            <w14:ligatures w14:val="none"/>
          </w:rPr>
          <w:t>https</w:t>
        </w:r>
        <w:r w:rsidRPr="00B44B71">
          <w:rPr>
            <w:rFonts w:ascii="Times New Roman" w:eastAsia="Times New Roman" w:hAnsi="Times New Roman" w:cs="Times New Roman"/>
            <w:noProof/>
            <w:color w:val="0000FF"/>
            <w:spacing w:val="-8"/>
            <w:kern w:val="0"/>
            <w:sz w:val="24"/>
            <w:szCs w:val="24"/>
            <w:u w:val="single"/>
            <w:lang w:val="uk-UA"/>
            <w14:ligatures w14:val="none"/>
          </w:rPr>
          <w:t>://</w:t>
        </w:r>
        <w:r w:rsidRPr="003C3582">
          <w:rPr>
            <w:rFonts w:ascii="Times New Roman" w:eastAsia="Times New Roman" w:hAnsi="Times New Roman" w:cs="Times New Roman"/>
            <w:noProof/>
            <w:color w:val="0000FF"/>
            <w:spacing w:val="-8"/>
            <w:kern w:val="0"/>
            <w:sz w:val="24"/>
            <w:szCs w:val="24"/>
            <w:u w:val="single"/>
            <w14:ligatures w14:val="none"/>
          </w:rPr>
          <w:t>hups</w:t>
        </w:r>
        <w:r w:rsidRPr="00B44B71">
          <w:rPr>
            <w:rFonts w:ascii="Times New Roman" w:eastAsia="Times New Roman" w:hAnsi="Times New Roman" w:cs="Times New Roman"/>
            <w:noProof/>
            <w:color w:val="0000FF"/>
            <w:spacing w:val="-8"/>
            <w:kern w:val="0"/>
            <w:sz w:val="24"/>
            <w:szCs w:val="24"/>
            <w:u w:val="single"/>
            <w:lang w:val="uk-UA"/>
            <w14:ligatures w14:val="none"/>
          </w:rPr>
          <w:t>.</w:t>
        </w:r>
        <w:r w:rsidRPr="003C3582">
          <w:rPr>
            <w:rFonts w:ascii="Times New Roman" w:eastAsia="Times New Roman" w:hAnsi="Times New Roman" w:cs="Times New Roman"/>
            <w:noProof/>
            <w:color w:val="0000FF"/>
            <w:spacing w:val="-8"/>
            <w:kern w:val="0"/>
            <w:sz w:val="24"/>
            <w:szCs w:val="24"/>
            <w:u w:val="single"/>
            <w14:ligatures w14:val="none"/>
          </w:rPr>
          <w:t>mil</w:t>
        </w:r>
        <w:r w:rsidRPr="00B44B71">
          <w:rPr>
            <w:rFonts w:ascii="Times New Roman" w:eastAsia="Times New Roman" w:hAnsi="Times New Roman" w:cs="Times New Roman"/>
            <w:noProof/>
            <w:color w:val="0000FF"/>
            <w:spacing w:val="-8"/>
            <w:kern w:val="0"/>
            <w:sz w:val="24"/>
            <w:szCs w:val="24"/>
            <w:u w:val="single"/>
            <w:lang w:val="uk-UA"/>
            <w14:ligatures w14:val="none"/>
          </w:rPr>
          <w:t>.</w:t>
        </w:r>
        <w:r w:rsidRPr="003C3582">
          <w:rPr>
            <w:rFonts w:ascii="Times New Roman" w:eastAsia="Times New Roman" w:hAnsi="Times New Roman" w:cs="Times New Roman"/>
            <w:noProof/>
            <w:color w:val="0000FF"/>
            <w:spacing w:val="-8"/>
            <w:kern w:val="0"/>
            <w:sz w:val="24"/>
            <w:szCs w:val="24"/>
            <w:u w:val="single"/>
            <w14:ligatures w14:val="none"/>
          </w:rPr>
          <w:t>gov</w:t>
        </w:r>
        <w:r w:rsidRPr="00B44B71">
          <w:rPr>
            <w:rFonts w:ascii="Times New Roman" w:eastAsia="Times New Roman" w:hAnsi="Times New Roman" w:cs="Times New Roman"/>
            <w:noProof/>
            <w:color w:val="0000FF"/>
            <w:spacing w:val="-8"/>
            <w:kern w:val="0"/>
            <w:sz w:val="24"/>
            <w:szCs w:val="24"/>
            <w:u w:val="single"/>
            <w:lang w:val="uk-UA"/>
            <w14:ligatures w14:val="none"/>
          </w:rPr>
          <w:t>.</w:t>
        </w:r>
        <w:r w:rsidRPr="003C3582">
          <w:rPr>
            <w:rFonts w:ascii="Times New Roman" w:eastAsia="Times New Roman" w:hAnsi="Times New Roman" w:cs="Times New Roman"/>
            <w:noProof/>
            <w:color w:val="0000FF"/>
            <w:spacing w:val="-8"/>
            <w:kern w:val="0"/>
            <w:sz w:val="24"/>
            <w:szCs w:val="24"/>
            <w:u w:val="single"/>
            <w14:ligatures w14:val="none"/>
          </w:rPr>
          <w:t>ua</w:t>
        </w:r>
        <w:r w:rsidRPr="00B44B71">
          <w:rPr>
            <w:rFonts w:ascii="Times New Roman" w:eastAsia="Times New Roman" w:hAnsi="Times New Roman" w:cs="Times New Roman"/>
            <w:noProof/>
            <w:color w:val="0000FF"/>
            <w:spacing w:val="-8"/>
            <w:kern w:val="0"/>
            <w:sz w:val="24"/>
            <w:szCs w:val="24"/>
            <w:u w:val="single"/>
            <w:lang w:val="uk-UA"/>
            <w14:ligatures w14:val="none"/>
          </w:rPr>
          <w:t>/</w:t>
        </w:r>
        <w:r w:rsidRPr="003C3582">
          <w:rPr>
            <w:rFonts w:ascii="Times New Roman" w:eastAsia="Times New Roman" w:hAnsi="Times New Roman" w:cs="Times New Roman"/>
            <w:noProof/>
            <w:color w:val="0000FF"/>
            <w:spacing w:val="-8"/>
            <w:kern w:val="0"/>
            <w:sz w:val="24"/>
            <w:szCs w:val="24"/>
            <w:u w:val="single"/>
            <w14:ligatures w14:val="none"/>
          </w:rPr>
          <w:t>wp</w:t>
        </w:r>
        <w:r w:rsidRPr="00B44B71">
          <w:rPr>
            <w:rFonts w:ascii="Times New Roman" w:eastAsia="Times New Roman" w:hAnsi="Times New Roman" w:cs="Times New Roman"/>
            <w:noProof/>
            <w:color w:val="0000FF"/>
            <w:spacing w:val="-8"/>
            <w:kern w:val="0"/>
            <w:sz w:val="24"/>
            <w:szCs w:val="24"/>
            <w:u w:val="single"/>
            <w:lang w:val="uk-UA"/>
            <w14:ligatures w14:val="none"/>
          </w:rPr>
          <w:t>-</w:t>
        </w:r>
        <w:r w:rsidRPr="003C3582">
          <w:rPr>
            <w:rFonts w:ascii="Times New Roman" w:eastAsia="Times New Roman" w:hAnsi="Times New Roman" w:cs="Times New Roman"/>
            <w:noProof/>
            <w:color w:val="0000FF"/>
            <w:spacing w:val="-8"/>
            <w:kern w:val="0"/>
            <w:sz w:val="24"/>
            <w:szCs w:val="24"/>
            <w:u w:val="single"/>
            <w14:ligatures w14:val="none"/>
          </w:rPr>
          <w:t>content</w:t>
        </w:r>
        <w:r w:rsidRPr="00B44B71">
          <w:rPr>
            <w:rFonts w:ascii="Times New Roman" w:eastAsia="Times New Roman" w:hAnsi="Times New Roman" w:cs="Times New Roman"/>
            <w:noProof/>
            <w:color w:val="0000FF"/>
            <w:spacing w:val="-8"/>
            <w:kern w:val="0"/>
            <w:sz w:val="24"/>
            <w:szCs w:val="24"/>
            <w:u w:val="single"/>
            <w:lang w:val="uk-UA"/>
            <w14:ligatures w14:val="none"/>
          </w:rPr>
          <w:t>/</w:t>
        </w:r>
        <w:r w:rsidRPr="003C3582">
          <w:rPr>
            <w:rFonts w:ascii="Times New Roman" w:eastAsia="Times New Roman" w:hAnsi="Times New Roman" w:cs="Times New Roman"/>
            <w:noProof/>
            <w:color w:val="0000FF"/>
            <w:spacing w:val="-8"/>
            <w:kern w:val="0"/>
            <w:sz w:val="24"/>
            <w:szCs w:val="24"/>
            <w:u w:val="single"/>
            <w14:ligatures w14:val="none"/>
          </w:rPr>
          <w:t>uploads</w:t>
        </w:r>
        <w:r w:rsidRPr="00B44B71">
          <w:rPr>
            <w:rFonts w:ascii="Times New Roman" w:eastAsia="Times New Roman" w:hAnsi="Times New Roman" w:cs="Times New Roman"/>
            <w:noProof/>
            <w:color w:val="0000FF"/>
            <w:spacing w:val="-8"/>
            <w:kern w:val="0"/>
            <w:sz w:val="24"/>
            <w:szCs w:val="24"/>
            <w:u w:val="single"/>
            <w:lang w:val="uk-UA"/>
            <w14:ligatures w14:val="none"/>
          </w:rPr>
          <w:t>/</w:t>
        </w:r>
        <w:r w:rsidRPr="003C3582">
          <w:rPr>
            <w:rFonts w:ascii="Times New Roman" w:eastAsia="Times New Roman" w:hAnsi="Times New Roman" w:cs="Times New Roman"/>
            <w:noProof/>
            <w:color w:val="0000FF"/>
            <w:spacing w:val="-8"/>
            <w:kern w:val="0"/>
            <w:sz w:val="24"/>
            <w:szCs w:val="24"/>
            <w:u w:val="single"/>
            <w14:ligatures w14:val="none"/>
          </w:rPr>
          <w:t>admission</w:t>
        </w:r>
        <w:r w:rsidRPr="00B44B71">
          <w:rPr>
            <w:rFonts w:ascii="Times New Roman" w:eastAsia="Times New Roman" w:hAnsi="Times New Roman" w:cs="Times New Roman"/>
            <w:noProof/>
            <w:color w:val="0000FF"/>
            <w:spacing w:val="-8"/>
            <w:kern w:val="0"/>
            <w:sz w:val="24"/>
            <w:szCs w:val="24"/>
            <w:u w:val="single"/>
            <w:lang w:val="uk-UA"/>
            <w14:ligatures w14:val="none"/>
          </w:rPr>
          <w:t>-</w:t>
        </w:r>
        <w:r w:rsidRPr="003C3582">
          <w:rPr>
            <w:rFonts w:ascii="Times New Roman" w:eastAsia="Times New Roman" w:hAnsi="Times New Roman" w:cs="Times New Roman"/>
            <w:noProof/>
            <w:color w:val="0000FF"/>
            <w:spacing w:val="-8"/>
            <w:kern w:val="0"/>
            <w:sz w:val="24"/>
            <w:szCs w:val="24"/>
            <w:u w:val="single"/>
            <w14:ligatures w14:val="none"/>
          </w:rPr>
          <w:t>university</w:t>
        </w:r>
        <w:r w:rsidRPr="00B44B71">
          <w:rPr>
            <w:rFonts w:ascii="Times New Roman" w:eastAsia="Times New Roman" w:hAnsi="Times New Roman" w:cs="Times New Roman"/>
            <w:noProof/>
            <w:color w:val="0000FF"/>
            <w:spacing w:val="-8"/>
            <w:kern w:val="0"/>
            <w:sz w:val="24"/>
            <w:szCs w:val="24"/>
            <w:u w:val="single"/>
            <w:lang w:val="uk-UA"/>
            <w14:ligatures w14:val="none"/>
          </w:rPr>
          <w:t>/</w:t>
        </w:r>
        <w:r w:rsidRPr="003C3582">
          <w:rPr>
            <w:rFonts w:ascii="Times New Roman" w:eastAsia="Times New Roman" w:hAnsi="Times New Roman" w:cs="Times New Roman"/>
            <w:noProof/>
            <w:color w:val="0000FF"/>
            <w:spacing w:val="-8"/>
            <w:kern w:val="0"/>
            <w:sz w:val="24"/>
            <w:szCs w:val="24"/>
            <w:u w:val="single"/>
            <w14:ligatures w14:val="none"/>
          </w:rPr>
          <w:t>osvita</w:t>
        </w:r>
        <w:r w:rsidRPr="00B44B71">
          <w:rPr>
            <w:rFonts w:ascii="Times New Roman" w:eastAsia="Times New Roman" w:hAnsi="Times New Roman" w:cs="Times New Roman"/>
            <w:noProof/>
            <w:color w:val="0000FF"/>
            <w:spacing w:val="-8"/>
            <w:kern w:val="0"/>
            <w:sz w:val="24"/>
            <w:szCs w:val="24"/>
            <w:u w:val="single"/>
            <w:lang w:val="uk-UA"/>
            <w14:ligatures w14:val="none"/>
          </w:rPr>
          <w:t>/</w:t>
        </w:r>
        <w:r w:rsidRPr="003C3582">
          <w:rPr>
            <w:rFonts w:ascii="Times New Roman" w:eastAsia="Times New Roman" w:hAnsi="Times New Roman" w:cs="Times New Roman"/>
            <w:noProof/>
            <w:color w:val="0000FF"/>
            <w:spacing w:val="-8"/>
            <w:kern w:val="0"/>
            <w:sz w:val="24"/>
            <w:szCs w:val="24"/>
            <w:u w:val="single"/>
            <w14:ligatures w14:val="none"/>
          </w:rPr>
          <w:t>Bi</w:t>
        </w:r>
        <w:r w:rsidRPr="00B44B71">
          <w:rPr>
            <w:rFonts w:ascii="Times New Roman" w:eastAsia="Times New Roman" w:hAnsi="Times New Roman" w:cs="Times New Roman"/>
            <w:noProof/>
            <w:color w:val="0000FF"/>
            <w:spacing w:val="-8"/>
            <w:kern w:val="0"/>
            <w:sz w:val="24"/>
            <w:szCs w:val="24"/>
            <w:u w:val="single"/>
            <w:lang w:val="uk-UA"/>
            <w14:ligatures w14:val="none"/>
          </w:rPr>
          <w:t>-</w:t>
        </w:r>
        <w:r w:rsidRPr="003C3582">
          <w:rPr>
            <w:rFonts w:ascii="Times New Roman" w:eastAsia="Times New Roman" w:hAnsi="Times New Roman" w:cs="Times New Roman"/>
            <w:noProof/>
            <w:color w:val="0000FF"/>
            <w:spacing w:val="-8"/>
            <w:kern w:val="0"/>
            <w:sz w:val="24"/>
            <w:szCs w:val="24"/>
            <w:u w:val="single"/>
            <w14:ligatures w14:val="none"/>
          </w:rPr>
          <w:t>SC</w:t>
        </w:r>
        <w:r w:rsidRPr="00B44B71">
          <w:rPr>
            <w:rFonts w:ascii="Times New Roman" w:eastAsia="Times New Roman" w:hAnsi="Times New Roman" w:cs="Times New Roman"/>
            <w:noProof/>
            <w:color w:val="0000FF"/>
            <w:spacing w:val="-8"/>
            <w:kern w:val="0"/>
            <w:sz w:val="24"/>
            <w:szCs w:val="24"/>
            <w:u w:val="single"/>
            <w:lang w:val="uk-UA"/>
            <w14:ligatures w14:val="none"/>
          </w:rPr>
          <w:t>075-007</w:t>
        </w:r>
        <w:r w:rsidRPr="003C3582">
          <w:rPr>
            <w:rFonts w:ascii="Times New Roman" w:eastAsia="Times New Roman" w:hAnsi="Times New Roman" w:cs="Times New Roman"/>
            <w:noProof/>
            <w:color w:val="0000FF"/>
            <w:spacing w:val="-8"/>
            <w:kern w:val="0"/>
            <w:sz w:val="24"/>
            <w:szCs w:val="24"/>
            <w:u w:val="single"/>
            <w14:ligatures w14:val="none"/>
          </w:rPr>
          <w:t>ENG</w:t>
        </w:r>
        <w:r w:rsidRPr="00B44B71">
          <w:rPr>
            <w:rFonts w:ascii="Times New Roman" w:eastAsia="Times New Roman" w:hAnsi="Times New Roman" w:cs="Times New Roman"/>
            <w:noProof/>
            <w:color w:val="0000FF"/>
            <w:spacing w:val="-8"/>
            <w:kern w:val="0"/>
            <w:sz w:val="24"/>
            <w:szCs w:val="24"/>
            <w:u w:val="single"/>
            <w:lang w:val="uk-UA"/>
            <w14:ligatures w14:val="none"/>
          </w:rPr>
          <w:t>.</w:t>
        </w:r>
        <w:r w:rsidRPr="003C3582">
          <w:rPr>
            <w:rFonts w:ascii="Times New Roman" w:eastAsia="Times New Roman" w:hAnsi="Times New Roman" w:cs="Times New Roman"/>
            <w:noProof/>
            <w:color w:val="0000FF"/>
            <w:spacing w:val="-8"/>
            <w:kern w:val="0"/>
            <w:sz w:val="24"/>
            <w:szCs w:val="24"/>
            <w:u w:val="single"/>
            <w14:ligatures w14:val="none"/>
          </w:rPr>
          <w:t>pdf</w:t>
        </w:r>
      </w:hyperlink>
    </w:p>
    <w:p w14:paraId="304FDEC9" w14:textId="77777777" w:rsidR="00B44B71" w:rsidRPr="00B44B71" w:rsidRDefault="00B44B71" w:rsidP="00023291">
      <w:pPr>
        <w:tabs>
          <w:tab w:val="left" w:pos="851"/>
          <w:tab w:val="left" w:pos="9638"/>
        </w:tabs>
        <w:spacing w:after="0" w:line="240" w:lineRule="auto"/>
        <w:ind w:firstLine="709"/>
        <w:jc w:val="both"/>
        <w:rPr>
          <w:rFonts w:ascii="Times New Roman" w:eastAsia="Times New Roman" w:hAnsi="Times New Roman" w:cs="Times New Roman"/>
          <w:noProof/>
          <w:spacing w:val="-8"/>
          <w:kern w:val="0"/>
          <w:sz w:val="24"/>
          <w:szCs w:val="24"/>
          <w14:ligatures w14:val="none"/>
        </w:rPr>
      </w:pPr>
      <w:r w:rsidRPr="00B44B71">
        <w:rPr>
          <w:rFonts w:ascii="Times New Roman" w:eastAsia="Times New Roman" w:hAnsi="Times New Roman" w:cs="Times New Roman"/>
          <w:noProof/>
          <w:spacing w:val="-8"/>
          <w:kern w:val="0"/>
          <w:sz w:val="24"/>
          <w:szCs w:val="24"/>
          <w:lang w:val="uk-UA"/>
          <w14:ligatures w14:val="none"/>
        </w:rPr>
        <w:t>Yaremchuk, N. (2021). Peculiarities of individual educational trajectory formation in distance learning.</w:t>
      </w:r>
      <w:r w:rsidRPr="00B44B71">
        <w:rPr>
          <w:rFonts w:ascii="Times New Roman" w:eastAsia="Times New Roman" w:hAnsi="Times New Roman" w:cs="Times New Roman"/>
          <w:noProof/>
          <w:spacing w:val="-8"/>
          <w:kern w:val="0"/>
          <w:sz w:val="24"/>
          <w:szCs w:val="24"/>
          <w:lang w:val="uk-UA"/>
          <w14:ligatures w14:val="none"/>
        </w:rPr>
        <w:br/>
        <w:t xml:space="preserve">https://doi.org/10.28925/1609-8595.2021.4.7 </w:t>
      </w:r>
    </w:p>
    <w:p w14:paraId="0322974B" w14:textId="77777777" w:rsidR="00B44B71" w:rsidRPr="00B44B71" w:rsidRDefault="00B44B71" w:rsidP="00023291">
      <w:pPr>
        <w:tabs>
          <w:tab w:val="left" w:pos="851"/>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lang w:val="uk-UA"/>
          <w14:ligatures w14:val="none"/>
        </w:rPr>
        <w:t xml:space="preserve">Baidatska, N. M. (2019). Indyvidualna osvitnia traiektoriia zdobuvacha osvity yak instrument personalizatsii navchannia [Individual educational trajectory of a learner as a tool for personalization of learning]. </w:t>
      </w:r>
      <w:r w:rsidRPr="00B44B71">
        <w:rPr>
          <w:rFonts w:ascii="Times New Roman" w:eastAsia="Times New Roman" w:hAnsi="Times New Roman" w:cs="Times New Roman"/>
          <w:i/>
          <w:iCs/>
          <w:noProof/>
          <w:spacing w:val="-8"/>
          <w:kern w:val="0"/>
          <w:sz w:val="24"/>
          <w:szCs w:val="24"/>
          <w:lang w:val="uk-UA"/>
          <w14:ligatures w14:val="none"/>
        </w:rPr>
        <w:t>Pedahohichni nauky</w:t>
      </w:r>
      <w:r w:rsidRPr="00B44B71">
        <w:rPr>
          <w:rFonts w:ascii="Times New Roman" w:eastAsia="Times New Roman" w:hAnsi="Times New Roman" w:cs="Times New Roman"/>
          <w:noProof/>
          <w:spacing w:val="-8"/>
          <w:kern w:val="0"/>
          <w:sz w:val="24"/>
          <w:szCs w:val="24"/>
          <w:lang w:val="uk-UA"/>
          <w14:ligatures w14:val="none"/>
        </w:rPr>
        <w:t xml:space="preserve">. 2019. 88(2). 45–52. </w:t>
      </w:r>
      <w:r w:rsidRPr="00B44B71">
        <w:rPr>
          <w:rFonts w:ascii="Times New Roman" w:eastAsia="Times New Roman" w:hAnsi="Times New Roman" w:cs="Times New Roman"/>
          <w:noProof/>
          <w:spacing w:val="-8"/>
          <w:kern w:val="0"/>
          <w:sz w:val="24"/>
          <w:szCs w:val="24"/>
          <w14:ligatures w14:val="none"/>
        </w:rPr>
        <w:t>[in Ukrainian].</w:t>
      </w:r>
    </w:p>
    <w:p w14:paraId="6112DCA7" w14:textId="77777777" w:rsidR="00B44B71" w:rsidRPr="00B44B71" w:rsidRDefault="00B44B71" w:rsidP="00023291">
      <w:pPr>
        <w:tabs>
          <w:tab w:val="left" w:pos="851"/>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lang w:val="uk-UA"/>
          <w14:ligatures w14:val="none"/>
        </w:rPr>
        <w:t xml:space="preserve">Bibik, N. M. (2017). Kompetentnisnyi pidkhid u suchasnii osviti: svitovyi dosvid ta ukrainski perspektyvy [Competence-based approach in modern education: world experience and Ukrainian perspectives]. Kyiv: K.I.S. </w:t>
      </w:r>
      <w:r w:rsidRPr="00B44B71">
        <w:rPr>
          <w:rFonts w:ascii="Times New Roman" w:eastAsia="Times New Roman" w:hAnsi="Times New Roman" w:cs="Times New Roman"/>
          <w:noProof/>
          <w:spacing w:val="-8"/>
          <w:kern w:val="0"/>
          <w:sz w:val="24"/>
          <w:szCs w:val="24"/>
          <w14:ligatures w14:val="none"/>
        </w:rPr>
        <w:t>[in Ukrainian].</w:t>
      </w:r>
    </w:p>
    <w:p w14:paraId="2BA7ECA8" w14:textId="77777777" w:rsidR="00B44B71" w:rsidRPr="00B44B71" w:rsidRDefault="00B44B71" w:rsidP="00023291">
      <w:pPr>
        <w:tabs>
          <w:tab w:val="left" w:pos="851"/>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lang w:val="uk-UA"/>
          <w14:ligatures w14:val="none"/>
        </w:rPr>
        <w:t xml:space="preserve">Burdina, S. V. (2020). Vykorystannia zmishanoho navchannia u pidhotovtsi maibutnikh fakhivtsiv [Use of blended learning in the training of future specialists]. </w:t>
      </w:r>
      <w:r w:rsidRPr="00B44B71">
        <w:rPr>
          <w:rFonts w:ascii="Times New Roman" w:eastAsia="Times New Roman" w:hAnsi="Times New Roman" w:cs="Times New Roman"/>
          <w:i/>
          <w:iCs/>
          <w:noProof/>
          <w:spacing w:val="-8"/>
          <w:kern w:val="0"/>
          <w:sz w:val="24"/>
          <w:szCs w:val="24"/>
          <w:lang w:val="uk-UA"/>
          <w14:ligatures w14:val="none"/>
        </w:rPr>
        <w:t>Informatsiini tekhnolohii i zasoby navchannia</w:t>
      </w:r>
      <w:r w:rsidRPr="00B44B71">
        <w:rPr>
          <w:rFonts w:ascii="Times New Roman" w:eastAsia="Times New Roman" w:hAnsi="Times New Roman" w:cs="Times New Roman"/>
          <w:noProof/>
          <w:spacing w:val="-8"/>
          <w:kern w:val="0"/>
          <w:sz w:val="24"/>
          <w:szCs w:val="24"/>
          <w:lang w:val="uk-UA"/>
          <w14:ligatures w14:val="none"/>
        </w:rPr>
        <w:t xml:space="preserve">. 2020. 76(2). 15–25. DOI: </w:t>
      </w:r>
      <w:hyperlink r:id="rId315" w:tgtFrame="_new" w:history="1">
        <w:r w:rsidRPr="00B44B71">
          <w:rPr>
            <w:rFonts w:ascii="Times New Roman" w:eastAsia="Times New Roman" w:hAnsi="Times New Roman" w:cs="Times New Roman"/>
            <w:noProof/>
            <w:color w:val="0000FF"/>
            <w:spacing w:val="-8"/>
            <w:kern w:val="0"/>
            <w:sz w:val="24"/>
            <w:szCs w:val="24"/>
            <w:u w:val="single"/>
            <w:lang w:val="uk-UA"/>
            <w14:ligatures w14:val="none"/>
          </w:rPr>
          <w:t>https://doi.org/10.33407/itlt.v76i2.3220</w:t>
        </w:r>
      </w:hyperlink>
    </w:p>
    <w:p w14:paraId="642EA86B" w14:textId="77777777" w:rsidR="00B44B71" w:rsidRPr="00B44B71" w:rsidRDefault="00B44B71" w:rsidP="00023291">
      <w:pPr>
        <w:tabs>
          <w:tab w:val="left" w:pos="851"/>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lang w:val="uk-UA"/>
          <w14:ligatures w14:val="none"/>
        </w:rPr>
        <w:lastRenderedPageBreak/>
        <w:t xml:space="preserve">Velychko, L. P. (2015). Kompetentnisnyi pidkhid u navchanni pryrodnychykh dystsyplin [Competence-based approach in teaching natural sciences]. Kyiv: Pedahohichna dumka. </w:t>
      </w:r>
      <w:r w:rsidRPr="00B44B71">
        <w:rPr>
          <w:rFonts w:ascii="Times New Roman" w:eastAsia="Times New Roman" w:hAnsi="Times New Roman" w:cs="Times New Roman"/>
          <w:noProof/>
          <w:spacing w:val="-8"/>
          <w:kern w:val="0"/>
          <w:sz w:val="24"/>
          <w:szCs w:val="24"/>
          <w14:ligatures w14:val="none"/>
        </w:rPr>
        <w:t>[in Ukrainian].</w:t>
      </w:r>
    </w:p>
    <w:p w14:paraId="6D000455" w14:textId="77777777" w:rsidR="00B44B71" w:rsidRPr="00B44B71" w:rsidRDefault="00B44B71" w:rsidP="00023291">
      <w:pPr>
        <w:tabs>
          <w:tab w:val="left" w:pos="851"/>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lang w:val="uk-UA"/>
          <w14:ligatures w14:val="none"/>
        </w:rPr>
        <w:t xml:space="preserve">Hrabovyi, A. K. (2018). Indyvidualizatsiia navchannia u vyshchii shkoli: teoretychni aspekty [Individualization of learning in higher education: theoretical aspects]. </w:t>
      </w:r>
      <w:r w:rsidRPr="00B44B71">
        <w:rPr>
          <w:rFonts w:ascii="Times New Roman" w:eastAsia="Times New Roman" w:hAnsi="Times New Roman" w:cs="Times New Roman"/>
          <w:i/>
          <w:iCs/>
          <w:noProof/>
          <w:spacing w:val="-8"/>
          <w:kern w:val="0"/>
          <w:sz w:val="24"/>
          <w:szCs w:val="24"/>
          <w:lang w:val="uk-UA"/>
          <w14:ligatures w14:val="none"/>
        </w:rPr>
        <w:t>Visnyk pedahohichnoi osvity</w:t>
      </w:r>
      <w:r w:rsidRPr="00B44B71">
        <w:rPr>
          <w:rFonts w:ascii="Times New Roman" w:eastAsia="Times New Roman" w:hAnsi="Times New Roman" w:cs="Times New Roman"/>
          <w:noProof/>
          <w:spacing w:val="-8"/>
          <w:kern w:val="0"/>
          <w:sz w:val="24"/>
          <w:szCs w:val="24"/>
          <w:lang w:val="uk-UA"/>
          <w14:ligatures w14:val="none"/>
        </w:rPr>
        <w:t xml:space="preserve">. 2018. 45. 34–41. </w:t>
      </w:r>
      <w:r w:rsidRPr="00B44B71">
        <w:rPr>
          <w:rFonts w:ascii="Times New Roman" w:eastAsia="Times New Roman" w:hAnsi="Times New Roman" w:cs="Times New Roman"/>
          <w:noProof/>
          <w:spacing w:val="-8"/>
          <w:kern w:val="0"/>
          <w:sz w:val="24"/>
          <w:szCs w:val="24"/>
          <w14:ligatures w14:val="none"/>
        </w:rPr>
        <w:t>[in Ukrainian].</w:t>
      </w:r>
    </w:p>
    <w:p w14:paraId="34B32D90" w14:textId="77777777" w:rsidR="00B44B71" w:rsidRPr="00B44B71" w:rsidRDefault="00B44B71" w:rsidP="00023291">
      <w:pPr>
        <w:tabs>
          <w:tab w:val="left" w:pos="851"/>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lang w:val="uk-UA"/>
          <w14:ligatures w14:val="none"/>
        </w:rPr>
        <w:t xml:space="preserve">Yermakov, I. H. (2007). Zhyttieva kompetentnist osobystosti: vid teorii do praktyky [Life competence of personality: from theory to practice]. Kyiv: Lohos. </w:t>
      </w:r>
      <w:r w:rsidRPr="00B44B71">
        <w:rPr>
          <w:rFonts w:ascii="Times New Roman" w:eastAsia="Times New Roman" w:hAnsi="Times New Roman" w:cs="Times New Roman"/>
          <w:noProof/>
          <w:spacing w:val="-8"/>
          <w:kern w:val="0"/>
          <w:sz w:val="24"/>
          <w:szCs w:val="24"/>
          <w14:ligatures w14:val="none"/>
        </w:rPr>
        <w:t>[in Ukrainian].</w:t>
      </w:r>
    </w:p>
    <w:p w14:paraId="58E7AA61" w14:textId="77777777" w:rsidR="00B44B71" w:rsidRPr="00B44B71" w:rsidRDefault="00B44B71" w:rsidP="00023291">
      <w:pPr>
        <w:tabs>
          <w:tab w:val="left" w:pos="851"/>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lang w:val="uk-UA"/>
          <w14:ligatures w14:val="none"/>
        </w:rPr>
        <w:t xml:space="preserve">Zablotska, O. S. (2014). Kompetentnisnyi pidkhid u systemi profesiinoi osvity [Competence-based approach in professional education system]. </w:t>
      </w:r>
      <w:r w:rsidRPr="00B44B71">
        <w:rPr>
          <w:rFonts w:ascii="Times New Roman" w:eastAsia="Times New Roman" w:hAnsi="Times New Roman" w:cs="Times New Roman"/>
          <w:i/>
          <w:iCs/>
          <w:noProof/>
          <w:spacing w:val="-8"/>
          <w:kern w:val="0"/>
          <w:sz w:val="24"/>
          <w:szCs w:val="24"/>
          <w:lang w:val="uk-UA"/>
          <w14:ligatures w14:val="none"/>
        </w:rPr>
        <w:t>Pedahohika i psykholohiia</w:t>
      </w:r>
      <w:r w:rsidRPr="00B44B71">
        <w:rPr>
          <w:rFonts w:ascii="Times New Roman" w:eastAsia="Times New Roman" w:hAnsi="Times New Roman" w:cs="Times New Roman"/>
          <w:noProof/>
          <w:spacing w:val="-8"/>
          <w:kern w:val="0"/>
          <w:sz w:val="24"/>
          <w:szCs w:val="24"/>
          <w:lang w:val="uk-UA"/>
          <w14:ligatures w14:val="none"/>
        </w:rPr>
        <w:t xml:space="preserve">. 2007. 3. 55–62. </w:t>
      </w:r>
      <w:r w:rsidRPr="00B44B71">
        <w:rPr>
          <w:rFonts w:ascii="Times New Roman" w:eastAsia="Times New Roman" w:hAnsi="Times New Roman" w:cs="Times New Roman"/>
          <w:noProof/>
          <w:spacing w:val="-8"/>
          <w:kern w:val="0"/>
          <w:sz w:val="24"/>
          <w:szCs w:val="24"/>
          <w14:ligatures w14:val="none"/>
        </w:rPr>
        <w:t>[in Ukrainian].</w:t>
      </w:r>
    </w:p>
    <w:p w14:paraId="4A802680" w14:textId="77777777" w:rsidR="00B44B71" w:rsidRPr="00B44B71" w:rsidRDefault="00B44B71" w:rsidP="00023291">
      <w:pPr>
        <w:tabs>
          <w:tab w:val="left" w:pos="851"/>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lang w:val="uk-UA"/>
          <w14:ligatures w14:val="none"/>
        </w:rPr>
        <w:t>Ziaziun, I. A. (2008). Filosofiia pedahohichnoi dii [Philosophy of pedagogical action]. Kyiv: Pedahohichna dumka.</w:t>
      </w:r>
      <w:r w:rsidRPr="00B44B71">
        <w:rPr>
          <w:rFonts w:ascii="Times New Roman" w:eastAsia="Times New Roman" w:hAnsi="Times New Roman" w:cs="Times New Roman"/>
          <w:kern w:val="0"/>
          <w:sz w:val="24"/>
          <w:szCs w:val="24"/>
          <w:shd w:val="clear" w:color="auto" w:fill="FFFFFF"/>
          <w14:ligatures w14:val="none"/>
        </w:rPr>
        <w:t xml:space="preserve"> </w:t>
      </w:r>
      <w:r w:rsidRPr="00B44B71">
        <w:rPr>
          <w:rFonts w:ascii="Times New Roman" w:eastAsia="Times New Roman" w:hAnsi="Times New Roman" w:cs="Times New Roman"/>
          <w:noProof/>
          <w:spacing w:val="-8"/>
          <w:kern w:val="0"/>
          <w:sz w:val="24"/>
          <w:szCs w:val="24"/>
          <w14:ligatures w14:val="none"/>
        </w:rPr>
        <w:t>[in Ukrainian].</w:t>
      </w:r>
    </w:p>
    <w:p w14:paraId="3151DF7B" w14:textId="77777777" w:rsidR="00B44B71" w:rsidRPr="00B44B71" w:rsidRDefault="00B44B71" w:rsidP="00023291">
      <w:pPr>
        <w:tabs>
          <w:tab w:val="left" w:pos="851"/>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lang w:val="uk-UA"/>
          <w14:ligatures w14:val="none"/>
        </w:rPr>
        <w:t xml:space="preserve">Morozova, N. A. (2018). Zmishane navchannia yak innovatsiina model osvitnoho protsesu [Blended learning as an innovative model of educational process]. </w:t>
      </w:r>
      <w:r w:rsidRPr="00B44B71">
        <w:rPr>
          <w:rFonts w:ascii="Times New Roman" w:eastAsia="Times New Roman" w:hAnsi="Times New Roman" w:cs="Times New Roman"/>
          <w:i/>
          <w:iCs/>
          <w:noProof/>
          <w:spacing w:val="-8"/>
          <w:kern w:val="0"/>
          <w:sz w:val="24"/>
          <w:szCs w:val="24"/>
          <w:lang w:val="uk-UA"/>
          <w14:ligatures w14:val="none"/>
        </w:rPr>
        <w:t>Osvitolohichnyi dyskurs</w:t>
      </w:r>
      <w:r w:rsidRPr="00B44B71">
        <w:rPr>
          <w:rFonts w:ascii="Times New Roman" w:eastAsia="Times New Roman" w:hAnsi="Times New Roman" w:cs="Times New Roman"/>
          <w:noProof/>
          <w:spacing w:val="-8"/>
          <w:kern w:val="0"/>
          <w:sz w:val="24"/>
          <w:szCs w:val="24"/>
          <w:lang w:val="uk-UA"/>
          <w14:ligatures w14:val="none"/>
        </w:rPr>
        <w:t xml:space="preserve">. 2018. 3(22). 89–97. </w:t>
      </w:r>
      <w:r w:rsidRPr="00B44B71">
        <w:rPr>
          <w:rFonts w:ascii="Times New Roman" w:eastAsia="Times New Roman" w:hAnsi="Times New Roman" w:cs="Times New Roman"/>
          <w:noProof/>
          <w:spacing w:val="-8"/>
          <w:kern w:val="0"/>
          <w:sz w:val="24"/>
          <w:szCs w:val="24"/>
          <w14:ligatures w14:val="none"/>
        </w:rPr>
        <w:t>[in Ukrainian].</w:t>
      </w:r>
    </w:p>
    <w:p w14:paraId="2CF74980" w14:textId="77777777" w:rsidR="00B44B71" w:rsidRPr="00B44B71" w:rsidRDefault="00B44B71" w:rsidP="00023291">
      <w:pPr>
        <w:tabs>
          <w:tab w:val="left" w:pos="851"/>
          <w:tab w:val="left" w:pos="9638"/>
        </w:tabs>
        <w:spacing w:after="0" w:line="240" w:lineRule="auto"/>
        <w:ind w:firstLine="709"/>
        <w:jc w:val="both"/>
        <w:rPr>
          <w:rFonts w:ascii="Times New Roman" w:eastAsia="Times New Roman" w:hAnsi="Times New Roman" w:cs="Times New Roman"/>
          <w:noProof/>
          <w:spacing w:val="-8"/>
          <w:kern w:val="0"/>
          <w:sz w:val="24"/>
          <w:szCs w:val="24"/>
          <w:lang w:val="uk-UA"/>
          <w14:ligatures w14:val="none"/>
        </w:rPr>
      </w:pPr>
      <w:r w:rsidRPr="00B44B71">
        <w:rPr>
          <w:rFonts w:ascii="Times New Roman" w:eastAsia="Times New Roman" w:hAnsi="Times New Roman" w:cs="Times New Roman"/>
          <w:noProof/>
          <w:spacing w:val="-8"/>
          <w:kern w:val="0"/>
          <w:sz w:val="24"/>
          <w:szCs w:val="24"/>
          <w:lang w:val="uk-UA"/>
          <w14:ligatures w14:val="none"/>
        </w:rPr>
        <w:t xml:space="preserve">Morozova, T. O. (2020). Vykorystannia tsyfrovykh tekhnolohii u zmishanomu navchanni [Use of digital technologies in blended learning]. </w:t>
      </w:r>
      <w:r w:rsidRPr="00B44B71">
        <w:rPr>
          <w:rFonts w:ascii="Times New Roman" w:eastAsia="Times New Roman" w:hAnsi="Times New Roman" w:cs="Times New Roman"/>
          <w:i/>
          <w:iCs/>
          <w:noProof/>
          <w:spacing w:val="-8"/>
          <w:kern w:val="0"/>
          <w:sz w:val="24"/>
          <w:szCs w:val="24"/>
          <w:lang w:val="uk-UA"/>
          <w14:ligatures w14:val="none"/>
        </w:rPr>
        <w:t>Informatsiini tekhnolohii v osviti</w:t>
      </w:r>
      <w:r w:rsidRPr="00B44B71">
        <w:rPr>
          <w:rFonts w:ascii="Times New Roman" w:eastAsia="Times New Roman" w:hAnsi="Times New Roman" w:cs="Times New Roman"/>
          <w:noProof/>
          <w:spacing w:val="-8"/>
          <w:kern w:val="0"/>
          <w:sz w:val="24"/>
          <w:szCs w:val="24"/>
          <w:lang w:val="uk-UA"/>
          <w14:ligatures w14:val="none"/>
        </w:rPr>
        <w:t xml:space="preserve">. 2020. 43. 78–86. </w:t>
      </w:r>
      <w:r w:rsidRPr="00B44B71">
        <w:rPr>
          <w:rFonts w:ascii="Times New Roman" w:eastAsia="Times New Roman" w:hAnsi="Times New Roman" w:cs="Times New Roman"/>
          <w:noProof/>
          <w:spacing w:val="-8"/>
          <w:kern w:val="0"/>
          <w:sz w:val="24"/>
          <w:szCs w:val="24"/>
          <w14:ligatures w14:val="none"/>
        </w:rPr>
        <w:t>[in Ukrainian].</w:t>
      </w:r>
    </w:p>
    <w:p w14:paraId="25CB88D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 xml:space="preserve">Ovcharuk, O. V. (2014). Problemy otsiniuvannia IK-kompetentnosti v systemi zahalnoi serednoi osvity [Problems of assessing ICT competence in general secondary education system]. </w:t>
      </w:r>
      <w:r w:rsidRPr="00B44B71">
        <w:rPr>
          <w:rFonts w:ascii="Times New Roman" w:eastAsia="Times New Roman" w:hAnsi="Times New Roman" w:cs="Times New Roman"/>
          <w:i/>
          <w:iCs/>
          <w:kern w:val="0"/>
          <w:sz w:val="24"/>
          <w:szCs w:val="24"/>
          <w14:ligatures w14:val="none"/>
        </w:rPr>
        <w:t>Informatsiini tekhnolohii i zasoby navchannia</w:t>
      </w:r>
      <w:r w:rsidRPr="00B44B71">
        <w:rPr>
          <w:rFonts w:ascii="Times New Roman" w:eastAsia="Times New Roman" w:hAnsi="Times New Roman" w:cs="Times New Roman"/>
          <w:kern w:val="0"/>
          <w:sz w:val="24"/>
          <w:szCs w:val="24"/>
          <w14:ligatures w14:val="none"/>
        </w:rPr>
        <w:t xml:space="preserve">. 2014. Retrieved from: </w:t>
      </w:r>
      <w:hyperlink r:id="rId316" w:tgtFrame="_new" w:history="1">
        <w:r w:rsidRPr="00B44B71">
          <w:rPr>
            <w:rFonts w:ascii="Times New Roman" w:eastAsia="Times New Roman" w:hAnsi="Times New Roman" w:cs="Times New Roman"/>
            <w:color w:val="0000FF"/>
            <w:kern w:val="0"/>
            <w:sz w:val="24"/>
            <w:szCs w:val="24"/>
            <w:u w:val="single"/>
            <w14:ligatures w14:val="none"/>
          </w:rPr>
          <w:t>https://lib.iitta.gov.ua/id/eprint/7653/1/%D0%9F%D0%A0%D0%9E%D0%91%D0%9B%D0%95%D0%9C%D0%98%20%D0%9E%D0%A6%D0%86%D0%9D%D0%AE%D0%92%D0%90%D0%9D%D0%9D%D0%AF%20%D0%9E%D0%92%D0%A7%D0%90%D0%A0%D0%A3%D0%9A.pdf</w:t>
        </w:r>
      </w:hyperlink>
    </w:p>
    <w:p w14:paraId="0C4D9C0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14:ligatures w14:val="none"/>
        </w:rPr>
        <w:t>Parashchenko, L. I. (2015). Indyvidualna osvitnia traiektoriia uchnia v umovakh kompetentnisnoho navchannia [Individual educational trajectory of a student in competence-based learning conditions]. Kyiv: Osvita.</w:t>
      </w:r>
      <w:r w:rsidRPr="00B44B71">
        <w:rPr>
          <w:rFonts w:ascii="Times New Roman" w:eastAsia="Times New Roman" w:hAnsi="Times New Roman" w:cs="Times New Roman"/>
          <w:kern w:val="0"/>
          <w:sz w:val="24"/>
          <w:szCs w:val="24"/>
          <w:lang w:val="uk-UA"/>
          <w14:ligatures w14:val="none"/>
        </w:rPr>
        <w:t xml:space="preserve"> </w:t>
      </w:r>
      <w:r w:rsidRPr="00B44B71">
        <w:rPr>
          <w:rFonts w:ascii="Times New Roman" w:eastAsia="Times New Roman" w:hAnsi="Times New Roman" w:cs="Times New Roman"/>
          <w:kern w:val="0"/>
          <w:sz w:val="24"/>
          <w:szCs w:val="24"/>
          <w14:ligatures w14:val="none"/>
        </w:rPr>
        <w:t>[in Ukrainian].</w:t>
      </w:r>
    </w:p>
    <w:p w14:paraId="1867EFBF"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14:ligatures w14:val="none"/>
        </w:rPr>
        <w:t xml:space="preserve">Petruk, V. A. (2016). Kompetentnisnyi pidkhid u pidhotovtsi fakhivtsiv tekhnichnykh spetsialnostei [Competence-based approach in training specialists of technical specialties]. </w:t>
      </w:r>
      <w:r w:rsidRPr="00B44B71">
        <w:rPr>
          <w:rFonts w:ascii="Times New Roman" w:eastAsia="Times New Roman" w:hAnsi="Times New Roman" w:cs="Times New Roman"/>
          <w:i/>
          <w:iCs/>
          <w:kern w:val="0"/>
          <w:sz w:val="24"/>
          <w:szCs w:val="24"/>
          <w14:ligatures w14:val="none"/>
        </w:rPr>
        <w:t>Problemy inzhenerno-pedahohichnoi osvity</w:t>
      </w:r>
      <w:r w:rsidRPr="00B44B71">
        <w:rPr>
          <w:rFonts w:ascii="Times New Roman" w:eastAsia="Times New Roman" w:hAnsi="Times New Roman" w:cs="Times New Roman"/>
          <w:kern w:val="0"/>
          <w:sz w:val="24"/>
          <w:szCs w:val="24"/>
          <w14:ligatures w14:val="none"/>
        </w:rPr>
        <w:t>. 2016. 52. 112–118.</w:t>
      </w:r>
      <w:r w:rsidRPr="00B44B71">
        <w:rPr>
          <w:rFonts w:ascii="Times New Roman" w:eastAsia="Times New Roman" w:hAnsi="Times New Roman" w:cs="Times New Roman"/>
          <w:kern w:val="0"/>
          <w:sz w:val="24"/>
          <w:szCs w:val="24"/>
          <w:lang w:val="uk-UA"/>
          <w14:ligatures w14:val="none"/>
        </w:rPr>
        <w:t xml:space="preserve"> </w:t>
      </w:r>
      <w:r w:rsidRPr="00B44B71">
        <w:rPr>
          <w:rFonts w:ascii="Times New Roman" w:eastAsia="Times New Roman" w:hAnsi="Times New Roman" w:cs="Times New Roman"/>
          <w:kern w:val="0"/>
          <w:sz w:val="24"/>
          <w:szCs w:val="24"/>
          <w14:ligatures w14:val="none"/>
        </w:rPr>
        <w:t>[in Ukrainian].</w:t>
      </w:r>
    </w:p>
    <w:p w14:paraId="66652A2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14:ligatures w14:val="none"/>
        </w:rPr>
        <w:t xml:space="preserve">Pometun, O. I. (2008). Kompetentnisnyi pidkhid u suchasnii istorychnii osviti [Competence-based approach in modern historical education]. </w:t>
      </w:r>
      <w:r w:rsidRPr="00B44B71">
        <w:rPr>
          <w:rFonts w:ascii="Times New Roman" w:eastAsia="Times New Roman" w:hAnsi="Times New Roman" w:cs="Times New Roman"/>
          <w:i/>
          <w:iCs/>
          <w:kern w:val="0"/>
          <w:sz w:val="24"/>
          <w:szCs w:val="24"/>
          <w14:ligatures w14:val="none"/>
        </w:rPr>
        <w:t>Pedahohichni nauky</w:t>
      </w:r>
      <w:r w:rsidRPr="00B44B71">
        <w:rPr>
          <w:rFonts w:ascii="Times New Roman" w:eastAsia="Times New Roman" w:hAnsi="Times New Roman" w:cs="Times New Roman"/>
          <w:kern w:val="0"/>
          <w:sz w:val="24"/>
          <w:szCs w:val="24"/>
          <w14:ligatures w14:val="none"/>
        </w:rPr>
        <w:t>. 2008. 50. 83–89.</w:t>
      </w:r>
      <w:r w:rsidRPr="00B44B71">
        <w:rPr>
          <w:rFonts w:ascii="Times New Roman" w:eastAsia="Times New Roman" w:hAnsi="Times New Roman" w:cs="Times New Roman"/>
          <w:kern w:val="0"/>
          <w:sz w:val="24"/>
          <w:szCs w:val="24"/>
          <w:lang w:val="uk-UA"/>
          <w14:ligatures w14:val="none"/>
        </w:rPr>
        <w:t xml:space="preserve"> </w:t>
      </w:r>
      <w:r w:rsidRPr="00B44B71">
        <w:rPr>
          <w:rFonts w:ascii="Times New Roman" w:eastAsia="Times New Roman" w:hAnsi="Times New Roman" w:cs="Times New Roman"/>
          <w:kern w:val="0"/>
          <w:sz w:val="24"/>
          <w:szCs w:val="24"/>
          <w14:ligatures w14:val="none"/>
        </w:rPr>
        <w:t>[in Ukrainian].</w:t>
      </w:r>
    </w:p>
    <w:p w14:paraId="520E399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 xml:space="preserve">Raven, J. (2002). </w:t>
      </w:r>
      <w:r w:rsidRPr="00B44B71">
        <w:rPr>
          <w:rFonts w:ascii="Times New Roman" w:eastAsia="Times New Roman" w:hAnsi="Times New Roman" w:cs="Times New Roman"/>
          <w:i/>
          <w:iCs/>
          <w:kern w:val="0"/>
          <w:sz w:val="24"/>
          <w:szCs w:val="24"/>
          <w14:ligatures w14:val="none"/>
        </w:rPr>
        <w:t>Competence in modern society: Its identification, development and release</w:t>
      </w:r>
      <w:r w:rsidRPr="00B44B71">
        <w:rPr>
          <w:rFonts w:ascii="Times New Roman" w:eastAsia="Times New Roman" w:hAnsi="Times New Roman" w:cs="Times New Roman"/>
          <w:kern w:val="0"/>
          <w:sz w:val="24"/>
          <w:szCs w:val="24"/>
          <w14:ligatures w14:val="none"/>
        </w:rPr>
        <w:t>. London: H. K. Lewis.</w:t>
      </w:r>
    </w:p>
    <w:p w14:paraId="06C4042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14:ligatures w14:val="none"/>
        </w:rPr>
        <w:t xml:space="preserve">Rakov, S. A. (2013). Kompetentnisnyi pidkhid u navchanni matematyky [Competence-based approach in teaching mathematics]. Kharkiv: Fakt. Retrieved from: </w:t>
      </w:r>
      <w:hyperlink r:id="rId317" w:tgtFrame="_new" w:history="1">
        <w:r w:rsidRPr="00B44B71">
          <w:rPr>
            <w:rFonts w:ascii="Times New Roman" w:eastAsia="Times New Roman" w:hAnsi="Times New Roman" w:cs="Times New Roman"/>
            <w:color w:val="0000FF"/>
            <w:kern w:val="0"/>
            <w:sz w:val="24"/>
            <w:szCs w:val="24"/>
            <w:u w:val="single"/>
            <w14:ligatures w14:val="none"/>
          </w:rPr>
          <w:t>https://irbis-nbuv.gov.ua/cgi-bin/irbis_nbuv/cgiirbis_64.exe</w:t>
        </w:r>
      </w:hyperlink>
    </w:p>
    <w:p w14:paraId="28E07C7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14:ligatures w14:val="none"/>
        </w:rPr>
        <w:t xml:space="preserve">Rodyhina, I. V. (2014). Kompetentnisnyi pidkhid u profesiinii osviti [Competence-based approach in professional education]. </w:t>
      </w:r>
      <w:r w:rsidRPr="00B44B71">
        <w:rPr>
          <w:rFonts w:ascii="Times New Roman" w:eastAsia="Times New Roman" w:hAnsi="Times New Roman" w:cs="Times New Roman"/>
          <w:i/>
          <w:iCs/>
          <w:kern w:val="0"/>
          <w:sz w:val="24"/>
          <w:szCs w:val="24"/>
          <w14:ligatures w14:val="none"/>
        </w:rPr>
        <w:t>Pedahohika i psykholohiia profesiinoi osvity</w:t>
      </w:r>
      <w:r w:rsidRPr="00B44B71">
        <w:rPr>
          <w:rFonts w:ascii="Times New Roman" w:eastAsia="Times New Roman" w:hAnsi="Times New Roman" w:cs="Times New Roman"/>
          <w:kern w:val="0"/>
          <w:sz w:val="24"/>
          <w:szCs w:val="24"/>
          <w14:ligatures w14:val="none"/>
        </w:rPr>
        <w:t>. 2014. 3. 22–30.</w:t>
      </w:r>
      <w:r w:rsidRPr="00B44B71">
        <w:rPr>
          <w:rFonts w:ascii="Times New Roman" w:eastAsia="Times New Roman" w:hAnsi="Times New Roman" w:cs="Times New Roman"/>
          <w:kern w:val="0"/>
          <w:sz w:val="24"/>
          <w:szCs w:val="24"/>
          <w:lang w:val="uk-UA"/>
          <w14:ligatures w14:val="none"/>
        </w:rPr>
        <w:t xml:space="preserve"> </w:t>
      </w:r>
      <w:r w:rsidRPr="00B44B71">
        <w:rPr>
          <w:rFonts w:ascii="Times New Roman" w:eastAsia="Times New Roman" w:hAnsi="Times New Roman" w:cs="Times New Roman"/>
          <w:kern w:val="0"/>
          <w:sz w:val="24"/>
          <w:szCs w:val="24"/>
          <w14:ligatures w14:val="none"/>
        </w:rPr>
        <w:t>[in Ukrainian].</w:t>
      </w:r>
    </w:p>
    <w:p w14:paraId="4714172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14:ligatures w14:val="none"/>
        </w:rPr>
        <w:t xml:space="preserve">Trubacheva, S. Ye. (2018). Indyvidualna osvitnia traiektoriia yak zasib rozvytku osobystosti [Individual educational trajectory as a means of personality development]. </w:t>
      </w:r>
      <w:r w:rsidRPr="00B44B71">
        <w:rPr>
          <w:rFonts w:ascii="Times New Roman" w:eastAsia="Times New Roman" w:hAnsi="Times New Roman" w:cs="Times New Roman"/>
          <w:i/>
          <w:iCs/>
          <w:kern w:val="0"/>
          <w:sz w:val="24"/>
          <w:szCs w:val="24"/>
          <w14:ligatures w14:val="none"/>
        </w:rPr>
        <w:t>Osvitolohichnyi dyskurs</w:t>
      </w:r>
      <w:r w:rsidRPr="00B44B71">
        <w:rPr>
          <w:rFonts w:ascii="Times New Roman" w:eastAsia="Times New Roman" w:hAnsi="Times New Roman" w:cs="Times New Roman"/>
          <w:kern w:val="0"/>
          <w:sz w:val="24"/>
          <w:szCs w:val="24"/>
          <w14:ligatures w14:val="none"/>
        </w:rPr>
        <w:t>. 2018. 1. 45–52.</w:t>
      </w:r>
      <w:r w:rsidRPr="00B44B71">
        <w:rPr>
          <w:rFonts w:ascii="Times New Roman" w:eastAsia="Times New Roman" w:hAnsi="Times New Roman" w:cs="Times New Roman"/>
          <w:kern w:val="0"/>
          <w:sz w:val="24"/>
          <w:szCs w:val="24"/>
          <w:lang w:val="uk-UA"/>
          <w14:ligatures w14:val="none"/>
        </w:rPr>
        <w:t xml:space="preserve"> </w:t>
      </w:r>
      <w:r w:rsidRPr="00B44B71">
        <w:rPr>
          <w:rFonts w:ascii="Times New Roman" w:eastAsia="Times New Roman" w:hAnsi="Times New Roman" w:cs="Times New Roman"/>
          <w:kern w:val="0"/>
          <w:sz w:val="24"/>
          <w:szCs w:val="24"/>
          <w14:ligatures w14:val="none"/>
        </w:rPr>
        <w:t>[in Ukrainian].</w:t>
      </w:r>
    </w:p>
    <w:p w14:paraId="68C9344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14:ligatures w14:val="none"/>
        </w:rPr>
        <w:t xml:space="preserve">Udovychenko, H. (2020). Zmishane navchannia u suchasnii osviti [Blended learning in modern education]. </w:t>
      </w:r>
      <w:r w:rsidRPr="00B44B71">
        <w:rPr>
          <w:rFonts w:ascii="Times New Roman" w:eastAsia="Times New Roman" w:hAnsi="Times New Roman" w:cs="Times New Roman"/>
          <w:i/>
          <w:iCs/>
          <w:kern w:val="0"/>
          <w:sz w:val="24"/>
          <w:szCs w:val="24"/>
          <w14:ligatures w14:val="none"/>
        </w:rPr>
        <w:t>Pedahohichni nauky</w:t>
      </w:r>
      <w:r w:rsidRPr="00B44B71">
        <w:rPr>
          <w:rFonts w:ascii="Times New Roman" w:eastAsia="Times New Roman" w:hAnsi="Times New Roman" w:cs="Times New Roman"/>
          <w:kern w:val="0"/>
          <w:sz w:val="24"/>
          <w:szCs w:val="24"/>
          <w14:ligatures w14:val="none"/>
        </w:rPr>
        <w:t xml:space="preserve">. 2020. 92. 67–74. DOI: </w:t>
      </w:r>
      <w:hyperlink r:id="rId318" w:tgtFrame="_new" w:history="1">
        <w:r w:rsidRPr="00B44B71">
          <w:rPr>
            <w:rFonts w:ascii="Times New Roman" w:eastAsia="Times New Roman" w:hAnsi="Times New Roman" w:cs="Times New Roman"/>
            <w:color w:val="0000FF"/>
            <w:kern w:val="0"/>
            <w:sz w:val="24"/>
            <w:szCs w:val="24"/>
            <w:u w:val="single"/>
            <w14:ligatures w14:val="none"/>
          </w:rPr>
          <w:t>https://doi.org/10.31812/educdim.5430</w:t>
        </w:r>
      </w:hyperlink>
      <w:r w:rsidRPr="00B44B71">
        <w:rPr>
          <w:rFonts w:ascii="Times New Roman" w:eastAsia="Times New Roman" w:hAnsi="Times New Roman" w:cs="Times New Roman"/>
          <w:kern w:val="0"/>
          <w:sz w:val="24"/>
          <w:szCs w:val="24"/>
          <w:lang w:val="uk-UA"/>
          <w14:ligatures w14:val="none"/>
        </w:rPr>
        <w:t xml:space="preserve"> </w:t>
      </w:r>
      <w:r w:rsidRPr="00B44B71">
        <w:rPr>
          <w:rFonts w:ascii="Times New Roman" w:eastAsia="Times New Roman" w:hAnsi="Times New Roman" w:cs="Times New Roman"/>
          <w:kern w:val="0"/>
          <w:sz w:val="24"/>
          <w:szCs w:val="24"/>
          <w14:ligatures w14:val="none"/>
        </w:rPr>
        <w:t>[in Ukrainian].</w:t>
      </w:r>
    </w:p>
    <w:p w14:paraId="00E8FC28" w14:textId="402EC778" w:rsidR="00B44B71" w:rsidRPr="00B44B71" w:rsidRDefault="00B44B71" w:rsidP="008D5CD5">
      <w:pPr>
        <w:tabs>
          <w:tab w:val="left" w:pos="9638"/>
        </w:tabs>
        <w:spacing w:after="0" w:line="240" w:lineRule="auto"/>
        <w:ind w:firstLine="709"/>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14:ligatures w14:val="none"/>
        </w:rPr>
        <w:t xml:space="preserve">Yaroshenko, O. H. (2024). Innovations of the integrated course "Getting to know nature". </w:t>
      </w:r>
      <w:r w:rsidRPr="00B44B71">
        <w:rPr>
          <w:rFonts w:ascii="Times New Roman" w:eastAsia="Times New Roman" w:hAnsi="Times New Roman" w:cs="Times New Roman"/>
          <w:i/>
          <w:iCs/>
          <w:kern w:val="0"/>
          <w:sz w:val="24"/>
          <w:szCs w:val="24"/>
          <w14:ligatures w14:val="none"/>
        </w:rPr>
        <w:t>SWorld Conference Proceedings</w:t>
      </w:r>
      <w:r w:rsidRPr="00B44B71">
        <w:rPr>
          <w:rFonts w:ascii="Times New Roman" w:eastAsia="Times New Roman" w:hAnsi="Times New Roman" w:cs="Times New Roman"/>
          <w:kern w:val="0"/>
          <w:sz w:val="24"/>
          <w:szCs w:val="24"/>
          <w14:ligatures w14:val="none"/>
        </w:rPr>
        <w:t xml:space="preserve">. DOI: </w:t>
      </w:r>
      <w:hyperlink r:id="rId319" w:tgtFrame="_new" w:history="1">
        <w:r w:rsidRPr="00B44B71">
          <w:rPr>
            <w:rFonts w:ascii="Times New Roman" w:eastAsia="Times New Roman" w:hAnsi="Times New Roman" w:cs="Times New Roman"/>
            <w:color w:val="0000FF"/>
            <w:kern w:val="0"/>
            <w:sz w:val="24"/>
            <w:szCs w:val="24"/>
            <w:u w:val="single"/>
            <w14:ligatures w14:val="none"/>
          </w:rPr>
          <w:t>https://doi.org/10.30890/2709-1783.2024-32-00-020</w:t>
        </w:r>
      </w:hyperlink>
      <w:r w:rsidRPr="00B44B71">
        <w:rPr>
          <w:rFonts w:ascii="Times New Roman" w:eastAsia="Times New Roman" w:hAnsi="Times New Roman" w:cs="Times New Roman"/>
          <w:kern w:val="0"/>
          <w:sz w:val="24"/>
          <w:szCs w:val="24"/>
          <w:lang w:val="uk-UA"/>
          <w14:ligatures w14:val="none"/>
        </w:rPr>
        <w:t xml:space="preserve"> </w:t>
      </w:r>
    </w:p>
    <w:p w14:paraId="051E36E5"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надійшов до редакції 01.04.2026</w:t>
      </w:r>
    </w:p>
    <w:p w14:paraId="732C90AF"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прийнято до друку після рецензування 21.04.2026</w:t>
      </w:r>
    </w:p>
    <w:p w14:paraId="0FB77655" w14:textId="4C69A858" w:rsidR="008D5CD5"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Дата публікації 25.04.2026</w:t>
      </w:r>
    </w:p>
    <w:p w14:paraId="6E51803B" w14:textId="0C6C0B38" w:rsidR="00675E45" w:rsidRPr="008D5CD5" w:rsidRDefault="008D5CD5" w:rsidP="008D5CD5">
      <w:pPr>
        <w:shd w:val="clear" w:color="auto" w:fill="FFFFFF"/>
        <w:tabs>
          <w:tab w:val="left" w:pos="9638"/>
        </w:tabs>
        <w:spacing w:after="0" w:line="240" w:lineRule="auto"/>
        <w:rPr>
          <w:rFonts w:ascii="Times New Roman" w:eastAsia="Times New Roman" w:hAnsi="Times New Roman" w:cs="Times New Roman"/>
          <w:kern w:val="0"/>
          <w:sz w:val="24"/>
          <w:szCs w:val="24"/>
          <w:shd w:val="clear" w:color="auto" w:fill="FFFFFF"/>
          <w:lang w:val="uk-UA"/>
          <w14:ligatures w14:val="none"/>
        </w:rPr>
      </w:pPr>
      <w:r>
        <w:rPr>
          <w:rFonts w:ascii="Times New Roman" w:eastAsia="Times New Roman" w:hAnsi="Times New Roman" w:cs="Times New Roman"/>
          <w:kern w:val="0"/>
          <w:sz w:val="24"/>
          <w:szCs w:val="24"/>
          <w:shd w:val="clear" w:color="auto" w:fill="FFFFFF"/>
          <w:lang w:val="uk-UA"/>
          <w14:ligatures w14:val="none"/>
        </w:rPr>
        <w:br w:type="column"/>
      </w:r>
      <w:r w:rsidR="00675E45" w:rsidRPr="00B44B71">
        <w:rPr>
          <w:rFonts w:ascii="Times New Roman" w:eastAsia="Times New Roman" w:hAnsi="Times New Roman" w:cs="Times New Roman"/>
          <w:kern w:val="0"/>
          <w:sz w:val="23"/>
          <w:szCs w:val="23"/>
          <w:lang w:val="uk-UA" w:eastAsia="ru-RU"/>
          <w14:ligatures w14:val="none"/>
        </w:rPr>
        <w:lastRenderedPageBreak/>
        <w:t>ISSN:2617-1775</w:t>
      </w:r>
      <w:r w:rsidR="00675E45" w:rsidRPr="00E4040F">
        <w:rPr>
          <w:rFonts w:ascii="Times New Roman" w:eastAsia="Calibri" w:hAnsi="Times New Roman" w:cs="Times New Roman"/>
          <w:b/>
          <w:kern w:val="0"/>
          <w:sz w:val="24"/>
          <w:szCs w:val="24"/>
          <w:lang w:val="uk-UA"/>
          <w14:ligatures w14:val="none"/>
        </w:rPr>
        <w:t xml:space="preserve"> </w:t>
      </w:r>
      <w:r w:rsidR="00675E45" w:rsidRPr="00740AAF">
        <w:rPr>
          <w:rFonts w:ascii="Times New Roman" w:eastAsia="Calibri" w:hAnsi="Times New Roman" w:cs="Times New Roman"/>
          <w:b/>
          <w:kern w:val="0"/>
          <w:sz w:val="24"/>
          <w:szCs w:val="24"/>
          <w:lang w:val="uk-UA"/>
          <w14:ligatures w14:val="none"/>
        </w:rPr>
        <w:t xml:space="preserve">                                                               </w:t>
      </w:r>
      <w:r w:rsidR="00675E45">
        <w:rPr>
          <w:rFonts w:ascii="Times New Roman" w:eastAsia="Calibri" w:hAnsi="Times New Roman" w:cs="Times New Roman"/>
          <w:b/>
          <w:kern w:val="0"/>
          <w:sz w:val="24"/>
          <w:szCs w:val="24"/>
          <w:lang w:val="uk-UA"/>
          <w14:ligatures w14:val="none"/>
        </w:rPr>
        <w:t xml:space="preserve">                     </w:t>
      </w:r>
      <w:r w:rsidR="00092F1B">
        <w:rPr>
          <w:rFonts w:ascii="Times New Roman" w:eastAsia="Calibri" w:hAnsi="Times New Roman" w:cs="Times New Roman"/>
          <w:b/>
          <w:kern w:val="0"/>
          <w:sz w:val="24"/>
          <w:szCs w:val="24"/>
          <w:lang w:val="uk-UA"/>
          <w14:ligatures w14:val="none"/>
        </w:rPr>
        <w:t xml:space="preserve">        </w:t>
      </w:r>
      <w:r w:rsidR="00675E45" w:rsidRPr="003B5892">
        <w:rPr>
          <w:rFonts w:ascii="Times New Roman" w:eastAsia="Calibri" w:hAnsi="Times New Roman" w:cs="Times New Roman"/>
          <w:b/>
          <w:kern w:val="0"/>
          <w:sz w:val="24"/>
          <w:szCs w:val="24"/>
          <w:lang w:val="uk-UA"/>
          <w14:ligatures w14:val="none"/>
        </w:rPr>
        <w:t xml:space="preserve">УДК: 355.23(477):378.5 </w:t>
      </w:r>
    </w:p>
    <w:p w14:paraId="0BFE81AB" w14:textId="31A1F6B3" w:rsidR="00675E45" w:rsidRPr="00F96118" w:rsidRDefault="00675E45" w:rsidP="00675E45">
      <w:pPr>
        <w:tabs>
          <w:tab w:val="left" w:pos="9638"/>
        </w:tabs>
        <w:spacing w:after="0" w:line="240" w:lineRule="auto"/>
        <w:rPr>
          <w:rFonts w:ascii="Times New Roman" w:eastAsia="Times New Roman" w:hAnsi="Times New Roman" w:cs="Times New Roman"/>
          <w:color w:val="0563C1"/>
          <w:kern w:val="0"/>
          <w:sz w:val="24"/>
          <w:szCs w:val="24"/>
          <w:u w:val="single"/>
          <w:lang w:val="uk-UA"/>
          <w14:ligatures w14:val="none"/>
        </w:rPr>
      </w:pPr>
      <w:r w:rsidRPr="00B44B71">
        <w:rPr>
          <w:rFonts w:ascii="Times New Roman" w:eastAsia="Times New Roman" w:hAnsi="Times New Roman" w:cs="Times New Roman"/>
          <w:kern w:val="0"/>
          <w:sz w:val="23"/>
          <w:szCs w:val="23"/>
          <w:lang w:val="uk-UA" w:eastAsia="ru-RU"/>
          <w14:ligatures w14:val="none"/>
        </w:rPr>
        <w:t>ISSN: 2617-1783 (online)</w:t>
      </w:r>
      <w:r w:rsidRPr="00740AAF">
        <w:rPr>
          <w:rFonts w:ascii="Times New Roman" w:eastAsia="Times New Roman" w:hAnsi="Times New Roman" w:cs="Times New Roman"/>
          <w:kern w:val="0"/>
          <w:sz w:val="23"/>
          <w:szCs w:val="23"/>
          <w:lang w:val="uk-UA" w:eastAsia="ru-RU"/>
          <w14:ligatures w14:val="none"/>
        </w:rPr>
        <w:t xml:space="preserve">                                             </w:t>
      </w:r>
      <w:r>
        <w:rPr>
          <w:rFonts w:ascii="Times New Roman" w:eastAsia="Times New Roman" w:hAnsi="Times New Roman" w:cs="Times New Roman"/>
          <w:kern w:val="0"/>
          <w:sz w:val="23"/>
          <w:szCs w:val="23"/>
          <w:lang w:val="uk-UA" w:eastAsia="ru-RU"/>
          <w14:ligatures w14:val="none"/>
        </w:rPr>
        <w:t xml:space="preserve">       </w:t>
      </w:r>
      <w:r w:rsidRPr="00F96118">
        <w:rPr>
          <w:rFonts w:ascii="Times New Roman" w:eastAsia="Times New Roman" w:hAnsi="Times New Roman" w:cs="Times New Roman"/>
          <w:bCs/>
          <w:smallCaps/>
          <w:color w:val="000000"/>
          <w:kern w:val="0"/>
          <w:sz w:val="24"/>
          <w:szCs w:val="24"/>
          <w:lang w:eastAsia="ru-RU"/>
          <w14:ligatures w14:val="none"/>
        </w:rPr>
        <w:t>DOI</w:t>
      </w:r>
      <w:r w:rsidRPr="00F96118">
        <w:rPr>
          <w:rFonts w:ascii="Times New Roman" w:eastAsia="Times New Roman" w:hAnsi="Times New Roman" w:cs="Times New Roman"/>
          <w:bCs/>
          <w:smallCaps/>
          <w:color w:val="000000"/>
          <w:kern w:val="0"/>
          <w:sz w:val="24"/>
          <w:szCs w:val="24"/>
          <w:lang w:val="uk-UA" w:eastAsia="ru-RU"/>
          <w14:ligatures w14:val="none"/>
        </w:rPr>
        <w:t>: 10.33099/2617-1775/202</w:t>
      </w:r>
      <w:r>
        <w:rPr>
          <w:rFonts w:ascii="Times New Roman" w:eastAsia="Times New Roman" w:hAnsi="Times New Roman" w:cs="Times New Roman"/>
          <w:bCs/>
          <w:smallCaps/>
          <w:color w:val="000000"/>
          <w:kern w:val="0"/>
          <w:sz w:val="24"/>
          <w:szCs w:val="24"/>
          <w:lang w:val="uk-UA" w:eastAsia="ru-RU"/>
          <w14:ligatures w14:val="none"/>
        </w:rPr>
        <w:t>6</w:t>
      </w:r>
      <w:r w:rsidRPr="00F96118">
        <w:rPr>
          <w:rFonts w:ascii="Times New Roman" w:eastAsia="Times New Roman" w:hAnsi="Times New Roman" w:cs="Times New Roman"/>
          <w:bCs/>
          <w:smallCaps/>
          <w:color w:val="000000"/>
          <w:kern w:val="0"/>
          <w:sz w:val="24"/>
          <w:szCs w:val="24"/>
          <w:lang w:val="uk-UA" w:eastAsia="ru-RU"/>
          <w14:ligatures w14:val="none"/>
        </w:rPr>
        <w:t>-0</w:t>
      </w:r>
      <w:r>
        <w:rPr>
          <w:rFonts w:ascii="Times New Roman" w:eastAsia="Times New Roman" w:hAnsi="Times New Roman" w:cs="Times New Roman"/>
          <w:bCs/>
          <w:smallCaps/>
          <w:color w:val="000000"/>
          <w:kern w:val="0"/>
          <w:sz w:val="24"/>
          <w:szCs w:val="24"/>
          <w:lang w:val="uk-UA" w:eastAsia="ru-RU"/>
          <w14:ligatures w14:val="none"/>
        </w:rPr>
        <w:t>1</w:t>
      </w:r>
      <w:r w:rsidRPr="00F96118">
        <w:rPr>
          <w:rFonts w:ascii="Times New Roman" w:eastAsia="Times New Roman" w:hAnsi="Times New Roman" w:cs="Times New Roman"/>
          <w:bCs/>
          <w:smallCaps/>
          <w:color w:val="000000"/>
          <w:kern w:val="0"/>
          <w:sz w:val="24"/>
          <w:szCs w:val="24"/>
          <w:lang w:val="uk-UA" w:eastAsia="ru-RU"/>
          <w14:ligatures w14:val="none"/>
        </w:rPr>
        <w:t>/</w:t>
      </w:r>
      <w:r w:rsidR="00092F1B">
        <w:rPr>
          <w:rFonts w:ascii="Times New Roman" w:eastAsia="Times New Roman" w:hAnsi="Times New Roman" w:cs="Times New Roman"/>
          <w:bCs/>
          <w:smallCaps/>
          <w:color w:val="000000"/>
          <w:kern w:val="0"/>
          <w:sz w:val="24"/>
          <w:szCs w:val="24"/>
          <w:lang w:val="uk-UA" w:eastAsia="ru-RU"/>
          <w14:ligatures w14:val="none"/>
        </w:rPr>
        <w:t>237-246</w:t>
      </w:r>
    </w:p>
    <w:p w14:paraId="3DC12CED" w14:textId="77777777" w:rsidR="00675E45" w:rsidRDefault="00675E45" w:rsidP="00675E45">
      <w:pPr>
        <w:tabs>
          <w:tab w:val="left" w:pos="9638"/>
        </w:tabs>
        <w:spacing w:after="0" w:line="240" w:lineRule="auto"/>
        <w:jc w:val="right"/>
        <w:rPr>
          <w:rFonts w:ascii="Times New Roman" w:eastAsia="Times New Roman" w:hAnsi="Times New Roman" w:cs="Times New Roman"/>
          <w:b/>
          <w:bCs/>
          <w:kern w:val="0"/>
          <w:sz w:val="28"/>
          <w:lang w:val="uk-UA"/>
          <w14:ligatures w14:val="none"/>
        </w:rPr>
      </w:pPr>
    </w:p>
    <w:p w14:paraId="14726650" w14:textId="77777777" w:rsidR="00090386" w:rsidRPr="00675E45" w:rsidRDefault="00090386" w:rsidP="00023291">
      <w:pPr>
        <w:tabs>
          <w:tab w:val="left" w:pos="9638"/>
        </w:tabs>
        <w:spacing w:after="0" w:line="240" w:lineRule="auto"/>
        <w:jc w:val="right"/>
        <w:rPr>
          <w:rFonts w:ascii="Times New Roman" w:eastAsia="Calibri" w:hAnsi="Times New Roman" w:cs="Times New Roman"/>
          <w:b/>
          <w:kern w:val="0"/>
          <w:sz w:val="24"/>
          <w:szCs w:val="24"/>
          <w:lang w:val="uk-UA"/>
          <w14:ligatures w14:val="none"/>
        </w:rPr>
      </w:pPr>
      <w:r w:rsidRPr="003B5892">
        <w:rPr>
          <w:rFonts w:ascii="Times New Roman" w:eastAsia="Calibri" w:hAnsi="Times New Roman" w:cs="Times New Roman"/>
          <w:b/>
          <w:kern w:val="0"/>
          <w:sz w:val="24"/>
          <w:szCs w:val="24"/>
          <w:lang w:val="uk-UA"/>
          <w14:ligatures w14:val="none"/>
        </w:rPr>
        <w:t>Людмила Приполова,</w:t>
      </w:r>
    </w:p>
    <w:p w14:paraId="03CBCD14" w14:textId="77777777" w:rsidR="00090386" w:rsidRPr="003B5892" w:rsidRDefault="00090386" w:rsidP="00023291">
      <w:pPr>
        <w:tabs>
          <w:tab w:val="left" w:pos="9638"/>
        </w:tabs>
        <w:spacing w:after="0" w:line="240" w:lineRule="auto"/>
        <w:jc w:val="right"/>
        <w:rPr>
          <w:rFonts w:ascii="Times New Roman" w:eastAsia="Calibri" w:hAnsi="Times New Roman" w:cs="Times New Roman"/>
          <w:kern w:val="0"/>
          <w:sz w:val="24"/>
          <w:szCs w:val="24"/>
          <w:lang w:val="ru-RU"/>
          <w14:ligatures w14:val="none"/>
        </w:rPr>
      </w:pPr>
      <w:r w:rsidRPr="003B5892">
        <w:rPr>
          <w:rFonts w:ascii="Times New Roman" w:eastAsia="Calibri" w:hAnsi="Times New Roman" w:cs="Times New Roman"/>
          <w:b/>
          <w:kern w:val="0"/>
          <w:sz w:val="24"/>
          <w:szCs w:val="24"/>
          <w:lang w:val="uk-UA"/>
          <w14:ligatures w14:val="none"/>
        </w:rPr>
        <w:t xml:space="preserve"> </w:t>
      </w:r>
      <w:r w:rsidRPr="003B5892">
        <w:rPr>
          <w:rFonts w:ascii="Times New Roman" w:eastAsia="Calibri" w:hAnsi="Times New Roman" w:cs="Times New Roman"/>
          <w:kern w:val="0"/>
          <w:sz w:val="24"/>
          <w:szCs w:val="24"/>
          <w:lang w:val="uk-UA"/>
          <w14:ligatures w14:val="none"/>
        </w:rPr>
        <w:t>кандидат юридичних наук, старший дослідник</w:t>
      </w:r>
    </w:p>
    <w:p w14:paraId="3C872CB7" w14:textId="77777777" w:rsidR="00090386" w:rsidRPr="003B5892" w:rsidRDefault="00090386" w:rsidP="00023291">
      <w:pPr>
        <w:tabs>
          <w:tab w:val="left" w:pos="9638"/>
        </w:tabs>
        <w:spacing w:after="0" w:line="240" w:lineRule="auto"/>
        <w:jc w:val="right"/>
        <w:rPr>
          <w:rFonts w:ascii="Times New Roman" w:eastAsia="Calibri" w:hAnsi="Times New Roman" w:cs="Times New Roman"/>
          <w:kern w:val="0"/>
          <w:sz w:val="24"/>
          <w:szCs w:val="24"/>
          <w:lang w:val="ru-RU"/>
          <w14:ligatures w14:val="none"/>
        </w:rPr>
      </w:pPr>
      <w:r w:rsidRPr="003B5892">
        <w:rPr>
          <w:rFonts w:ascii="Times New Roman" w:eastAsia="Calibri" w:hAnsi="Times New Roman" w:cs="Times New Roman"/>
          <w:kern w:val="0"/>
          <w:sz w:val="24"/>
          <w:szCs w:val="24"/>
          <w:lang w:val="uk-UA"/>
          <w14:ligatures w14:val="none"/>
        </w:rPr>
        <w:t xml:space="preserve"> Національний університет оборони України, м. Київ</w:t>
      </w:r>
    </w:p>
    <w:p w14:paraId="28CB4804" w14:textId="77D55C44" w:rsidR="00090386" w:rsidRDefault="00090386" w:rsidP="00023291">
      <w:pPr>
        <w:tabs>
          <w:tab w:val="left" w:pos="9638"/>
        </w:tabs>
        <w:spacing w:after="0" w:line="240" w:lineRule="auto"/>
        <w:jc w:val="right"/>
        <w:rPr>
          <w:rStyle w:val="Hyperlink"/>
          <w:rFonts w:ascii="Times New Roman" w:eastAsia="Calibri" w:hAnsi="Times New Roman"/>
          <w:kern w:val="0"/>
          <w:sz w:val="24"/>
          <w:szCs w:val="24"/>
          <w:lang w:val="uk-UA"/>
          <w14:ligatures w14:val="none"/>
        </w:rPr>
      </w:pPr>
      <w:r w:rsidRPr="003B5892">
        <w:rPr>
          <w:rFonts w:ascii="Times New Roman" w:eastAsia="Calibri" w:hAnsi="Times New Roman" w:cs="Times New Roman"/>
          <w:kern w:val="0"/>
          <w:sz w:val="24"/>
          <w:szCs w:val="24"/>
          <w:lang w:val="uk-UA"/>
          <w14:ligatures w14:val="none"/>
        </w:rPr>
        <w:t xml:space="preserve"> </w:t>
      </w:r>
      <w:hyperlink r:id="rId320" w:history="1">
        <w:r w:rsidR="00B8709F" w:rsidRPr="00B17C63">
          <w:rPr>
            <w:rStyle w:val="Hyperlink"/>
            <w:rFonts w:ascii="Times New Roman" w:eastAsia="Calibri" w:hAnsi="Times New Roman"/>
            <w:kern w:val="0"/>
            <w:sz w:val="24"/>
            <w:szCs w:val="24"/>
            <w:lang w:val="uk-UA"/>
            <w14:ligatures w14:val="none"/>
          </w:rPr>
          <w:t>https://orcid.org/0000-0002-8429-1866</w:t>
        </w:r>
      </w:hyperlink>
    </w:p>
    <w:p w14:paraId="027A6402" w14:textId="77777777" w:rsidR="00675E45" w:rsidRDefault="00675E45" w:rsidP="00023291">
      <w:pPr>
        <w:tabs>
          <w:tab w:val="left" w:pos="9638"/>
        </w:tabs>
        <w:spacing w:after="0" w:line="240" w:lineRule="auto"/>
        <w:jc w:val="right"/>
        <w:rPr>
          <w:rFonts w:ascii="Times New Roman" w:eastAsia="Calibri" w:hAnsi="Times New Roman" w:cs="Times New Roman"/>
          <w:kern w:val="0"/>
          <w:sz w:val="24"/>
          <w:szCs w:val="24"/>
          <w:lang w:val="uk-UA"/>
          <w14:ligatures w14:val="none"/>
        </w:rPr>
      </w:pPr>
    </w:p>
    <w:p w14:paraId="3F7798F3" w14:textId="77777777" w:rsidR="00090386" w:rsidRPr="003B5892" w:rsidRDefault="00090386" w:rsidP="007741E5">
      <w:pPr>
        <w:tabs>
          <w:tab w:val="left" w:pos="9638"/>
        </w:tabs>
        <w:spacing w:after="0" w:line="240" w:lineRule="auto"/>
        <w:jc w:val="center"/>
        <w:rPr>
          <w:rFonts w:ascii="Times New Roman" w:eastAsia="Calibri" w:hAnsi="Times New Roman" w:cs="Times New Roman"/>
          <w:b/>
          <w:kern w:val="0"/>
          <w:sz w:val="24"/>
          <w:szCs w:val="24"/>
          <w:lang w:val="uk-UA"/>
          <w14:ligatures w14:val="none"/>
        </w:rPr>
      </w:pPr>
      <w:r w:rsidRPr="003B5892">
        <w:rPr>
          <w:rFonts w:ascii="Times New Roman" w:eastAsia="Calibri" w:hAnsi="Times New Roman" w:cs="Times New Roman"/>
          <w:b/>
          <w:kern w:val="0"/>
          <w:sz w:val="24"/>
          <w:szCs w:val="24"/>
          <w:lang w:val="uk-UA"/>
          <w14:ligatures w14:val="none"/>
        </w:rPr>
        <w:t>ПЕРСПЕКТИВИ МІЖВІДОМЧОЇ КООПЕРАЦІЇ В НАУКОВІЙ ДІЯЛЬНОСТІ У СИСТЕМІ МІНІСТЕРСТВА ОБОРОНИ УКРАЇНИ</w:t>
      </w:r>
    </w:p>
    <w:p w14:paraId="6A33669C" w14:textId="77777777" w:rsidR="00090386" w:rsidRPr="003B5892" w:rsidRDefault="00090386" w:rsidP="00023291">
      <w:pPr>
        <w:tabs>
          <w:tab w:val="left" w:pos="9638"/>
        </w:tabs>
        <w:spacing w:after="0" w:line="240" w:lineRule="auto"/>
        <w:jc w:val="both"/>
        <w:rPr>
          <w:rFonts w:ascii="Times New Roman" w:eastAsia="Calibri" w:hAnsi="Times New Roman" w:cs="Times New Roman"/>
          <w:b/>
          <w:kern w:val="0"/>
          <w:sz w:val="28"/>
          <w:szCs w:val="28"/>
          <w:lang w:val="uk-UA"/>
          <w14:ligatures w14:val="none"/>
        </w:rPr>
      </w:pPr>
    </w:p>
    <w:p w14:paraId="50F461B0"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i/>
          <w:kern w:val="0"/>
          <w:sz w:val="24"/>
          <w:szCs w:val="24"/>
          <w:lang w:val="ru-RU"/>
          <w14:ligatures w14:val="none"/>
        </w:rPr>
      </w:pPr>
      <w:r w:rsidRPr="003B5892">
        <w:rPr>
          <w:rFonts w:ascii="Times New Roman" w:eastAsia="Calibri" w:hAnsi="Times New Roman" w:cs="Times New Roman"/>
          <w:b/>
          <w:i/>
          <w:kern w:val="0"/>
          <w:sz w:val="24"/>
          <w:szCs w:val="24"/>
          <w:lang w:val="uk-UA"/>
          <w14:ligatures w14:val="none"/>
        </w:rPr>
        <w:t>Анотація:</w:t>
      </w:r>
      <w:r w:rsidRPr="003B5892">
        <w:rPr>
          <w:rFonts w:ascii="Times New Roman" w:eastAsia="Calibri" w:hAnsi="Times New Roman" w:cs="Times New Roman"/>
          <w:i/>
          <w:kern w:val="0"/>
          <w:sz w:val="24"/>
          <w:szCs w:val="24"/>
          <w:lang w:val="uk-UA"/>
          <w14:ligatures w14:val="none"/>
        </w:rPr>
        <w:t xml:space="preserve"> Стаття присвячена аналізу перспектив міжвідомчої кооперації в науковій діяльності у системі Міністерства оборони України. </w:t>
      </w:r>
    </w:p>
    <w:p w14:paraId="4A546FCF"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i/>
          <w:kern w:val="0"/>
          <w:sz w:val="24"/>
          <w:szCs w:val="24"/>
          <w:lang w:val="uk-UA"/>
          <w14:ligatures w14:val="none"/>
        </w:rPr>
      </w:pPr>
      <w:r w:rsidRPr="003B5892">
        <w:rPr>
          <w:rFonts w:ascii="Times New Roman" w:eastAsia="Calibri" w:hAnsi="Times New Roman" w:cs="Times New Roman"/>
          <w:i/>
          <w:kern w:val="0"/>
          <w:sz w:val="24"/>
          <w:szCs w:val="24"/>
          <w:lang w:val="uk-UA"/>
          <w14:ligatures w14:val="none"/>
        </w:rPr>
        <w:t>Дослідження базувалося на принципах системного підходу та проводилося з використанням методів аналізу, синтезу, формально-правового, порівняння та узагальнення.</w:t>
      </w:r>
    </w:p>
    <w:p w14:paraId="24522DFE"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i/>
          <w:kern w:val="0"/>
          <w:sz w:val="24"/>
          <w:szCs w:val="24"/>
          <w:lang w:val="uk-UA"/>
          <w14:ligatures w14:val="none"/>
        </w:rPr>
      </w:pPr>
      <w:r w:rsidRPr="003B5892">
        <w:rPr>
          <w:rFonts w:ascii="Times New Roman" w:eastAsia="Calibri" w:hAnsi="Times New Roman" w:cs="Times New Roman"/>
          <w:i/>
          <w:kern w:val="0"/>
          <w:sz w:val="24"/>
          <w:szCs w:val="24"/>
          <w:lang w:val="uk-UA"/>
          <w14:ligatures w14:val="none"/>
        </w:rPr>
        <w:t xml:space="preserve"> В статті здійснено аналіз поглядів вчених щодо проблеми налагодження міжвідомчої співпраці у системі Міністерства оборони України в контексті наукової діяльності. При огляді наукових праць особлива увага приділялась проблемним питанням наукової діяльності як окремих наукових установ, так і закладів вищої освіти. Зокрема, розглянуто наукові праці, в яких досліджена проблематика перспектив розвитку співробітництва наукових установ Національної академії наук України. Опрацьовано в ході дослідження наукові публікації, присвячені проблемі пошуків шляхів оптимізації наукової та науково-технічної діяльності у сфері оборони. Наведено позитивні приклади функціонування деяких наукових установ у Сполучених Штатах Америки.</w:t>
      </w:r>
    </w:p>
    <w:p w14:paraId="7FBB4249"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i/>
          <w:kern w:val="0"/>
          <w:sz w:val="24"/>
          <w:szCs w:val="24"/>
          <w:lang w:val="uk-UA"/>
          <w14:ligatures w14:val="none"/>
        </w:rPr>
      </w:pPr>
      <w:r w:rsidRPr="003B5892">
        <w:rPr>
          <w:rFonts w:ascii="Times New Roman" w:eastAsia="Calibri" w:hAnsi="Times New Roman" w:cs="Times New Roman"/>
          <w:i/>
          <w:kern w:val="0"/>
          <w:sz w:val="24"/>
          <w:szCs w:val="24"/>
          <w:lang w:val="uk-UA"/>
          <w14:ligatures w14:val="none"/>
        </w:rPr>
        <w:t xml:space="preserve"> За  результатами дослідження зроблено висновок про необхідність доповнення переліку тих суб’єктів, які можуть бути замовниками наукової продукції в системі Міністерства оборони України. Виокремлено пропозиції, які сприятимуть підвищенню рівня ефективності виконання міжвідомчих наукових робіт, а саме: внесення відповідних змін до Положення про організацію наукової і науково-технічної діяльності в системі Міністерства оборони України             (в контексті розширення переліку замовників наукової продукції, з урахуванням перспектив взаємодії з іншими складовими сектору безпеки і оборони України); уточнення порядку організації міжвідомчої взаємодії при замовленні наукової продукції в інтересах Міністерства оборони України. Запропоновано алгоритм міжвідомчої взаємодії від замовлення до укладання спільного договору; утворення Координаційної ради з міжвідомчих науково-дослідних (дослідно-конструкторських) робіт шляхом прийняття відповідного Положення; започаткування єдиної інформаційної бази даних міжвідомчих науково-дослідних (дослідно-конструкторських) робіт.</w:t>
      </w:r>
    </w:p>
    <w:p w14:paraId="4DEAE2A1"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i/>
          <w:kern w:val="0"/>
          <w:sz w:val="24"/>
          <w:szCs w:val="24"/>
          <w:lang w:val="uk-UA"/>
          <w14:ligatures w14:val="none"/>
        </w:rPr>
      </w:pPr>
      <w:r w:rsidRPr="003B5892">
        <w:rPr>
          <w:rFonts w:ascii="Times New Roman" w:eastAsia="Calibri" w:hAnsi="Times New Roman" w:cs="Times New Roman"/>
          <w:b/>
          <w:i/>
          <w:kern w:val="0"/>
          <w:sz w:val="24"/>
          <w:szCs w:val="24"/>
          <w:lang w:val="uk-UA"/>
          <w14:ligatures w14:val="none"/>
        </w:rPr>
        <w:t xml:space="preserve">Ключові слова: </w:t>
      </w:r>
      <w:r w:rsidRPr="003B5892">
        <w:rPr>
          <w:rFonts w:ascii="Times New Roman" w:eastAsia="Calibri" w:hAnsi="Times New Roman" w:cs="Times New Roman"/>
          <w:i/>
          <w:kern w:val="0"/>
          <w:sz w:val="24"/>
          <w:szCs w:val="24"/>
          <w:lang w:val="uk-UA"/>
          <w14:ligatures w14:val="none"/>
        </w:rPr>
        <w:t>міжвідомча взаємодія, Міністерство оборони України, науково-дослідні (дослідно-конструкторські) роботи, удосконалення правового регулювання.</w:t>
      </w:r>
    </w:p>
    <w:p w14:paraId="47051AEC"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i/>
          <w:kern w:val="0"/>
          <w:sz w:val="24"/>
          <w:szCs w:val="24"/>
          <w:lang w:val="uk-UA"/>
          <w14:ligatures w14:val="none"/>
        </w:rPr>
      </w:pPr>
    </w:p>
    <w:p w14:paraId="29E6A0CF"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b/>
          <w:kern w:val="0"/>
          <w:sz w:val="28"/>
          <w:szCs w:val="28"/>
          <w:lang w:val="uk-UA"/>
          <w14:ligatures w14:val="none"/>
        </w:rPr>
        <w:t>Вступ.</w:t>
      </w:r>
      <w:r w:rsidRPr="003B5892">
        <w:rPr>
          <w:rFonts w:ascii="Times New Roman" w:eastAsia="Calibri" w:hAnsi="Times New Roman" w:cs="Times New Roman"/>
          <w:kern w:val="0"/>
          <w:sz w:val="28"/>
          <w:szCs w:val="28"/>
          <w:lang w:val="uk-UA"/>
          <w14:ligatures w14:val="none"/>
        </w:rPr>
        <w:t xml:space="preserve"> В умовах триваючої збройної агресії та постійної зміни характеру бойових дій, намагання противника розширити дестабілізаційні фактори поза межами зони бойових дій, актуальним лишається активне залучення наукового потенціалу держави до вирішення завдань у сфері оборони, яке можливе за допомогою проведення наукових досліджень. Наявна нормативно-правова база потребує доповнення через врегулювання питання алгоритму організації міжвідомчої взаємодії при замовленні наукової продукції в інтересах Міністерства оборони України (далі – МО України). Уточнення порядку </w:t>
      </w:r>
      <w:r w:rsidRPr="003B5892">
        <w:rPr>
          <w:rFonts w:ascii="Times New Roman" w:eastAsia="Calibri" w:hAnsi="Times New Roman" w:cs="Times New Roman"/>
          <w:kern w:val="0"/>
          <w:sz w:val="28"/>
          <w:szCs w:val="28"/>
          <w:lang w:val="uk-UA"/>
          <w14:ligatures w14:val="none"/>
        </w:rPr>
        <w:lastRenderedPageBreak/>
        <w:t>організації міжвідомчої взаємодії при замовленні наукової продукції в інтересах МО України є необхідним кроком для створення “діалогового вікна” у сфері міжвідомчої взаємодії при виконанні спільних науково-дослідних та дослідно-конструкторських робіт (далі – НДДКР) та необхідним кроком у подоланні прогалини в нормативно-правовому врегулюванні організації такої взаємодії. Тому, проблематика поглиблення наукової кооперації на міжвідомчому рівні є актуальною для наукових пошуків. Зважаючи на вищезазначене, доцільним вбачається аналіз перспектив міжвідомчої взаємодії при виконанні спільних НДДКР, де замовником може бути позавідомчий суб’єкт наукової діяльності.</w:t>
      </w:r>
    </w:p>
    <w:p w14:paraId="0FB3ED35"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color w:val="FF0000"/>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xml:space="preserve">Слід зазначити, що проблематика стосовно наукової кооперації між різними суб’єктами наукової діяльності, в тому числі на міжвідомчому рівні стає дедалі частіше обговорюватися в науковому просторі в контексті інтеграції у міжнародний дослідницький простір. В той же час, питання удосконалення наукової взаємодії на міжвідомчому рівні в системі МО України була предметом нечисленних дискусій. Лише деякі питання перспектив розвитку наукової діяльності в наукових установах (далі – НУ) та закладах вищої освіти (далі – ЗВО) була предметом наукових публікацій. Так, питання стану та перспектив розвитку наукової діяльності установ Національної академії наук України (далі НАН України) займалися Ісакова Н.Б. (2025) та Маліцький Б.А. (2023). Про перспективи розвитку наукової сфери загалом з огляду на зарубіжний досвід можемо віднайти у працях Хаустової В.Є. й Решетняка О.І. </w:t>
      </w:r>
      <w:r w:rsidRPr="003B5892">
        <w:rPr>
          <w:rFonts w:ascii="Times New Roman" w:eastAsia="Calibri" w:hAnsi="Times New Roman" w:cs="Times New Roman"/>
          <w:kern w:val="0"/>
          <w:sz w:val="28"/>
          <w:szCs w:val="28"/>
          <w:lang w:val="ru-RU"/>
          <w14:ligatures w14:val="none"/>
        </w:rPr>
        <w:t xml:space="preserve">(2021), Дегтярьова І. та Квіта С. (2019). Питання удосконалення окремих аспектів наукової діяльності у сфері оборони, можемо зустріти у працях </w:t>
      </w:r>
      <w:r w:rsidRPr="003B5892">
        <w:rPr>
          <w:rFonts w:ascii="Times New Roman" w:eastAsia="Calibri" w:hAnsi="Times New Roman" w:cs="Times New Roman"/>
          <w:kern w:val="0"/>
          <w:sz w:val="28"/>
          <w:szCs w:val="28"/>
          <w:lang w:val="uk-UA"/>
          <w14:ligatures w14:val="none"/>
        </w:rPr>
        <w:t xml:space="preserve">Хлоня С.Є., Ковальчука А.І. </w:t>
      </w:r>
      <w:r w:rsidRPr="003B5892">
        <w:rPr>
          <w:rFonts w:ascii="Times New Roman" w:eastAsia="Calibri" w:hAnsi="Times New Roman" w:cs="Times New Roman"/>
          <w:kern w:val="0"/>
          <w:sz w:val="28"/>
          <w:szCs w:val="28"/>
          <w:lang w:val="ru-RU"/>
          <w14:ligatures w14:val="none"/>
        </w:rPr>
        <w:t>(2025), Наливайка А. (2025)</w:t>
      </w:r>
      <w:r w:rsidRPr="003B5892">
        <w:rPr>
          <w:rFonts w:ascii="Times New Roman" w:eastAsia="Calibri" w:hAnsi="Times New Roman" w:cs="Times New Roman"/>
          <w:kern w:val="0"/>
          <w:sz w:val="28"/>
          <w:szCs w:val="28"/>
          <w:lang w:val="uk-UA"/>
          <w14:ligatures w14:val="none"/>
        </w:rPr>
        <w:t xml:space="preserve">, Корнієнка В.О. </w:t>
      </w:r>
      <w:r w:rsidRPr="003B5892">
        <w:rPr>
          <w:rFonts w:ascii="Times New Roman" w:eastAsia="Calibri" w:hAnsi="Times New Roman" w:cs="Times New Roman"/>
          <w:kern w:val="0"/>
          <w:sz w:val="28"/>
          <w:szCs w:val="28"/>
          <w:lang w:val="ru-RU"/>
          <w14:ligatures w14:val="none"/>
        </w:rPr>
        <w:t>(2024). Таким чином,</w:t>
      </w:r>
      <w:r w:rsidRPr="003B5892">
        <w:rPr>
          <w:rFonts w:ascii="Times New Roman" w:eastAsia="Calibri" w:hAnsi="Times New Roman" w:cs="Times New Roman"/>
          <w:color w:val="FF0000"/>
          <w:kern w:val="0"/>
          <w:sz w:val="28"/>
          <w:szCs w:val="28"/>
          <w:lang w:val="uk-UA"/>
          <w14:ligatures w14:val="none"/>
        </w:rPr>
        <w:t xml:space="preserve"> </w:t>
      </w:r>
      <w:r w:rsidRPr="003B5892">
        <w:rPr>
          <w:rFonts w:ascii="Times New Roman" w:eastAsia="Calibri" w:hAnsi="Times New Roman" w:cs="Times New Roman"/>
          <w:kern w:val="0"/>
          <w:sz w:val="28"/>
          <w:szCs w:val="28"/>
          <w:lang w:val="uk-UA"/>
          <w14:ligatures w14:val="none"/>
        </w:rPr>
        <w:t>у вітчизняних наукових працях та науковій літературі проблематика перспективи міжвідомчої кооперації в науковій діяльності у системі МО України викладено фрагментарно, що підкреслює наукову своєчасність пропонованої статті.</w:t>
      </w:r>
    </w:p>
    <w:p w14:paraId="049FD317"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Стаття присвячена аналізу перспектив міжвідомчої кооперації в науковій діяльності у системі МО України із виокремленням відповідних рекомендацій.</w:t>
      </w:r>
    </w:p>
    <w:p w14:paraId="0271BBC0"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b/>
          <w:kern w:val="0"/>
          <w:sz w:val="28"/>
          <w:szCs w:val="28"/>
          <w:lang w:val="uk-UA"/>
          <w14:ligatures w14:val="none"/>
        </w:rPr>
        <w:t>Результат.</w:t>
      </w:r>
      <w:r w:rsidRPr="003B5892">
        <w:rPr>
          <w:rFonts w:ascii="Times New Roman" w:eastAsia="Calibri" w:hAnsi="Times New Roman" w:cs="Times New Roman"/>
          <w:kern w:val="0"/>
          <w:sz w:val="28"/>
          <w:szCs w:val="28"/>
          <w:lang w:val="uk-UA"/>
          <w14:ligatures w14:val="none"/>
        </w:rPr>
        <w:t xml:space="preserve"> Ісакова Н.Б. (2025) досліджуючи співробітництво наукових установ НАН України та університетів як відповідь на сучасні виклики, переконана, що саме економічні успіхи країни визначаються досягненнями в науково-освітній сфері та її спроможністю впливати на інноваційність підприємств. Наука і вища освіта разом вирішують завдання формування інтелекту нації та пов’язані із проблемами державного будівництва, забезпечення обороноздатності, інноваційного перетворення промислового комплексу. Серед проблемних питань національної інноваційної системи авторка виокремила наступні:</w:t>
      </w:r>
    </w:p>
    <w:p w14:paraId="603C7689"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вибір оптимальних способів і форм інтеграції академічної науки, переважно орієнтованої на проведення фундаментальних досліджень, та університетів, основним завданням яких продовжує бути підготовка кваліфікованих кадрів для галузей економіки, науки та соціальної сфери (подолання можливо за рахунок об’єднання зусиль учасників процесу наукової діяльності);</w:t>
      </w:r>
    </w:p>
    <w:p w14:paraId="0A9C520C"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lastRenderedPageBreak/>
        <w:t>збереження і подальший розвиток наукового потенціалу також потребують ефективної взаємодії НАН України та університетів, що створює умови для підготовки нових наукових кадрів, підвищує значущість фундаментальної та прикладної науки, сприяє формуванню умов для інноваційного співробітництва науково-освітньої сфери з бізнесом.</w:t>
      </w:r>
    </w:p>
    <w:p w14:paraId="2A044C89"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Характеризуючи національну інноваційну систему, Ісакова (2025) апелює до факту неподолання радянської системи та підсумовує, що нині як і раніше фундаментальні та прикладні дослідження є прерогативою державних академій наук, а університети здебільшого виконують освітню функцію, попри досягнення деяких значних наукових результатів. Автор (Ісакова, 2025) переконана, що освітнім закладам варто не конкурувати, а орієнтуватися на умови роботи в контексті розвитку і поглиблення коопераційних зв’язків з академічною наукою. Цьому сприяють загальносвітові тенденції політики євроінтеграції, поширення відкритості науки та розширення міжнародних контактів, завдяки чому відбувається зміна підходів до організації науково-дослідної діяльності як в академічних наукових інститутах, так і в університетах.</w:t>
      </w:r>
    </w:p>
    <w:p w14:paraId="01F8E3C3"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Хаустова В.Є., Решетняк О.І. (2021) в ході дослідження сучасних форм взаємодії та інтеграції освіти та науки, виявили проблеми в освітній та науковій діяльності в Україні, розробили науково-методичний підхід до оцінювання впливу освіти і науки на соціально-економічний розвиток країни, а також організаційно-економічний механізм інтеграції освіти, науки і бізнесу на базі університетів майбутнього. З метою адаптації до умов функціонування вітчизняних ЗВО, ними запропоновано розробляти дієві соціально-економічні механізми інтеграції науки, освіти та підприємницького сектору з урахуванням сучасних технологій освітнього та дослідницького простору. Також автори в ході дослідження виокремили наступні риси такої світової інтеграції, зокрема, серед яких існують ті, які вже частково характерні для вітчизняної науки та ті, які варто виокремити як перспективні для української науки:</w:t>
      </w:r>
    </w:p>
    <w:p w14:paraId="444667F6" w14:textId="3903FE26" w:rsidR="00090386" w:rsidRPr="003B5892" w:rsidRDefault="00675E45"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Pr>
          <w:rFonts w:ascii="Times New Roman" w:eastAsia="Calibri" w:hAnsi="Times New Roman" w:cs="Times New Roman"/>
          <w:kern w:val="0"/>
          <w:sz w:val="28"/>
          <w:szCs w:val="28"/>
          <w:lang w:val="uk-UA"/>
          <w14:ligatures w14:val="none"/>
        </w:rPr>
        <w:t>–</w:t>
      </w:r>
      <w:r w:rsidR="00090386" w:rsidRPr="003B5892">
        <w:rPr>
          <w:rFonts w:ascii="Times New Roman" w:eastAsia="Calibri" w:hAnsi="Times New Roman" w:cs="Times New Roman"/>
          <w:kern w:val="0"/>
          <w:sz w:val="28"/>
          <w:szCs w:val="28"/>
          <w:lang w:val="uk-UA"/>
          <w14:ligatures w14:val="none"/>
        </w:rPr>
        <w:t xml:space="preserve"> високий рівень інтеграції навчання та дослідження на всіх рівнях освітнього процесу, що забезпечує постійний інтегрований інформаційний обмін між студентами та викладачами; </w:t>
      </w:r>
    </w:p>
    <w:p w14:paraId="5C0F2415" w14:textId="671BBBEB" w:rsidR="00090386" w:rsidRPr="003B5892" w:rsidRDefault="00675E45"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Pr>
          <w:rFonts w:ascii="Times New Roman" w:eastAsia="Calibri" w:hAnsi="Times New Roman" w:cs="Times New Roman"/>
          <w:kern w:val="0"/>
          <w:sz w:val="28"/>
          <w:szCs w:val="28"/>
          <w:lang w:val="uk-UA"/>
          <w14:ligatures w14:val="none"/>
        </w:rPr>
        <w:t>–</w:t>
      </w:r>
      <w:r w:rsidR="00090386" w:rsidRPr="003B5892">
        <w:rPr>
          <w:rFonts w:ascii="Times New Roman" w:eastAsia="Calibri" w:hAnsi="Times New Roman" w:cs="Times New Roman"/>
          <w:kern w:val="0"/>
          <w:sz w:val="28"/>
          <w:szCs w:val="28"/>
          <w:lang w:val="uk-UA"/>
          <w14:ligatures w14:val="none"/>
        </w:rPr>
        <w:t xml:space="preserve"> державна підтримка у вигляді фінансування наукової та освітньої діяльності;</w:t>
      </w:r>
    </w:p>
    <w:p w14:paraId="4BE810B2" w14:textId="12B4B478" w:rsidR="00090386" w:rsidRPr="003B5892" w:rsidRDefault="00675E45"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Pr>
          <w:rFonts w:ascii="Times New Roman" w:eastAsia="Calibri" w:hAnsi="Times New Roman" w:cs="Times New Roman"/>
          <w:kern w:val="0"/>
          <w:sz w:val="28"/>
          <w:szCs w:val="28"/>
          <w:lang w:val="uk-UA"/>
          <w14:ligatures w14:val="none"/>
        </w:rPr>
        <w:t>–</w:t>
      </w:r>
      <w:r w:rsidR="00090386" w:rsidRPr="003B5892">
        <w:rPr>
          <w:rFonts w:ascii="Times New Roman" w:eastAsia="Calibri" w:hAnsi="Times New Roman" w:cs="Times New Roman"/>
          <w:kern w:val="0"/>
          <w:sz w:val="28"/>
          <w:szCs w:val="28"/>
          <w:lang w:val="uk-UA"/>
          <w14:ligatures w14:val="none"/>
        </w:rPr>
        <w:t xml:space="preserve"> наявність міцних зв’язків з бізнес спільнотою;</w:t>
      </w:r>
    </w:p>
    <w:p w14:paraId="20D5590E" w14:textId="6BF0DD4C" w:rsidR="00090386" w:rsidRPr="003B5892" w:rsidRDefault="00675E45"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Pr>
          <w:rFonts w:ascii="Times New Roman" w:eastAsia="Calibri" w:hAnsi="Times New Roman" w:cs="Times New Roman"/>
          <w:kern w:val="0"/>
          <w:sz w:val="28"/>
          <w:szCs w:val="28"/>
          <w:lang w:val="uk-UA"/>
          <w14:ligatures w14:val="none"/>
        </w:rPr>
        <w:t>–</w:t>
      </w:r>
      <w:r w:rsidR="00090386" w:rsidRPr="003B5892">
        <w:rPr>
          <w:rFonts w:ascii="Times New Roman" w:eastAsia="Calibri" w:hAnsi="Times New Roman" w:cs="Times New Roman"/>
          <w:kern w:val="0"/>
          <w:sz w:val="28"/>
          <w:szCs w:val="28"/>
          <w:lang w:val="uk-UA"/>
          <w14:ligatures w14:val="none"/>
        </w:rPr>
        <w:t xml:space="preserve"> проведення фундаментальних досліджень фінансуються переважно з державних джерел та різних фондів підтримки досліджень на некомерційній основі;</w:t>
      </w:r>
    </w:p>
    <w:p w14:paraId="33C62024" w14:textId="0728E2F0" w:rsidR="00090386" w:rsidRPr="003B5892" w:rsidRDefault="00675E45"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Pr>
          <w:rFonts w:ascii="Times New Roman" w:eastAsia="Calibri" w:hAnsi="Times New Roman" w:cs="Times New Roman"/>
          <w:kern w:val="0"/>
          <w:sz w:val="28"/>
          <w:szCs w:val="28"/>
          <w:lang w:val="uk-UA"/>
          <w14:ligatures w14:val="none"/>
        </w:rPr>
        <w:t>–</w:t>
      </w:r>
      <w:r w:rsidR="00090386" w:rsidRPr="003B5892">
        <w:rPr>
          <w:rFonts w:ascii="Times New Roman" w:eastAsia="Calibri" w:hAnsi="Times New Roman" w:cs="Times New Roman"/>
          <w:kern w:val="0"/>
          <w:sz w:val="28"/>
          <w:szCs w:val="28"/>
          <w:lang w:val="uk-UA"/>
          <w14:ligatures w14:val="none"/>
        </w:rPr>
        <w:t xml:space="preserve"> множинність джерел фінансування: державний та місцевий бюджети, благодійні та опікунські фонди, гранти, бізнес надходження від дослідницької, навчальної, виробничої та консультаційної діяльності.</w:t>
      </w:r>
    </w:p>
    <w:p w14:paraId="52CBC571" w14:textId="21459C75" w:rsidR="00090386" w:rsidRPr="003B5892" w:rsidRDefault="00675E45"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Pr>
          <w:rFonts w:ascii="Times New Roman" w:eastAsia="Calibri" w:hAnsi="Times New Roman" w:cs="Times New Roman"/>
          <w:kern w:val="0"/>
          <w:sz w:val="28"/>
          <w:szCs w:val="28"/>
          <w:lang w:val="uk-UA"/>
          <w14:ligatures w14:val="none"/>
        </w:rPr>
        <w:t>–</w:t>
      </w:r>
      <w:r w:rsidR="00090386" w:rsidRPr="003B5892">
        <w:rPr>
          <w:rFonts w:ascii="Times New Roman" w:eastAsia="Calibri" w:hAnsi="Times New Roman" w:cs="Times New Roman"/>
          <w:kern w:val="0"/>
          <w:sz w:val="28"/>
          <w:szCs w:val="28"/>
          <w:lang w:val="uk-UA"/>
          <w14:ligatures w14:val="none"/>
        </w:rPr>
        <w:t xml:space="preserve"> значна самостійність, наявність рівноправних партнерів бізнесу в інтеграції науки, освіти та виробництва;</w:t>
      </w:r>
    </w:p>
    <w:p w14:paraId="6E625B03" w14:textId="5CBD1795" w:rsidR="00090386" w:rsidRPr="003B5892" w:rsidRDefault="00675E45"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Pr>
          <w:rFonts w:ascii="Times New Roman" w:eastAsia="Calibri" w:hAnsi="Times New Roman" w:cs="Times New Roman"/>
          <w:kern w:val="0"/>
          <w:sz w:val="28"/>
          <w:szCs w:val="28"/>
          <w:lang w:val="uk-UA"/>
          <w14:ligatures w14:val="none"/>
        </w:rPr>
        <w:t>–</w:t>
      </w:r>
      <w:r w:rsidR="00090386" w:rsidRPr="003B5892">
        <w:rPr>
          <w:rFonts w:ascii="Times New Roman" w:eastAsia="Calibri" w:hAnsi="Times New Roman" w:cs="Times New Roman"/>
          <w:kern w:val="0"/>
          <w:sz w:val="28"/>
          <w:szCs w:val="28"/>
          <w:lang w:val="uk-UA"/>
          <w14:ligatures w14:val="none"/>
        </w:rPr>
        <w:t xml:space="preserve"> активне функціонування наукових парків (або індустріальних парків).</w:t>
      </w:r>
    </w:p>
    <w:p w14:paraId="4E4A6F8F"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lastRenderedPageBreak/>
        <w:t xml:space="preserve">Маліцький Б.А. (2023) у аналітичні доповіді про НАН України, її сучасний стан, проблеми розвитку та підходи до їх розв’язання, охарактеризував стан наукової діяльності НАН України через виокремлення конкретних проблемних питань ,а саме: </w:t>
      </w:r>
      <w:r w:rsidRPr="003B5892">
        <w:rPr>
          <w:rFonts w:ascii="Times New Roman" w:eastAsia="Calibri" w:hAnsi="Times New Roman" w:cs="Times New Roman"/>
          <w:kern w:val="0"/>
          <w:sz w:val="28"/>
          <w:szCs w:val="28"/>
          <w:lang w:val="uk-UA"/>
          <w14:ligatures w14:val="none"/>
        </w:rPr>
        <w:cr/>
        <w:t xml:space="preserve">        – дефіцит фінансування;</w:t>
      </w:r>
    </w:p>
    <w:p w14:paraId="18A6A954"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незначна кількість дослідних робіт у вітчизняних вишах у порівнянні з кількістю наукового потенціалу;</w:t>
      </w:r>
    </w:p>
    <w:p w14:paraId="4CBAAFF7"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багаторічне нехтування в державній політиці можливостями науки, технологій та інновацій як найефективнішого джерела економічного й соціального зростання та національної безпеки;</w:t>
      </w:r>
    </w:p>
    <w:p w14:paraId="30FD7644"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відтік наукових кадрів за кордон;</w:t>
      </w:r>
    </w:p>
    <w:p w14:paraId="06AED8E3"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поступове перетікання академічної науки до університетів.</w:t>
      </w:r>
    </w:p>
    <w:p w14:paraId="7CC32932"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Маліцький Б.А. (2023) стверджує, що в умовах воєнного стану НАН України актуалізувала та суттєво розширила тематику наукових досліджень, спрямованих на забезпечення оборони і безпеки держави. Академія використовує власний досвід співпраці з окремими галузями та високотехнологічними підприємствами (співпраця з підприємствами ракетно-космічної галузі в рамках угоди про співпрацю з КБ “Південне”). Набули актуальності дослідження реального стану всіх сфер життєдіяльності України. Оскільки відродження України має забезпечуватися на основі передових наукових досягнень і високих технологій, виникає необхідність в об’єктивізації оцінювання реального стану наукового потенціалу держави, розробленні заходів щодо його майбутнього ефективного розвитку і використання та обґрунтуванні потрібних для цього ресурсів. Одним із шляхів вирішення проблеми автор вбачає у запровадженні державної політики, яка сприятиме значно ефективнішому використанню величезного кадрового потенціалу вищої школи. Доленосне завдання, яке постає сьогодні перед Україною, особливо в частині післявоєнного відновлення економіки на базі передових досягнень науки і високих технологій, потребує невідкладного переходу до нової науковоцентричної державної політики.</w:t>
      </w:r>
    </w:p>
    <w:p w14:paraId="66104DDC"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У звітному документі про діяльність НАН України (Національна академія наук, 2025) у 2024 році також відслідковується тенденція до поглиблення наукової кооперації з поміж інших наукових закладів та установ, державних структур і з окремими структурами у сфері оборони. Зокрема, в документі зазначено, що на конкурсній основі відібрано проєкти за новою Цільовою науково-технічною програмою оборонних досліджень НАН України на 2025—2029 рр. Особливість цієї програми полягає у тому, що визначення пріоритетних завдань для конкурсу, експертизу поданих проєктів, погодження технічних завдань, приймання завершених робіт здійснює Генеральних штаб Збройних Сил України, МО України, Центральний науково-дослідний інститут озброєння та військової техніки Збройних Сил України, АТ “Українська оборонна промисловість”.</w:t>
      </w:r>
    </w:p>
    <w:p w14:paraId="1A87E3F0"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lastRenderedPageBreak/>
        <w:t>Так, до проблеми щодо пошуків шляхів оптимізації наукової та науково-технічної діяльності (далі – ННТД) у сфері оборони звертались ряд науковців. Зокрема, можемо зустріти тезу про те, що діючі наукові та науково-дослідні установи МО України, що здійснюють свою діяльність в інтересах Сил підтримки Збройних Сил України, не спроможні охопити весь спектр наукових завдань за цими напрямками, зокрема, на оперативному та тактичному рівнях. Хлонь С.Є., Ковальчук А.І. (2025) апелюють до міжнародного досвіду, наводячи приклад міжнародних партнерів України. Так, прикладом такої синергії є діяльність таких установ за напрямками підтримки у Сполучених Штатах Америки (далі – США) та в рамках НАТО. Агентство перспективних оборонних досліджень (DARPA) є незалежним науково-дослідним та дослідно-конструкторським органом у складі МО США. Його місія полягає у співпраці з новаторами як в урядових структурах, так і поза ними для розробки передових технологій. Ця модель дозволяє швидко реагувати на актуальні потреби оборони та створювати проривні рішення. Ще одним ключовим інститутом є Науково-дослідний та дослідно-конструкторський центр Інженерних військ армії США (ERDC), який є провідним центром досліджень та розробок для Інженерного корпусу армії США. ERDC є невід’ємною частиною Офісу помічника Міністра оборони з питань досліджень та інженерії, що підкреслює його стратегічне значення.</w:t>
      </w:r>
    </w:p>
    <w:p w14:paraId="6A40410E"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xml:space="preserve">Корнієнко В.О. (2024), досліджуючи організаційно-правові засади формування політики у сфері науки та ННТД в системі МО України, виокремив проблемні питання, які потребують вирішення у сфері ННТД МО України, серед яких варті уваги та неодноразово наголошувалися іншими науковцями, такі як: </w:t>
      </w:r>
    </w:p>
    <w:p w14:paraId="3E0CB23E" w14:textId="2C5B5D92"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недостатній рівень інтеграції наукових установ з підприємствами;</w:t>
      </w:r>
    </w:p>
    <w:p w14:paraId="081ECD8B" w14:textId="48217066"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відірваність значного обсягу наукових досліджень від прикладного втілення;</w:t>
      </w:r>
    </w:p>
    <w:p w14:paraId="20BFF8E2" w14:textId="45E1D90A"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сповільнена інтеграція результатів наукових досліджень у світову науку, що впливає на рівень конкурентоспроможності;</w:t>
      </w:r>
    </w:p>
    <w:p w14:paraId="7FBBB018" w14:textId="04502243"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така, що потребує оновлення й осучаснення організаційно-штатна структура військових наукових та науково-дослідних установ;</w:t>
      </w:r>
    </w:p>
    <w:p w14:paraId="5E5F792F" w14:textId="113F1EB6"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потреба в нарощуванні практики впровадження інноваційних програм та проектів у НДДКР за державним оборонним замовленням.</w:t>
      </w:r>
    </w:p>
    <w:p w14:paraId="0FB8F2A5"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Автор (Корнієнко, 2024) пропонує для вирішення вищезазначених проблемних питань провести інституційно-правове регулювання ННТД в системі МО України та сформувати політику, яку необхідно провести за основними стратегічними напрямами для переходу на сучасний етап у сфері ННТД. Зокрема, для запобігання розбалансування системи військової науки, вбачається необхідність у розробці (організації, створенні):</w:t>
      </w:r>
    </w:p>
    <w:p w14:paraId="45414D01" w14:textId="3D89F2B3"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моделі оцінювання відповідності науково-кадрового потенціалу їх професійної кваліфікації та результативності критеріям і стандартам, які існують у європейській науковій спільноті (в країнах-членах НАТО);</w:t>
      </w:r>
    </w:p>
    <w:p w14:paraId="7533E784" w14:textId="13B3CD5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w:t>
      </w:r>
      <w:r w:rsidR="00675E45">
        <w:rPr>
          <w:rFonts w:ascii="Times New Roman" w:eastAsia="Calibri" w:hAnsi="Times New Roman" w:cs="Times New Roman"/>
          <w:kern w:val="0"/>
          <w:sz w:val="28"/>
          <w:szCs w:val="28"/>
          <w:lang w:val="uk-UA"/>
          <w14:ligatures w14:val="none"/>
        </w:rPr>
        <w:t xml:space="preserve"> </w:t>
      </w:r>
      <w:r w:rsidRPr="003B5892">
        <w:rPr>
          <w:rFonts w:ascii="Times New Roman" w:eastAsia="Calibri" w:hAnsi="Times New Roman" w:cs="Times New Roman"/>
          <w:kern w:val="0"/>
          <w:sz w:val="28"/>
          <w:szCs w:val="28"/>
          <w:lang w:val="uk-UA"/>
          <w14:ligatures w14:val="none"/>
        </w:rPr>
        <w:t>Положення про атестацію робочих місць дослідників;</w:t>
      </w:r>
    </w:p>
    <w:p w14:paraId="6345B015" w14:textId="701088E2"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lastRenderedPageBreak/>
        <w:t>-</w:t>
      </w:r>
      <w:r w:rsidR="00675E45">
        <w:rPr>
          <w:rFonts w:ascii="Times New Roman" w:eastAsia="Calibri" w:hAnsi="Times New Roman" w:cs="Times New Roman"/>
          <w:kern w:val="0"/>
          <w:sz w:val="28"/>
          <w:szCs w:val="28"/>
          <w:lang w:val="uk-UA"/>
          <w14:ligatures w14:val="none"/>
        </w:rPr>
        <w:t xml:space="preserve"> </w:t>
      </w:r>
      <w:r w:rsidRPr="003B5892">
        <w:rPr>
          <w:rFonts w:ascii="Times New Roman" w:eastAsia="Calibri" w:hAnsi="Times New Roman" w:cs="Times New Roman"/>
          <w:kern w:val="0"/>
          <w:sz w:val="28"/>
          <w:szCs w:val="28"/>
          <w:lang w:val="uk-UA"/>
          <w14:ligatures w14:val="none"/>
        </w:rPr>
        <w:t>Методики для визначення реально підготовлених у відповідних галузях спеціалістів, якості наукових лідерів, рівня їх наукового доробку;</w:t>
      </w:r>
    </w:p>
    <w:p w14:paraId="0380FCA9" w14:textId="1798C58E"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w:t>
      </w:r>
      <w:r w:rsidR="00675E45">
        <w:rPr>
          <w:rFonts w:ascii="Times New Roman" w:eastAsia="Calibri" w:hAnsi="Times New Roman" w:cs="Times New Roman"/>
          <w:kern w:val="0"/>
          <w:sz w:val="28"/>
          <w:szCs w:val="28"/>
          <w:lang w:val="uk-UA"/>
          <w14:ligatures w14:val="none"/>
        </w:rPr>
        <w:t xml:space="preserve"> </w:t>
      </w:r>
      <w:r w:rsidRPr="003B5892">
        <w:rPr>
          <w:rFonts w:ascii="Times New Roman" w:eastAsia="Calibri" w:hAnsi="Times New Roman" w:cs="Times New Roman"/>
          <w:kern w:val="0"/>
          <w:sz w:val="28"/>
          <w:szCs w:val="28"/>
          <w:lang w:val="uk-UA"/>
          <w14:ligatures w14:val="none"/>
        </w:rPr>
        <w:t>доступу до світових науково-інформаційних ресурсів країн-членів НАТО;</w:t>
      </w:r>
    </w:p>
    <w:p w14:paraId="06698982" w14:textId="4D0FF35B"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w:t>
      </w:r>
      <w:r w:rsidR="00675E45">
        <w:rPr>
          <w:rFonts w:ascii="Times New Roman" w:eastAsia="Calibri" w:hAnsi="Times New Roman" w:cs="Times New Roman"/>
          <w:kern w:val="0"/>
          <w:sz w:val="28"/>
          <w:szCs w:val="28"/>
          <w:lang w:val="uk-UA"/>
          <w14:ligatures w14:val="none"/>
        </w:rPr>
        <w:t xml:space="preserve"> </w:t>
      </w:r>
      <w:r w:rsidRPr="003B5892">
        <w:rPr>
          <w:rFonts w:ascii="Times New Roman" w:eastAsia="Calibri" w:hAnsi="Times New Roman" w:cs="Times New Roman"/>
          <w:kern w:val="0"/>
          <w:sz w:val="28"/>
          <w:szCs w:val="28"/>
          <w:lang w:val="uk-UA"/>
          <w14:ligatures w14:val="none"/>
        </w:rPr>
        <w:t>концентрації розвиненості партнерських зав’язків між учасниками циклу “наука-інновація”, а також замовниками НДДКР;</w:t>
      </w:r>
    </w:p>
    <w:p w14:paraId="19CCF6DA"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xml:space="preserve">- електронного публічного Каталогу захисту інноваційної діяльності та продукції інтелектуальної власності, в т.ч. у системі військово-промислового комплексу, </w:t>
      </w:r>
    </w:p>
    <w:p w14:paraId="6726CCA1" w14:textId="7673C81D"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w:t>
      </w:r>
      <w:r w:rsidR="00675E45">
        <w:rPr>
          <w:rFonts w:ascii="Times New Roman" w:eastAsia="Calibri" w:hAnsi="Times New Roman" w:cs="Times New Roman"/>
          <w:kern w:val="0"/>
          <w:sz w:val="28"/>
          <w:szCs w:val="28"/>
          <w:lang w:val="uk-UA"/>
          <w14:ligatures w14:val="none"/>
        </w:rPr>
        <w:t xml:space="preserve"> </w:t>
      </w:r>
      <w:r w:rsidRPr="003B5892">
        <w:rPr>
          <w:rFonts w:ascii="Times New Roman" w:eastAsia="Calibri" w:hAnsi="Times New Roman" w:cs="Times New Roman"/>
          <w:kern w:val="0"/>
          <w:sz w:val="28"/>
          <w:szCs w:val="28"/>
          <w:lang w:val="uk-UA"/>
          <w14:ligatures w14:val="none"/>
        </w:rPr>
        <w:t>Моделі векторного фінансового і матеріально-технічного забезпечення для ефективно працюючих вчених і наукових колективів;</w:t>
      </w:r>
    </w:p>
    <w:p w14:paraId="5685289C" w14:textId="347582AC"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w:t>
      </w:r>
      <w:r w:rsidR="00675E45">
        <w:rPr>
          <w:rFonts w:ascii="Times New Roman" w:eastAsia="Calibri" w:hAnsi="Times New Roman" w:cs="Times New Roman"/>
          <w:kern w:val="0"/>
          <w:sz w:val="28"/>
          <w:szCs w:val="28"/>
          <w:lang w:val="uk-UA"/>
          <w14:ligatures w14:val="none"/>
        </w:rPr>
        <w:t xml:space="preserve"> </w:t>
      </w:r>
      <w:r w:rsidRPr="003B5892">
        <w:rPr>
          <w:rFonts w:ascii="Times New Roman" w:eastAsia="Calibri" w:hAnsi="Times New Roman" w:cs="Times New Roman"/>
          <w:kern w:val="0"/>
          <w:sz w:val="28"/>
          <w:szCs w:val="28"/>
          <w:lang w:val="uk-UA"/>
          <w14:ligatures w14:val="none"/>
        </w:rPr>
        <w:t>Моделі оплати праці науковців на договірній основі (де заробіток буде не від звання, а від дієвого результату на умовах одноразового контракту). Зазначений захід приведе до підвищення мобільності наукових кадрів, їх переходу на виробничі структури та створення інноваційних підрозділів</w:t>
      </w:r>
      <w:r w:rsidRPr="003B5892">
        <w:rPr>
          <w:rFonts w:ascii="Times New Roman" w:eastAsia="Calibri" w:hAnsi="Times New Roman" w:cs="Times New Roman"/>
          <w:kern w:val="0"/>
          <w:sz w:val="28"/>
          <w:szCs w:val="28"/>
          <w:lang w:val="ru-RU"/>
          <w14:ligatures w14:val="none"/>
        </w:rPr>
        <w:t>;</w:t>
      </w:r>
      <w:r w:rsidRPr="003B5892">
        <w:rPr>
          <w:rFonts w:ascii="Times New Roman" w:eastAsia="Calibri" w:hAnsi="Times New Roman" w:cs="Times New Roman"/>
          <w:kern w:val="0"/>
          <w:sz w:val="28"/>
          <w:szCs w:val="28"/>
          <w:lang w:val="uk-UA"/>
          <w14:ligatures w14:val="none"/>
        </w:rPr>
        <w:t xml:space="preserve"> </w:t>
      </w:r>
    </w:p>
    <w:p w14:paraId="4D73C6A2" w14:textId="1F2201BD"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w:t>
      </w:r>
      <w:r w:rsidR="00675E45">
        <w:rPr>
          <w:rFonts w:ascii="Times New Roman" w:eastAsia="Calibri" w:hAnsi="Times New Roman" w:cs="Times New Roman"/>
          <w:kern w:val="0"/>
          <w:sz w:val="28"/>
          <w:szCs w:val="28"/>
          <w:lang w:val="uk-UA"/>
          <w14:ligatures w14:val="none"/>
        </w:rPr>
        <w:t xml:space="preserve"> </w:t>
      </w:r>
      <w:r w:rsidRPr="003B5892">
        <w:rPr>
          <w:rFonts w:ascii="Times New Roman" w:eastAsia="Calibri" w:hAnsi="Times New Roman" w:cs="Times New Roman"/>
          <w:kern w:val="0"/>
          <w:sz w:val="28"/>
          <w:szCs w:val="28"/>
          <w:lang w:val="uk-UA"/>
          <w14:ligatures w14:val="none"/>
        </w:rPr>
        <w:t>Центру міжнародного значення (через Положення про створення на базі кращих наукових установ високотехнологічних наукових центрів);</w:t>
      </w:r>
    </w:p>
    <w:p w14:paraId="6D980625" w14:textId="5C021F3D"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w:t>
      </w:r>
      <w:r w:rsidR="00675E45">
        <w:rPr>
          <w:rFonts w:ascii="Times New Roman" w:eastAsia="Calibri" w:hAnsi="Times New Roman" w:cs="Times New Roman"/>
          <w:kern w:val="0"/>
          <w:sz w:val="28"/>
          <w:szCs w:val="28"/>
          <w:lang w:val="uk-UA"/>
          <w14:ligatures w14:val="none"/>
        </w:rPr>
        <w:t xml:space="preserve"> </w:t>
      </w:r>
      <w:r w:rsidRPr="003B5892">
        <w:rPr>
          <w:rFonts w:ascii="Times New Roman" w:eastAsia="Calibri" w:hAnsi="Times New Roman" w:cs="Times New Roman"/>
          <w:kern w:val="0"/>
          <w:sz w:val="28"/>
          <w:szCs w:val="28"/>
          <w:lang w:val="uk-UA"/>
          <w14:ligatures w14:val="none"/>
        </w:rPr>
        <w:t>Агенції оборонних і безпекових досліджень (аналог – DARPA) та здійснення узгодження стейкхолдерів щодо діяльності такого органу, умов та напрямів наукових досліджень у сфері оборони та безпеки.</w:t>
      </w:r>
    </w:p>
    <w:p w14:paraId="7C30BCB6"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xml:space="preserve">Крім того Корнієнко В.О. (2024) вважає, що при формуванні складових політики доцільно визначити, розробити та започаткувати інституційно-правові механізми щодо збільшення академічної спроможності наукових установ та організацій, зокрема: </w:t>
      </w:r>
    </w:p>
    <w:p w14:paraId="74C49B4F"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створити умови для утворення постійних або тимчасових наукових колективів, проводили спільні наукові дослідження, зокрема, з країнами-членами НАТО;</w:t>
      </w:r>
    </w:p>
    <w:p w14:paraId="35871605"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утворювати наукові установи подвійного підпорядкування;</w:t>
      </w:r>
    </w:p>
    <w:p w14:paraId="1A647C16"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створити центри колективного користування науковим обладнанням та державних ключових лабораторій;</w:t>
      </w:r>
    </w:p>
    <w:p w14:paraId="1BF9094C"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розширити взаємодію між академічною, університетською наукою та участю молодих учених у формуванні ННТД для обороноздатності держави;</w:t>
      </w:r>
    </w:p>
    <w:p w14:paraId="3BE67004"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створити засади участі НУ та організацій МО України у рамкових програмах ЄС з науки та інновацій на постійній основі та за відомчою направленістю, для отримання конструктивного результату та їх апробації.</w:t>
      </w:r>
    </w:p>
    <w:p w14:paraId="12642744"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Водночас інші дослідження підтверджують, що експерти (Дегтярьова &amp; Квіт, 2019) відзначили найголовніші проблеми української науки, серед яких:</w:t>
      </w:r>
    </w:p>
    <w:p w14:paraId="27431F11"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надзвичайно низький рівень бюджетного фінансування науки;</w:t>
      </w:r>
    </w:p>
    <w:p w14:paraId="550B8DF7"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недостатня сформованість національної інноваційної системи, що забезпечувала б неперервний ланцюг комерціалізації інтелектуального продукту від лабораторії до виробництва і, як наслідок, відірваність результатів наукових досліджень від потреб реального бізнесу;</w:t>
      </w:r>
    </w:p>
    <w:p w14:paraId="37521ED0"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нереформованість сектору академічної науки, де до прикладу, більшість фонду Державного бюджету України витрачається на НАН України.</w:t>
      </w:r>
    </w:p>
    <w:p w14:paraId="6474E27C"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lastRenderedPageBreak/>
        <w:t xml:space="preserve">Так, Дорожня карта європейської інтеграції України у сферах освіти і науки до 2027 року (Міністерство освіти і науки, 2023), затверджена Наказом Міністерства освіти і науки України від 11.12.2023 року № 1501, передбачає в операційній цілі 2.3. (Суб'єкти ННТД провадять наукові дослідження, НДДКР відповідно до європейських підходів та практик) такі завдання як: </w:t>
      </w:r>
    </w:p>
    <w:p w14:paraId="73218F7A"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xml:space="preserve">створення широких можливостей для наукових установ та ЗВО щодо отримання грантового фінансування на конкурсних засадах; </w:t>
      </w:r>
    </w:p>
    <w:p w14:paraId="698A32C1"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інтеграцію дослідницької інфраструктури України до Європейського дослідницького простору.</w:t>
      </w:r>
    </w:p>
    <w:p w14:paraId="75CA04A1" w14:textId="77777777" w:rsidR="00090386" w:rsidRPr="003B5892" w:rsidRDefault="00090386" w:rsidP="00023291">
      <w:pPr>
        <w:tabs>
          <w:tab w:val="left" w:pos="9638"/>
        </w:tabs>
        <w:spacing w:after="0" w:line="240" w:lineRule="auto"/>
        <w:ind w:firstLine="567"/>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b/>
          <w:kern w:val="0"/>
          <w:sz w:val="28"/>
          <w:szCs w:val="28"/>
          <w:lang w:val="uk-UA"/>
          <w14:ligatures w14:val="none"/>
        </w:rPr>
        <w:t xml:space="preserve">Висновки. </w:t>
      </w:r>
      <w:r w:rsidRPr="003B5892">
        <w:rPr>
          <w:rFonts w:ascii="Times New Roman" w:eastAsia="Calibri" w:hAnsi="Times New Roman" w:cs="Times New Roman"/>
          <w:kern w:val="0"/>
          <w:sz w:val="28"/>
          <w:szCs w:val="28"/>
          <w:lang w:val="uk-UA"/>
          <w14:ligatures w14:val="none"/>
        </w:rPr>
        <w:t>Враховуючи активну взаємодію складових сил безпеки і оборони України за час дії правового режиму воєнного стану, періоду дії АТО/ООС, сучасні тенденції європейської інтеграції України у сферах освіти і науки, перспективним вважається оптимізація нормативно-правового регулювання взаємодії інших складових сектору безпеки і оборони України при виконанні спільних НДДКР. Виходячи із вищезазначеного, актуальною є потреба у доповненні переліку тих суб’єктів, які можуть бути замовниками наукової продукції в системі МО України. Крім того, перспективними вважаємо пропозиції, які сприятимуть підвищенню рівня ефективності виконання міжвідомчих наукових робіт, а саме:</w:t>
      </w:r>
    </w:p>
    <w:p w14:paraId="6220919E" w14:textId="77777777" w:rsidR="00090386" w:rsidRPr="003B5892" w:rsidRDefault="00090386" w:rsidP="00023291">
      <w:pPr>
        <w:numPr>
          <w:ilvl w:val="0"/>
          <w:numId w:val="25"/>
        </w:numPr>
        <w:tabs>
          <w:tab w:val="left" w:pos="567"/>
          <w:tab w:val="left" w:pos="993"/>
          <w:tab w:val="left" w:pos="9638"/>
        </w:tabs>
        <w:spacing w:after="0" w:line="240" w:lineRule="auto"/>
        <w:ind w:left="0" w:firstLine="709"/>
        <w:contextualSpacing/>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внесення відповідних змін до Положення про організацію наукової і науково-технічної діяльності в системі Міністерства оборони України (в контексті розширення переліку замовників НДДКР з урахуванням перспектив взаємодії з іншими складовими сектору безпеки і оборони України);</w:t>
      </w:r>
    </w:p>
    <w:p w14:paraId="167F416D" w14:textId="77777777" w:rsidR="00090386" w:rsidRPr="003B5892" w:rsidRDefault="00090386" w:rsidP="00023291">
      <w:pPr>
        <w:numPr>
          <w:ilvl w:val="0"/>
          <w:numId w:val="25"/>
        </w:numPr>
        <w:tabs>
          <w:tab w:val="left" w:pos="567"/>
          <w:tab w:val="left" w:pos="993"/>
          <w:tab w:val="left" w:pos="9638"/>
        </w:tabs>
        <w:spacing w:after="0" w:line="240" w:lineRule="auto"/>
        <w:ind w:left="0" w:firstLine="709"/>
        <w:contextualSpacing/>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нормативне уточнення порядку організації міжвідомчої взаємодії при замовленні наукової продукції в інтересах МО України. Пропонується в уточненому порядку передбачити алгоритм міжвідомчої взаємодії від замовлення до укладання спільного договору, де передбачити такі етапи: ініціювання та консультації, вивчення замовлення, включення до Плану наукової діяльності, укладання розширеного технічного завдання, укладання спільного договору.</w:t>
      </w:r>
    </w:p>
    <w:p w14:paraId="2AFDC312" w14:textId="77777777" w:rsidR="00090386" w:rsidRPr="003B5892" w:rsidRDefault="00090386" w:rsidP="00023291">
      <w:pPr>
        <w:numPr>
          <w:ilvl w:val="0"/>
          <w:numId w:val="25"/>
        </w:numPr>
        <w:tabs>
          <w:tab w:val="left" w:pos="567"/>
          <w:tab w:val="left" w:pos="993"/>
          <w:tab w:val="left" w:pos="9638"/>
        </w:tabs>
        <w:spacing w:after="0" w:line="240" w:lineRule="auto"/>
        <w:ind w:left="0" w:firstLine="709"/>
        <w:contextualSpacing/>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утворення Координаційної ради з міжвідомчих НДДКР (прийняття відповідного Положення);</w:t>
      </w:r>
    </w:p>
    <w:p w14:paraId="64316686" w14:textId="77777777" w:rsidR="00090386" w:rsidRPr="003B5892" w:rsidRDefault="00090386" w:rsidP="00023291">
      <w:pPr>
        <w:numPr>
          <w:ilvl w:val="0"/>
          <w:numId w:val="25"/>
        </w:numPr>
        <w:tabs>
          <w:tab w:val="left" w:pos="567"/>
          <w:tab w:val="left" w:pos="993"/>
          <w:tab w:val="left" w:pos="9638"/>
        </w:tabs>
        <w:spacing w:after="0" w:line="240" w:lineRule="auto"/>
        <w:ind w:left="0" w:firstLine="709"/>
        <w:contextualSpacing/>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започаткування єдиної інформаційної бази даних міжвідомчих НДДКР).</w:t>
      </w:r>
    </w:p>
    <w:p w14:paraId="56370C7A" w14:textId="77777777" w:rsidR="00090386" w:rsidRPr="003B5892" w:rsidRDefault="00090386"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Запропоновані оновлення дадуть можливість активізувати залучення потенціалу НУ, вищих військових навчальних закладів (військових навчальних підрозділів) МО України до створення наукової продукції у позавідомчій взаємодії, а також сприятимуть:</w:t>
      </w:r>
    </w:p>
    <w:p w14:paraId="18E69072" w14:textId="77777777" w:rsidR="00090386" w:rsidRPr="003B5892" w:rsidRDefault="00090386"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усуненню потенційних дублювань при виконанні НДДКР за схожою тематикою;</w:t>
      </w:r>
    </w:p>
    <w:p w14:paraId="60401D02" w14:textId="77777777" w:rsidR="00090386" w:rsidRPr="003B5892" w:rsidRDefault="00090386"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здійсненню постійного обміну інформацією про заплановані НДДКР міжвідомчого рівня та синхронізації наукових зусиль (через функціонування спільної інформаційної бази);</w:t>
      </w:r>
    </w:p>
    <w:p w14:paraId="16A5CD64" w14:textId="77777777" w:rsidR="00090386" w:rsidRPr="003B5892" w:rsidRDefault="00090386"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оптимізувати бюджетні витрати на виконання НДДКР;</w:t>
      </w:r>
    </w:p>
    <w:p w14:paraId="71C52BE0" w14:textId="77777777" w:rsidR="00090386" w:rsidRPr="003B5892" w:rsidRDefault="00090386"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lastRenderedPageBreak/>
        <w:t>- спрощенню процедури взаємодії міжвідомчого рівня при замовленні та виконанні спільних НДДКР;</w:t>
      </w:r>
    </w:p>
    <w:p w14:paraId="34311335" w14:textId="77777777" w:rsidR="00090386" w:rsidRPr="003B5892" w:rsidRDefault="00090386"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kern w:val="0"/>
          <w:sz w:val="28"/>
          <w:szCs w:val="28"/>
          <w:lang w:val="uk-UA"/>
          <w14:ligatures w14:val="none"/>
        </w:rPr>
        <w:t>- започаткуванню процесу створення об’єднаного наукового простору в інтересах оборони країни (через створення Координаційної ради з міжвідомчих НДДКР.</w:t>
      </w:r>
    </w:p>
    <w:p w14:paraId="59BAA235" w14:textId="77777777" w:rsidR="00090386" w:rsidRPr="003B5892" w:rsidRDefault="00090386" w:rsidP="00023291">
      <w:pPr>
        <w:tabs>
          <w:tab w:val="left" w:pos="9638"/>
        </w:tabs>
        <w:spacing w:after="0" w:line="240" w:lineRule="auto"/>
        <w:ind w:firstLine="709"/>
        <w:jc w:val="both"/>
        <w:rPr>
          <w:rFonts w:ascii="Times New Roman" w:eastAsia="Calibri" w:hAnsi="Times New Roman" w:cs="Times New Roman"/>
          <w:kern w:val="0"/>
          <w:sz w:val="28"/>
          <w:szCs w:val="28"/>
          <w:lang w:val="uk-UA"/>
          <w14:ligatures w14:val="none"/>
        </w:rPr>
      </w:pPr>
      <w:r w:rsidRPr="003B5892">
        <w:rPr>
          <w:rFonts w:ascii="Times New Roman" w:eastAsia="Calibri" w:hAnsi="Times New Roman" w:cs="Times New Roman"/>
          <w:b/>
          <w:kern w:val="0"/>
          <w:sz w:val="28"/>
          <w:szCs w:val="28"/>
          <w:lang w:val="uk-UA"/>
          <w14:ligatures w14:val="none"/>
        </w:rPr>
        <w:t>Перспективи подальших досліджень</w:t>
      </w:r>
      <w:r w:rsidRPr="003B5892">
        <w:rPr>
          <w:rFonts w:ascii="Times New Roman" w:eastAsia="Calibri" w:hAnsi="Times New Roman" w:cs="Times New Roman"/>
          <w:kern w:val="0"/>
          <w:sz w:val="28"/>
          <w:szCs w:val="28"/>
          <w:lang w:val="uk-UA"/>
          <w14:ligatures w14:val="none"/>
        </w:rPr>
        <w:t>. Вищезазначене підсилює актуальність подальших досліджень перспектив наукової кооперації міжвідомчого рівня, з урахуванням досвіду зарубіжних країн.</w:t>
      </w:r>
    </w:p>
    <w:p w14:paraId="67EDAFCE" w14:textId="77777777" w:rsidR="00090386" w:rsidRPr="003B5892" w:rsidRDefault="00090386" w:rsidP="00023291">
      <w:pPr>
        <w:tabs>
          <w:tab w:val="left" w:pos="9638"/>
        </w:tabs>
        <w:spacing w:after="0" w:line="240" w:lineRule="auto"/>
        <w:ind w:firstLine="709"/>
        <w:jc w:val="both"/>
        <w:rPr>
          <w:rFonts w:ascii="Times New Roman" w:eastAsia="Calibri" w:hAnsi="Times New Roman" w:cs="Times New Roman"/>
          <w:b/>
          <w:kern w:val="0"/>
          <w:sz w:val="24"/>
          <w:szCs w:val="24"/>
          <w:lang w:val="uk-UA"/>
          <w14:ligatures w14:val="none"/>
        </w:rPr>
      </w:pPr>
    </w:p>
    <w:p w14:paraId="247E68E6" w14:textId="77777777" w:rsidR="00090386" w:rsidRPr="003B5892" w:rsidRDefault="00090386" w:rsidP="007741E5">
      <w:pPr>
        <w:tabs>
          <w:tab w:val="left" w:pos="9638"/>
        </w:tabs>
        <w:spacing w:after="0" w:line="240" w:lineRule="auto"/>
        <w:jc w:val="center"/>
        <w:rPr>
          <w:rFonts w:ascii="Times New Roman" w:eastAsia="Calibri" w:hAnsi="Times New Roman" w:cs="Times New Roman"/>
          <w:b/>
          <w:kern w:val="0"/>
          <w:sz w:val="24"/>
          <w:szCs w:val="24"/>
          <w:lang w:val="uk-UA"/>
          <w14:ligatures w14:val="none"/>
        </w:rPr>
      </w:pPr>
      <w:r w:rsidRPr="003B5892">
        <w:rPr>
          <w:rFonts w:ascii="Times New Roman" w:eastAsia="Calibri" w:hAnsi="Times New Roman" w:cs="Times New Roman"/>
          <w:b/>
          <w:kern w:val="0"/>
          <w:sz w:val="24"/>
          <w:szCs w:val="24"/>
          <w:lang w:val="uk-UA"/>
          <w14:ligatures w14:val="none"/>
        </w:rPr>
        <w:t>ЛІТЕРАТУРА</w:t>
      </w:r>
    </w:p>
    <w:p w14:paraId="208B0B16" w14:textId="77777777" w:rsidR="00090386" w:rsidRPr="003B5892" w:rsidRDefault="00090386" w:rsidP="00023291">
      <w:pPr>
        <w:numPr>
          <w:ilvl w:val="0"/>
          <w:numId w:val="23"/>
        </w:numPr>
        <w:shd w:val="clear" w:color="auto" w:fill="FFFFFF"/>
        <w:tabs>
          <w:tab w:val="left" w:pos="567"/>
          <w:tab w:val="left" w:pos="1134"/>
          <w:tab w:val="left" w:pos="9638"/>
        </w:tabs>
        <w:spacing w:after="0" w:line="240" w:lineRule="auto"/>
        <w:ind w:left="0" w:firstLine="709"/>
        <w:jc w:val="both"/>
        <w:rPr>
          <w:rFonts w:ascii="Times New Roman" w:eastAsia="Times New Roman" w:hAnsi="Times New Roman" w:cs="Times New Roman"/>
          <w:color w:val="0A0A0A"/>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Дегтярьова, І., &amp; Квіт, С. (2019). </w:t>
      </w:r>
      <w:r w:rsidRPr="003B5892">
        <w:rPr>
          <w:rFonts w:ascii="Times New Roman" w:eastAsia="Times New Roman" w:hAnsi="Times New Roman" w:cs="Times New Roman"/>
          <w:i/>
          <w:iCs/>
          <w:color w:val="0A0A0A"/>
          <w:kern w:val="0"/>
          <w:sz w:val="24"/>
          <w:szCs w:val="24"/>
          <w:lang w:val="uk-UA" w:eastAsia="uk-UA"/>
          <w14:ligatures w14:val="none"/>
        </w:rPr>
        <w:t>Оптимізація управління науковою сферою: закордонний досвід та рекомендації для України</w:t>
      </w:r>
      <w:r w:rsidRPr="003B5892">
        <w:rPr>
          <w:rFonts w:ascii="Times New Roman" w:eastAsia="Times New Roman" w:hAnsi="Times New Roman" w:cs="Times New Roman"/>
          <w:color w:val="0A0A0A"/>
          <w:kern w:val="0"/>
          <w:sz w:val="24"/>
          <w:szCs w:val="24"/>
          <w:lang w:val="uk-UA" w:eastAsia="uk-UA"/>
          <w14:ligatures w14:val="none"/>
        </w:rPr>
        <w:t> (Дослідження). 40 с.</w:t>
      </w:r>
    </w:p>
    <w:p w14:paraId="11350211" w14:textId="77777777" w:rsidR="00090386" w:rsidRPr="003B5892" w:rsidRDefault="00090386" w:rsidP="00023291">
      <w:pPr>
        <w:numPr>
          <w:ilvl w:val="0"/>
          <w:numId w:val="23"/>
        </w:numPr>
        <w:shd w:val="clear" w:color="auto" w:fill="FFFFFF"/>
        <w:tabs>
          <w:tab w:val="left" w:pos="567"/>
          <w:tab w:val="left" w:pos="1134"/>
          <w:tab w:val="left" w:pos="9638"/>
        </w:tabs>
        <w:spacing w:after="0" w:line="240" w:lineRule="auto"/>
        <w:ind w:left="0" w:firstLine="709"/>
        <w:jc w:val="both"/>
        <w:rPr>
          <w:rFonts w:ascii="Times New Roman" w:eastAsia="Times New Roman" w:hAnsi="Times New Roman" w:cs="Times New Roman"/>
          <w:color w:val="0A0A0A"/>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Ісакова Н. Б. (2025). Співробітництво наукових установ НАН України та університетів як відповідь на сучасні виклики. </w:t>
      </w:r>
      <w:r w:rsidRPr="003B5892">
        <w:rPr>
          <w:rFonts w:ascii="Times New Roman" w:eastAsia="Times New Roman" w:hAnsi="Times New Roman" w:cs="Times New Roman"/>
          <w:i/>
          <w:iCs/>
          <w:color w:val="0A0A0A"/>
          <w:kern w:val="0"/>
          <w:sz w:val="24"/>
          <w:szCs w:val="24"/>
          <w:lang w:val="uk-UA" w:eastAsia="uk-UA"/>
          <w14:ligatures w14:val="none"/>
        </w:rPr>
        <w:t>Science and Science of Science</w:t>
      </w:r>
      <w:r w:rsidRPr="003B5892">
        <w:rPr>
          <w:rFonts w:ascii="Times New Roman" w:eastAsia="Times New Roman" w:hAnsi="Times New Roman" w:cs="Times New Roman"/>
          <w:color w:val="0A0A0A"/>
          <w:kern w:val="0"/>
          <w:sz w:val="24"/>
          <w:szCs w:val="24"/>
          <w:lang w:val="uk-UA" w:eastAsia="uk-UA"/>
          <w14:ligatures w14:val="none"/>
        </w:rPr>
        <w:t xml:space="preserve">. (2). С. 64–86. </w:t>
      </w:r>
      <w:r w:rsidRPr="003B5892">
        <w:rPr>
          <w:rFonts w:ascii="Times New Roman" w:eastAsia="Calibri" w:hAnsi="Times New Roman" w:cs="Times New Roman"/>
          <w:kern w:val="0"/>
          <w:sz w:val="24"/>
          <w:szCs w:val="24"/>
          <w:shd w:val="clear" w:color="auto" w:fill="FFFFFF"/>
          <w:lang w:val="uk-UA"/>
          <w14:ligatures w14:val="none"/>
        </w:rPr>
        <w:t xml:space="preserve">DOI: </w:t>
      </w:r>
      <w:r w:rsidRPr="003B5892">
        <w:rPr>
          <w:rFonts w:ascii="Times New Roman" w:eastAsia="Times New Roman" w:hAnsi="Times New Roman" w:cs="Times New Roman"/>
          <w:color w:val="0A0A0A"/>
          <w:kern w:val="0"/>
          <w:sz w:val="24"/>
          <w:szCs w:val="24"/>
          <w:lang w:val="uk-UA" w:eastAsia="uk-UA"/>
          <w14:ligatures w14:val="none"/>
        </w:rPr>
        <w:t>https://doi.org/10.15407/sofs2025.02.064.</w:t>
      </w:r>
    </w:p>
    <w:p w14:paraId="399D0D0F" w14:textId="77777777" w:rsidR="00090386" w:rsidRPr="003B5892" w:rsidRDefault="00090386" w:rsidP="00023291">
      <w:pPr>
        <w:numPr>
          <w:ilvl w:val="0"/>
          <w:numId w:val="23"/>
        </w:numPr>
        <w:shd w:val="clear" w:color="auto" w:fill="FFFFFF"/>
        <w:tabs>
          <w:tab w:val="left" w:pos="567"/>
          <w:tab w:val="left" w:pos="1134"/>
          <w:tab w:val="left" w:pos="9638"/>
        </w:tabs>
        <w:spacing w:after="0" w:line="240" w:lineRule="auto"/>
        <w:ind w:left="0" w:firstLine="709"/>
        <w:jc w:val="both"/>
        <w:rPr>
          <w:rFonts w:ascii="Times New Roman" w:eastAsia="Times New Roman" w:hAnsi="Times New Roman" w:cs="Times New Roman"/>
          <w:color w:val="0A0A0A"/>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Корнієнко В. О. (2024). Організаційно-правові засади формування політики у сфері науки та науково-технічної діяльності в системі Міністерства оборони України. </w:t>
      </w:r>
      <w:r w:rsidRPr="003B5892">
        <w:rPr>
          <w:rFonts w:ascii="Times New Roman" w:eastAsia="Times New Roman" w:hAnsi="Times New Roman" w:cs="Times New Roman"/>
          <w:i/>
          <w:iCs/>
          <w:color w:val="0A0A0A"/>
          <w:kern w:val="0"/>
          <w:sz w:val="24"/>
          <w:szCs w:val="24"/>
          <w:lang w:val="uk-UA" w:eastAsia="uk-UA"/>
          <w14:ligatures w14:val="none"/>
        </w:rPr>
        <w:t>Аналітично-порівняльне правознавство.</w:t>
      </w:r>
      <w:r w:rsidRPr="003B5892">
        <w:rPr>
          <w:rFonts w:ascii="Times New Roman" w:eastAsia="Times New Roman" w:hAnsi="Times New Roman" w:cs="Times New Roman"/>
          <w:color w:val="0A0A0A"/>
          <w:kern w:val="0"/>
          <w:sz w:val="24"/>
          <w:szCs w:val="24"/>
          <w:lang w:val="uk-UA" w:eastAsia="uk-UA"/>
          <w14:ligatures w14:val="none"/>
        </w:rPr>
        <w:t xml:space="preserve"> (4). С. 384–389. DOI: https://doi.org/10.24144/2788-6018.2024.04.62.</w:t>
      </w:r>
    </w:p>
    <w:p w14:paraId="590ACBD8" w14:textId="77777777" w:rsidR="00090386" w:rsidRPr="003B5892" w:rsidRDefault="00090386" w:rsidP="00023291">
      <w:pPr>
        <w:numPr>
          <w:ilvl w:val="0"/>
          <w:numId w:val="23"/>
        </w:numPr>
        <w:shd w:val="clear" w:color="auto" w:fill="FFFFFF"/>
        <w:tabs>
          <w:tab w:val="left" w:pos="567"/>
          <w:tab w:val="left" w:pos="1134"/>
          <w:tab w:val="left" w:pos="9638"/>
        </w:tabs>
        <w:spacing w:after="0" w:line="240" w:lineRule="auto"/>
        <w:ind w:left="0" w:firstLine="709"/>
        <w:jc w:val="both"/>
        <w:rPr>
          <w:rFonts w:ascii="Times New Roman" w:eastAsia="Times New Roman" w:hAnsi="Times New Roman" w:cs="Times New Roman"/>
          <w:color w:val="0A0A0A"/>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Маліцький Б. А. (2023). Національна академія наук України: суспільна роль, сучасний стан, проблеми розвитку та підходи до їх розв’язання (науково-аналітична доповідь). </w:t>
      </w:r>
      <w:r w:rsidRPr="003B5892">
        <w:rPr>
          <w:rFonts w:ascii="Times New Roman" w:eastAsia="Times New Roman" w:hAnsi="Times New Roman" w:cs="Times New Roman"/>
          <w:i/>
          <w:iCs/>
          <w:color w:val="0A0A0A"/>
          <w:kern w:val="0"/>
          <w:sz w:val="24"/>
          <w:szCs w:val="24"/>
          <w:lang w:val="uk-UA" w:eastAsia="uk-UA"/>
          <w14:ligatures w14:val="none"/>
        </w:rPr>
        <w:t>Наука та наукознавство</w:t>
      </w:r>
      <w:r w:rsidRPr="003B5892">
        <w:rPr>
          <w:rFonts w:ascii="Times New Roman" w:eastAsia="Times New Roman" w:hAnsi="Times New Roman" w:cs="Times New Roman"/>
          <w:color w:val="0A0A0A"/>
          <w:kern w:val="0"/>
          <w:sz w:val="24"/>
          <w:szCs w:val="24"/>
          <w:lang w:val="uk-UA" w:eastAsia="uk-UA"/>
          <w14:ligatures w14:val="none"/>
        </w:rPr>
        <w:t xml:space="preserve">. (3). С. 68–86. </w:t>
      </w:r>
      <w:r w:rsidRPr="003B5892">
        <w:rPr>
          <w:rFonts w:ascii="Times New Roman" w:eastAsia="Calibri" w:hAnsi="Times New Roman" w:cs="Times New Roman"/>
          <w:kern w:val="0"/>
          <w:sz w:val="24"/>
          <w:szCs w:val="24"/>
          <w:shd w:val="clear" w:color="auto" w:fill="FFFFFF"/>
          <w:lang w:val="uk-UA"/>
          <w14:ligatures w14:val="none"/>
        </w:rPr>
        <w:t xml:space="preserve">DOI: </w:t>
      </w:r>
      <w:r w:rsidRPr="003B5892">
        <w:rPr>
          <w:rFonts w:ascii="Times New Roman" w:eastAsia="Times New Roman" w:hAnsi="Times New Roman" w:cs="Times New Roman"/>
          <w:color w:val="0A0A0A"/>
          <w:kern w:val="0"/>
          <w:sz w:val="24"/>
          <w:szCs w:val="24"/>
          <w:lang w:val="uk-UA" w:eastAsia="uk-UA"/>
          <w14:ligatures w14:val="none"/>
        </w:rPr>
        <w:t>https://doi.org/10.15407/sofs2023.03.068.</w:t>
      </w:r>
    </w:p>
    <w:p w14:paraId="0E3AFDAE" w14:textId="77777777" w:rsidR="00090386" w:rsidRPr="003B5892" w:rsidRDefault="00090386" w:rsidP="00023291">
      <w:pPr>
        <w:numPr>
          <w:ilvl w:val="0"/>
          <w:numId w:val="23"/>
        </w:numPr>
        <w:shd w:val="clear" w:color="auto" w:fill="FFFFFF"/>
        <w:tabs>
          <w:tab w:val="left" w:pos="567"/>
          <w:tab w:val="left" w:pos="1134"/>
          <w:tab w:val="left" w:pos="9638"/>
        </w:tabs>
        <w:spacing w:after="0" w:line="240" w:lineRule="auto"/>
        <w:ind w:left="0" w:firstLine="709"/>
        <w:jc w:val="both"/>
        <w:rPr>
          <w:rFonts w:ascii="Times New Roman" w:eastAsia="Times New Roman" w:hAnsi="Times New Roman" w:cs="Times New Roman"/>
          <w:color w:val="0A0A0A"/>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Міністерство освіти і науки України. (2023). </w:t>
      </w:r>
      <w:r w:rsidRPr="003B5892">
        <w:rPr>
          <w:rFonts w:ascii="Times New Roman" w:eastAsia="Times New Roman" w:hAnsi="Times New Roman" w:cs="Times New Roman"/>
          <w:i/>
          <w:iCs/>
          <w:color w:val="0A0A0A"/>
          <w:kern w:val="0"/>
          <w:sz w:val="24"/>
          <w:szCs w:val="24"/>
          <w:lang w:val="uk-UA" w:eastAsia="uk-UA"/>
          <w14:ligatures w14:val="none"/>
        </w:rPr>
        <w:t>Дорожня карта європейської інтеграції України у сферах освіти і науки до 2027 року</w:t>
      </w:r>
      <w:r w:rsidRPr="003B5892">
        <w:rPr>
          <w:rFonts w:ascii="Times New Roman" w:eastAsia="Times New Roman" w:hAnsi="Times New Roman" w:cs="Times New Roman"/>
          <w:color w:val="0A0A0A"/>
          <w:kern w:val="0"/>
          <w:sz w:val="24"/>
          <w:szCs w:val="24"/>
          <w:lang w:val="uk-UA" w:eastAsia="uk-UA"/>
          <w14:ligatures w14:val="none"/>
        </w:rPr>
        <w:t xml:space="preserve"> (Наказ № 1501). </w:t>
      </w:r>
      <w:r w:rsidRPr="003B5892">
        <w:rPr>
          <w:rFonts w:ascii="Times New Roman" w:eastAsia="Times New Roman" w:hAnsi="Times New Roman" w:cs="Times New Roman"/>
          <w:color w:val="0A0A0A"/>
          <w:kern w:val="0"/>
          <w:sz w:val="24"/>
          <w:szCs w:val="24"/>
          <w:lang w:eastAsia="uk-UA"/>
          <w14:ligatures w14:val="none"/>
        </w:rPr>
        <w:t>URL</w:t>
      </w:r>
      <w:r w:rsidRPr="003B5892">
        <w:rPr>
          <w:rFonts w:ascii="Times New Roman" w:eastAsia="Times New Roman" w:hAnsi="Times New Roman" w:cs="Times New Roman"/>
          <w:color w:val="0A0A0A"/>
          <w:kern w:val="0"/>
          <w:sz w:val="24"/>
          <w:szCs w:val="24"/>
          <w:lang w:val="uk-UA" w:eastAsia="uk-UA"/>
          <w14:ligatures w14:val="none"/>
        </w:rPr>
        <w:t>:</w:t>
      </w:r>
      <w:r w:rsidRPr="003B5892">
        <w:rPr>
          <w:rFonts w:ascii="Times New Roman" w:eastAsia="Times New Roman" w:hAnsi="Times New Roman" w:cs="Times New Roman"/>
          <w:color w:val="0A0A0A"/>
          <w:kern w:val="0"/>
          <w:sz w:val="24"/>
          <w:szCs w:val="24"/>
          <w:lang w:eastAsia="uk-UA"/>
          <w14:ligatures w14:val="none"/>
        </w:rPr>
        <w:t xml:space="preserve"> </w:t>
      </w:r>
      <w:r w:rsidRPr="003B5892">
        <w:rPr>
          <w:rFonts w:ascii="Times New Roman" w:eastAsia="Times New Roman" w:hAnsi="Times New Roman" w:cs="Times New Roman"/>
          <w:color w:val="0A0A0A"/>
          <w:kern w:val="0"/>
          <w:sz w:val="24"/>
          <w:szCs w:val="24"/>
          <w:lang w:val="uk-UA" w:eastAsia="uk-UA"/>
          <w14:ligatures w14:val="none"/>
        </w:rPr>
        <w:t>https://zakon.rada.gov.ua/rada/show/v1501729-23#Text.</w:t>
      </w:r>
    </w:p>
    <w:p w14:paraId="0822B862" w14:textId="77777777" w:rsidR="00090386" w:rsidRPr="003B5892" w:rsidRDefault="00090386" w:rsidP="00023291">
      <w:pPr>
        <w:numPr>
          <w:ilvl w:val="0"/>
          <w:numId w:val="23"/>
        </w:numPr>
        <w:shd w:val="clear" w:color="auto" w:fill="FFFFFF"/>
        <w:tabs>
          <w:tab w:val="left" w:pos="567"/>
          <w:tab w:val="left" w:pos="1134"/>
          <w:tab w:val="left" w:pos="9638"/>
        </w:tabs>
        <w:spacing w:after="0" w:line="240" w:lineRule="auto"/>
        <w:ind w:left="0" w:firstLine="709"/>
        <w:jc w:val="both"/>
        <w:rPr>
          <w:rFonts w:ascii="Times New Roman" w:eastAsia="Times New Roman" w:hAnsi="Times New Roman" w:cs="Times New Roman"/>
          <w:color w:val="0A0A0A"/>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Наливайко, А. (2025). Особливості формування системи замовлення наукової продукції в Міністерстві оборони України. </w:t>
      </w:r>
      <w:r w:rsidRPr="003B5892">
        <w:rPr>
          <w:rFonts w:ascii="Times New Roman" w:eastAsia="Times New Roman" w:hAnsi="Times New Roman" w:cs="Times New Roman"/>
          <w:i/>
          <w:iCs/>
          <w:color w:val="0A0A0A"/>
          <w:kern w:val="0"/>
          <w:sz w:val="24"/>
          <w:szCs w:val="24"/>
          <w:lang w:val="uk-UA" w:eastAsia="uk-UA"/>
          <w14:ligatures w14:val="none"/>
        </w:rPr>
        <w:t>Військова освіта</w:t>
      </w:r>
      <w:r w:rsidRPr="003B5892">
        <w:rPr>
          <w:rFonts w:ascii="Times New Roman" w:eastAsia="Times New Roman" w:hAnsi="Times New Roman" w:cs="Times New Roman"/>
          <w:color w:val="0A0A0A"/>
          <w:kern w:val="0"/>
          <w:sz w:val="24"/>
          <w:szCs w:val="24"/>
          <w:lang w:val="uk-UA" w:eastAsia="uk-UA"/>
          <w14:ligatures w14:val="none"/>
        </w:rPr>
        <w:t>. (1). С. 139–154. DOI: https://doi.org/10.33099/2617-1783/2025-51/139-154.</w:t>
      </w:r>
    </w:p>
    <w:p w14:paraId="3708359C" w14:textId="77777777" w:rsidR="00090386" w:rsidRPr="003B5892" w:rsidRDefault="00090386" w:rsidP="00023291">
      <w:pPr>
        <w:numPr>
          <w:ilvl w:val="0"/>
          <w:numId w:val="23"/>
        </w:numPr>
        <w:shd w:val="clear" w:color="auto" w:fill="FFFFFF"/>
        <w:tabs>
          <w:tab w:val="left" w:pos="567"/>
          <w:tab w:val="left" w:pos="1134"/>
          <w:tab w:val="left" w:pos="9638"/>
        </w:tabs>
        <w:spacing w:after="0" w:line="240" w:lineRule="auto"/>
        <w:ind w:left="0" w:firstLine="709"/>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Національна академія наук України. (2025). </w:t>
      </w:r>
      <w:r w:rsidRPr="003B5892">
        <w:rPr>
          <w:rFonts w:ascii="Times New Roman" w:eastAsia="Times New Roman" w:hAnsi="Times New Roman" w:cs="Times New Roman"/>
          <w:i/>
          <w:iCs/>
          <w:color w:val="0A0A0A"/>
          <w:kern w:val="0"/>
          <w:sz w:val="24"/>
          <w:szCs w:val="24"/>
          <w:lang w:val="uk-UA" w:eastAsia="uk-UA"/>
          <w14:ligatures w14:val="none"/>
        </w:rPr>
        <w:t>Звіт про діяльність Національної академії наук України у 2024 році</w:t>
      </w:r>
      <w:r w:rsidRPr="003B5892">
        <w:rPr>
          <w:rFonts w:ascii="Times New Roman" w:eastAsia="Times New Roman" w:hAnsi="Times New Roman" w:cs="Times New Roman"/>
          <w:color w:val="0A0A0A"/>
          <w:kern w:val="0"/>
          <w:sz w:val="24"/>
          <w:szCs w:val="24"/>
          <w:lang w:val="uk-UA" w:eastAsia="uk-UA"/>
          <w14:ligatures w14:val="none"/>
        </w:rPr>
        <w:t xml:space="preserve">. Академперіодика. </w:t>
      </w:r>
      <w:r w:rsidRPr="003B5892">
        <w:rPr>
          <w:rFonts w:ascii="Times New Roman" w:eastAsia="Times New Roman" w:hAnsi="Times New Roman" w:cs="Times New Roman"/>
          <w:color w:val="0A0A0A"/>
          <w:kern w:val="0"/>
          <w:sz w:val="24"/>
          <w:szCs w:val="24"/>
          <w:lang w:eastAsia="uk-UA"/>
          <w14:ligatures w14:val="none"/>
        </w:rPr>
        <w:t>URL</w:t>
      </w:r>
      <w:r w:rsidRPr="003B5892">
        <w:rPr>
          <w:rFonts w:ascii="Times New Roman" w:eastAsia="Times New Roman" w:hAnsi="Times New Roman" w:cs="Times New Roman"/>
          <w:color w:val="0A0A0A"/>
          <w:kern w:val="0"/>
          <w:sz w:val="24"/>
          <w:szCs w:val="24"/>
          <w:lang w:val="uk-UA" w:eastAsia="uk-UA"/>
          <w14:ligatures w14:val="none"/>
        </w:rPr>
        <w:t>:</w:t>
      </w:r>
      <w:r w:rsidRPr="003B5892">
        <w:rPr>
          <w:rFonts w:ascii="Times New Roman" w:eastAsia="Times New Roman" w:hAnsi="Times New Roman" w:cs="Times New Roman"/>
          <w:color w:val="0A0A0A"/>
          <w:kern w:val="0"/>
          <w:sz w:val="24"/>
          <w:szCs w:val="24"/>
          <w:lang w:val="ru-RU" w:eastAsia="uk-UA"/>
          <w14:ligatures w14:val="none"/>
        </w:rPr>
        <w:t xml:space="preserve"> </w:t>
      </w:r>
      <w:hyperlink r:id="rId321" w:history="1">
        <w:r w:rsidRPr="003B5892">
          <w:rPr>
            <w:rFonts w:ascii="Times New Roman" w:eastAsia="Times New Roman" w:hAnsi="Times New Roman" w:cs="Times New Roman"/>
            <w:kern w:val="0"/>
            <w:sz w:val="24"/>
            <w:szCs w:val="24"/>
            <w:lang w:val="uk-UA" w:eastAsia="uk-UA"/>
            <w14:ligatures w14:val="none"/>
          </w:rPr>
          <w:t>https://www.nas.gov.ua/storage/editor/files/zvit-</w:t>
        </w:r>
        <w:r w:rsidRPr="003B5892">
          <w:rPr>
            <w:rFonts w:ascii="Times New Roman" w:eastAsia="Times New Roman" w:hAnsi="Times New Roman" w:cs="Times New Roman"/>
            <w:kern w:val="0"/>
            <w:sz w:val="24"/>
            <w:szCs w:val="24"/>
            <w:lang w:val="uk-UA" w:eastAsia="uk-UA"/>
            <w14:ligatures w14:val="none"/>
          </w:rPr>
          <w:t>n</w:t>
        </w:r>
        <w:r w:rsidRPr="003B5892">
          <w:rPr>
            <w:rFonts w:ascii="Times New Roman" w:eastAsia="Times New Roman" w:hAnsi="Times New Roman" w:cs="Times New Roman"/>
            <w:kern w:val="0"/>
            <w:sz w:val="24"/>
            <w:szCs w:val="24"/>
            <w:lang w:val="uk-UA" w:eastAsia="uk-UA"/>
            <w14:ligatures w14:val="none"/>
          </w:rPr>
          <w:t>anu-2024-ostatocn-redag.pdf</w:t>
        </w:r>
      </w:hyperlink>
      <w:r w:rsidRPr="003B5892">
        <w:rPr>
          <w:rFonts w:ascii="Times New Roman" w:eastAsia="Times New Roman" w:hAnsi="Times New Roman" w:cs="Times New Roman"/>
          <w:kern w:val="0"/>
          <w:sz w:val="24"/>
          <w:szCs w:val="24"/>
          <w:lang w:val="uk-UA" w:eastAsia="uk-UA"/>
          <w14:ligatures w14:val="none"/>
        </w:rPr>
        <w:t>.</w:t>
      </w:r>
    </w:p>
    <w:p w14:paraId="50FD6961" w14:textId="77777777" w:rsidR="00090386" w:rsidRPr="003B5892" w:rsidRDefault="00090386" w:rsidP="00023291">
      <w:pPr>
        <w:numPr>
          <w:ilvl w:val="0"/>
          <w:numId w:val="23"/>
        </w:numPr>
        <w:shd w:val="clear" w:color="auto" w:fill="FFFFFF"/>
        <w:tabs>
          <w:tab w:val="left" w:pos="567"/>
          <w:tab w:val="left" w:pos="1134"/>
          <w:tab w:val="left" w:pos="9638"/>
        </w:tabs>
        <w:spacing w:after="0" w:line="240" w:lineRule="auto"/>
        <w:ind w:left="0" w:firstLine="709"/>
        <w:jc w:val="both"/>
        <w:rPr>
          <w:rFonts w:ascii="Times New Roman" w:eastAsia="Times New Roman" w:hAnsi="Times New Roman" w:cs="Times New Roman"/>
          <w:color w:val="0A0A0A"/>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Хаустова В. Є., &amp; Решетняк О. І. (2021). Сучасні форми взаємодії та інтеграції освіти та науки: теорія та практика. </w:t>
      </w:r>
      <w:r w:rsidRPr="003B5892">
        <w:rPr>
          <w:rFonts w:ascii="Times New Roman" w:eastAsia="Times New Roman" w:hAnsi="Times New Roman" w:cs="Times New Roman"/>
          <w:i/>
          <w:iCs/>
          <w:color w:val="0A0A0A"/>
          <w:kern w:val="0"/>
          <w:sz w:val="24"/>
          <w:szCs w:val="24"/>
          <w:lang w:val="uk-UA" w:eastAsia="uk-UA"/>
          <w14:ligatures w14:val="none"/>
        </w:rPr>
        <w:t>Ефективна економіка</w:t>
      </w:r>
      <w:r w:rsidRPr="003B5892">
        <w:rPr>
          <w:rFonts w:ascii="Times New Roman" w:eastAsia="Times New Roman" w:hAnsi="Times New Roman" w:cs="Times New Roman"/>
          <w:color w:val="0A0A0A"/>
          <w:kern w:val="0"/>
          <w:sz w:val="24"/>
          <w:szCs w:val="24"/>
          <w:lang w:val="uk-UA" w:eastAsia="uk-UA"/>
          <w14:ligatures w14:val="none"/>
        </w:rPr>
        <w:t xml:space="preserve">. (12). </w:t>
      </w:r>
      <w:r w:rsidRPr="003B5892">
        <w:rPr>
          <w:rFonts w:ascii="Times New Roman" w:eastAsia="Calibri" w:hAnsi="Times New Roman" w:cs="Times New Roman"/>
          <w:kern w:val="0"/>
          <w:sz w:val="24"/>
          <w:szCs w:val="24"/>
          <w:shd w:val="clear" w:color="auto" w:fill="FFFFFF"/>
          <w:lang w:val="uk-UA"/>
          <w14:ligatures w14:val="none"/>
        </w:rPr>
        <w:t xml:space="preserve">DOI: </w:t>
      </w:r>
      <w:r w:rsidRPr="003B5892">
        <w:rPr>
          <w:rFonts w:ascii="Times New Roman" w:eastAsia="Times New Roman" w:hAnsi="Times New Roman" w:cs="Times New Roman"/>
          <w:color w:val="0A0A0A"/>
          <w:kern w:val="0"/>
          <w:sz w:val="24"/>
          <w:szCs w:val="24"/>
          <w:lang w:val="uk-UA" w:eastAsia="uk-UA"/>
          <w14:ligatures w14:val="none"/>
        </w:rPr>
        <w:t>https://doi.org/10.32702/2307-2105-2021.12.12.</w:t>
      </w:r>
    </w:p>
    <w:p w14:paraId="24C0818F" w14:textId="77777777" w:rsidR="00090386" w:rsidRPr="003B5892" w:rsidRDefault="00090386" w:rsidP="00023291">
      <w:pPr>
        <w:numPr>
          <w:ilvl w:val="0"/>
          <w:numId w:val="23"/>
        </w:numPr>
        <w:shd w:val="clear" w:color="auto" w:fill="FFFFFF"/>
        <w:tabs>
          <w:tab w:val="left" w:pos="567"/>
          <w:tab w:val="left" w:pos="1134"/>
          <w:tab w:val="left" w:pos="9638"/>
        </w:tabs>
        <w:spacing w:after="0" w:line="240" w:lineRule="auto"/>
        <w:ind w:left="0" w:firstLine="709"/>
        <w:jc w:val="both"/>
        <w:rPr>
          <w:rFonts w:ascii="Times New Roman" w:eastAsia="Times New Roman" w:hAnsi="Times New Roman" w:cs="Times New Roman"/>
          <w:color w:val="0A0A0A"/>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Хлонь С. Є. &amp; Ковальчук А. І. (2025). Необхідність утворення наукової установи Сил підтримки Збройних Сил України в контексті сучасних воєнних викликів. </w:t>
      </w:r>
      <w:r w:rsidRPr="003B5892">
        <w:rPr>
          <w:rFonts w:ascii="Times New Roman" w:eastAsia="Times New Roman" w:hAnsi="Times New Roman" w:cs="Times New Roman"/>
          <w:i/>
          <w:iCs/>
          <w:color w:val="0A0A0A"/>
          <w:kern w:val="0"/>
          <w:sz w:val="24"/>
          <w:szCs w:val="24"/>
          <w:lang w:val="uk-UA" w:eastAsia="uk-UA"/>
          <w14:ligatures w14:val="none"/>
        </w:rPr>
        <w:t>Національна безпека</w:t>
      </w:r>
      <w:r w:rsidRPr="003B5892">
        <w:rPr>
          <w:rFonts w:ascii="Times New Roman" w:eastAsia="Times New Roman" w:hAnsi="Times New Roman" w:cs="Times New Roman"/>
          <w:color w:val="0A0A0A"/>
          <w:kern w:val="0"/>
          <w:sz w:val="24"/>
          <w:szCs w:val="24"/>
          <w:lang w:val="uk-UA" w:eastAsia="uk-UA"/>
          <w14:ligatures w14:val="none"/>
        </w:rPr>
        <w:t>. </w:t>
      </w:r>
      <w:r w:rsidRPr="003B5892">
        <w:rPr>
          <w:rFonts w:ascii="Times New Roman" w:eastAsia="Times New Roman" w:hAnsi="Times New Roman" w:cs="Times New Roman"/>
          <w:i/>
          <w:iCs/>
          <w:color w:val="0A0A0A"/>
          <w:kern w:val="0"/>
          <w:sz w:val="24"/>
          <w:szCs w:val="24"/>
          <w:lang w:val="uk-UA" w:eastAsia="uk-UA"/>
          <w14:ligatures w14:val="none"/>
        </w:rPr>
        <w:t>2</w:t>
      </w:r>
      <w:r w:rsidRPr="003B5892">
        <w:rPr>
          <w:rFonts w:ascii="Times New Roman" w:eastAsia="Times New Roman" w:hAnsi="Times New Roman" w:cs="Times New Roman"/>
          <w:color w:val="0A0A0A"/>
          <w:kern w:val="0"/>
          <w:sz w:val="24"/>
          <w:szCs w:val="24"/>
          <w:lang w:val="uk-UA" w:eastAsia="uk-UA"/>
          <w14:ligatures w14:val="none"/>
        </w:rPr>
        <w:t xml:space="preserve">(2). С. 52–58. </w:t>
      </w:r>
      <w:r w:rsidRPr="003B5892">
        <w:rPr>
          <w:rFonts w:ascii="Times New Roman" w:eastAsia="Calibri" w:hAnsi="Times New Roman" w:cs="Times New Roman"/>
          <w:kern w:val="0"/>
          <w:sz w:val="24"/>
          <w:szCs w:val="24"/>
          <w:lang w:val="uk-UA"/>
          <w14:ligatures w14:val="none"/>
        </w:rPr>
        <w:t>DOI: 10.63978/3083-6476.2025.2.2.05.</w:t>
      </w:r>
    </w:p>
    <w:p w14:paraId="08372431" w14:textId="77777777" w:rsidR="00090386" w:rsidRPr="003B5892" w:rsidRDefault="00090386" w:rsidP="00023291">
      <w:pPr>
        <w:tabs>
          <w:tab w:val="left" w:pos="9638"/>
        </w:tabs>
        <w:spacing w:after="0" w:line="240" w:lineRule="auto"/>
        <w:ind w:firstLine="709"/>
        <w:jc w:val="center"/>
        <w:rPr>
          <w:rFonts w:ascii="Times New Roman" w:eastAsia="Calibri" w:hAnsi="Times New Roman" w:cs="Times New Roman"/>
          <w:b/>
          <w:kern w:val="0"/>
          <w:sz w:val="24"/>
          <w:szCs w:val="24"/>
          <w:lang w:val="uk-UA"/>
          <w14:ligatures w14:val="none"/>
        </w:rPr>
      </w:pPr>
    </w:p>
    <w:p w14:paraId="46742C17" w14:textId="77777777" w:rsidR="00090386" w:rsidRPr="003B5892" w:rsidRDefault="00090386" w:rsidP="007741E5">
      <w:pPr>
        <w:tabs>
          <w:tab w:val="left" w:pos="9638"/>
        </w:tabs>
        <w:spacing w:after="0" w:line="240" w:lineRule="auto"/>
        <w:jc w:val="center"/>
        <w:rPr>
          <w:rFonts w:ascii="Times New Roman" w:eastAsia="Calibri" w:hAnsi="Times New Roman" w:cs="Times New Roman"/>
          <w:b/>
          <w:kern w:val="0"/>
          <w:sz w:val="24"/>
          <w:szCs w:val="24"/>
          <w:lang w:val="uk-UA"/>
          <w14:ligatures w14:val="none"/>
        </w:rPr>
      </w:pPr>
      <w:r w:rsidRPr="003B5892">
        <w:rPr>
          <w:rFonts w:ascii="Times New Roman" w:eastAsia="Calibri" w:hAnsi="Times New Roman" w:cs="Times New Roman"/>
          <w:b/>
          <w:kern w:val="0"/>
          <w:sz w:val="24"/>
          <w:szCs w:val="24"/>
          <w:lang w:val="uk-UA"/>
          <w14:ligatures w14:val="none"/>
        </w:rPr>
        <w:t>REFERENCES</w:t>
      </w:r>
    </w:p>
    <w:p w14:paraId="71CC4259" w14:textId="77777777" w:rsidR="00090386" w:rsidRPr="003B5892" w:rsidRDefault="00090386" w:rsidP="00023291">
      <w:pPr>
        <w:numPr>
          <w:ilvl w:val="0"/>
          <w:numId w:val="24"/>
        </w:numPr>
        <w:shd w:val="clear" w:color="auto" w:fill="FFFFFF"/>
        <w:tabs>
          <w:tab w:val="left" w:pos="993"/>
          <w:tab w:val="left" w:pos="9638"/>
        </w:tabs>
        <w:spacing w:after="0" w:line="240" w:lineRule="auto"/>
        <w:ind w:left="0" w:firstLine="567"/>
        <w:jc w:val="both"/>
        <w:rPr>
          <w:rFonts w:ascii="Times New Roman" w:eastAsia="Times New Roman" w:hAnsi="Times New Roman" w:cs="Times New Roman"/>
          <w:color w:val="0A0A0A"/>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Dehtiarova, I., &amp; Kvit, S. (2019). </w:t>
      </w:r>
      <w:r w:rsidRPr="003B5892">
        <w:rPr>
          <w:rFonts w:ascii="Times New Roman" w:eastAsia="Times New Roman" w:hAnsi="Times New Roman" w:cs="Times New Roman"/>
          <w:i/>
          <w:iCs/>
          <w:color w:val="0A0A0A"/>
          <w:kern w:val="0"/>
          <w:sz w:val="24"/>
          <w:szCs w:val="24"/>
          <w:lang w:val="uk-UA" w:eastAsia="uk-UA"/>
          <w14:ligatures w14:val="none"/>
        </w:rPr>
        <w:t>Optymizatsiia upravlinnia naukovoiu sferoiu: zakordonnyi dosvid ta rekomendatsii dlia Ukrainy</w:t>
      </w:r>
      <w:r w:rsidRPr="003B5892">
        <w:rPr>
          <w:rFonts w:ascii="Times New Roman" w:eastAsia="Times New Roman" w:hAnsi="Times New Roman" w:cs="Times New Roman"/>
          <w:color w:val="0A0A0A"/>
          <w:kern w:val="0"/>
          <w:sz w:val="24"/>
          <w:szCs w:val="24"/>
          <w:lang w:val="uk-UA" w:eastAsia="uk-UA"/>
          <w14:ligatures w14:val="none"/>
        </w:rPr>
        <w:t xml:space="preserve"> [Optimization of scientific sphere management: foreign experience and recommendations for Ukraine] (Research report). 40 </w:t>
      </w:r>
      <w:r w:rsidRPr="003B5892">
        <w:rPr>
          <w:rFonts w:ascii="Times New Roman" w:eastAsia="Times New Roman" w:hAnsi="Times New Roman" w:cs="Times New Roman"/>
          <w:color w:val="0A0A0A"/>
          <w:kern w:val="0"/>
          <w:sz w:val="24"/>
          <w:szCs w:val="24"/>
          <w:lang w:eastAsia="uk-UA"/>
          <w14:ligatures w14:val="none"/>
        </w:rPr>
        <w:t>s.</w:t>
      </w:r>
    </w:p>
    <w:p w14:paraId="441A41EC" w14:textId="77777777" w:rsidR="00090386" w:rsidRPr="003B5892" w:rsidRDefault="00090386" w:rsidP="00023291">
      <w:pPr>
        <w:numPr>
          <w:ilvl w:val="0"/>
          <w:numId w:val="24"/>
        </w:numPr>
        <w:shd w:val="clear" w:color="auto" w:fill="FFFFFF"/>
        <w:tabs>
          <w:tab w:val="left" w:pos="993"/>
          <w:tab w:val="left" w:pos="9638"/>
        </w:tabs>
        <w:spacing w:after="0" w:line="240" w:lineRule="auto"/>
        <w:ind w:left="0" w:firstLine="567"/>
        <w:jc w:val="both"/>
        <w:rPr>
          <w:rFonts w:ascii="Times New Roman" w:eastAsia="Times New Roman" w:hAnsi="Times New Roman" w:cs="Times New Roman"/>
          <w:color w:val="0A0A0A"/>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Isakova, N. B. (2025). Spivrobitnytstvo naukovykh ustanov NAN Ukrainy ta universytetiv yak vidpovid na suchasni vyklyky [Cooperation of scientific institutions of the NAS of Ukraine and universities as a response to modern challenges]. </w:t>
      </w:r>
      <w:r w:rsidRPr="003B5892">
        <w:rPr>
          <w:rFonts w:ascii="Times New Roman" w:eastAsia="Times New Roman" w:hAnsi="Times New Roman" w:cs="Times New Roman"/>
          <w:i/>
          <w:iCs/>
          <w:color w:val="0A0A0A"/>
          <w:kern w:val="0"/>
          <w:sz w:val="24"/>
          <w:szCs w:val="24"/>
          <w:lang w:val="uk-UA" w:eastAsia="uk-UA"/>
          <w14:ligatures w14:val="none"/>
        </w:rPr>
        <w:t>Science and Science of Science</w:t>
      </w:r>
      <w:r w:rsidRPr="003B5892">
        <w:rPr>
          <w:rFonts w:ascii="Times New Roman" w:eastAsia="Times New Roman" w:hAnsi="Times New Roman" w:cs="Times New Roman"/>
          <w:color w:val="0A0A0A"/>
          <w:kern w:val="0"/>
          <w:sz w:val="24"/>
          <w:szCs w:val="24"/>
          <w:lang w:eastAsia="uk-UA"/>
          <w14:ligatures w14:val="none"/>
        </w:rPr>
        <w:t>/</w:t>
      </w:r>
      <w:r w:rsidRPr="003B5892">
        <w:rPr>
          <w:rFonts w:ascii="Times New Roman" w:eastAsia="Times New Roman" w:hAnsi="Times New Roman" w:cs="Times New Roman"/>
          <w:color w:val="0A0A0A"/>
          <w:kern w:val="0"/>
          <w:sz w:val="24"/>
          <w:szCs w:val="24"/>
          <w:lang w:val="uk-UA" w:eastAsia="uk-UA"/>
          <w14:ligatures w14:val="none"/>
        </w:rPr>
        <w:t xml:space="preserve"> (2)</w:t>
      </w:r>
      <w:r w:rsidRPr="003B5892">
        <w:rPr>
          <w:rFonts w:ascii="Times New Roman" w:eastAsia="Times New Roman" w:hAnsi="Times New Roman" w:cs="Times New Roman"/>
          <w:color w:val="0A0A0A"/>
          <w:kern w:val="0"/>
          <w:sz w:val="24"/>
          <w:szCs w:val="24"/>
          <w:lang w:eastAsia="uk-UA"/>
          <w14:ligatures w14:val="none"/>
        </w:rPr>
        <w:t>.</w:t>
      </w:r>
      <w:r w:rsidRPr="003B5892">
        <w:rPr>
          <w:rFonts w:ascii="Times New Roman" w:eastAsia="Times New Roman" w:hAnsi="Times New Roman" w:cs="Times New Roman"/>
          <w:color w:val="0A0A0A"/>
          <w:kern w:val="0"/>
          <w:sz w:val="24"/>
          <w:szCs w:val="24"/>
          <w:lang w:val="uk-UA" w:eastAsia="uk-UA"/>
          <w14:ligatures w14:val="none"/>
        </w:rPr>
        <w:t xml:space="preserve"> 64–86. </w:t>
      </w:r>
      <w:r w:rsidRPr="003B5892">
        <w:rPr>
          <w:rFonts w:ascii="Times New Roman" w:eastAsia="Calibri" w:hAnsi="Times New Roman" w:cs="Times New Roman"/>
          <w:kern w:val="0"/>
          <w:sz w:val="24"/>
          <w:szCs w:val="24"/>
          <w:shd w:val="clear" w:color="auto" w:fill="FFFFFF"/>
          <w:lang w:val="uk-UA"/>
          <w14:ligatures w14:val="none"/>
        </w:rPr>
        <w:t xml:space="preserve">. DOI: </w:t>
      </w:r>
      <w:r w:rsidRPr="003B5892">
        <w:rPr>
          <w:rFonts w:ascii="Times New Roman" w:eastAsia="Times New Roman" w:hAnsi="Times New Roman" w:cs="Times New Roman"/>
          <w:color w:val="0A0A0A"/>
          <w:kern w:val="0"/>
          <w:sz w:val="24"/>
          <w:szCs w:val="24"/>
          <w:lang w:val="uk-UA" w:eastAsia="uk-UA"/>
          <w14:ligatures w14:val="none"/>
        </w:rPr>
        <w:t>https://doi.org/10.15407/sofs2025.02.064</w:t>
      </w:r>
      <w:r w:rsidRPr="003B5892">
        <w:rPr>
          <w:rFonts w:ascii="Times New Roman" w:eastAsia="Times New Roman" w:hAnsi="Times New Roman" w:cs="Times New Roman"/>
          <w:color w:val="0A0A0A"/>
          <w:kern w:val="0"/>
          <w:sz w:val="24"/>
          <w:szCs w:val="24"/>
          <w:lang w:eastAsia="uk-UA"/>
          <w14:ligatures w14:val="none"/>
        </w:rPr>
        <w:t>.</w:t>
      </w:r>
    </w:p>
    <w:p w14:paraId="3E5FE2A9" w14:textId="77777777" w:rsidR="00090386" w:rsidRPr="003B5892" w:rsidRDefault="00090386" w:rsidP="00023291">
      <w:pPr>
        <w:numPr>
          <w:ilvl w:val="0"/>
          <w:numId w:val="24"/>
        </w:numPr>
        <w:shd w:val="clear" w:color="auto" w:fill="FFFFFF"/>
        <w:tabs>
          <w:tab w:val="left" w:pos="993"/>
          <w:tab w:val="left" w:pos="9638"/>
        </w:tabs>
        <w:spacing w:after="0" w:line="240" w:lineRule="auto"/>
        <w:ind w:left="0" w:firstLine="567"/>
        <w:jc w:val="both"/>
        <w:rPr>
          <w:rFonts w:ascii="Times New Roman" w:eastAsia="Times New Roman" w:hAnsi="Times New Roman" w:cs="Times New Roman"/>
          <w:color w:val="0A0A0A"/>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 xml:space="preserve">Korniienko, V. O. (2024). Orhanizatsiino-pravovi zasady formuvannia polityky u sferi nauky ta naukovo-tekhnichnoi diialnosti v systemi Ministerstva oborony Ukrainy [Organizational and legal principles of policy formation in the field of science and scientific and technical activity in </w:t>
      </w:r>
      <w:r w:rsidRPr="003B5892">
        <w:rPr>
          <w:rFonts w:ascii="Times New Roman" w:eastAsia="Times New Roman" w:hAnsi="Times New Roman" w:cs="Times New Roman"/>
          <w:color w:val="0A0A0A"/>
          <w:kern w:val="0"/>
          <w:sz w:val="24"/>
          <w:szCs w:val="24"/>
          <w:lang w:val="uk-UA" w:eastAsia="uk-UA"/>
          <w14:ligatures w14:val="none"/>
        </w:rPr>
        <w:lastRenderedPageBreak/>
        <w:t>the system of the Ministry of Defense of Ukraine]. </w:t>
      </w:r>
      <w:r w:rsidRPr="003B5892">
        <w:rPr>
          <w:rFonts w:ascii="Times New Roman" w:eastAsia="Times New Roman" w:hAnsi="Times New Roman" w:cs="Times New Roman"/>
          <w:i/>
          <w:iCs/>
          <w:color w:val="0A0A0A"/>
          <w:kern w:val="0"/>
          <w:sz w:val="24"/>
          <w:szCs w:val="24"/>
          <w:lang w:val="uk-UA" w:eastAsia="uk-UA"/>
          <w14:ligatures w14:val="none"/>
        </w:rPr>
        <w:t>Analitychno-porivnialne pravoznavstvo</w:t>
      </w:r>
      <w:r w:rsidRPr="003B5892">
        <w:rPr>
          <w:rFonts w:ascii="Times New Roman" w:eastAsia="Times New Roman" w:hAnsi="Times New Roman" w:cs="Times New Roman"/>
          <w:color w:val="0A0A0A"/>
          <w:kern w:val="0"/>
          <w:sz w:val="24"/>
          <w:szCs w:val="24"/>
          <w:lang w:eastAsia="uk-UA"/>
          <w14:ligatures w14:val="none"/>
        </w:rPr>
        <w:t>/</w:t>
      </w:r>
      <w:r w:rsidRPr="003B5892">
        <w:rPr>
          <w:rFonts w:ascii="Times New Roman" w:eastAsia="Times New Roman" w:hAnsi="Times New Roman" w:cs="Times New Roman"/>
          <w:color w:val="0A0A0A"/>
          <w:kern w:val="0"/>
          <w:sz w:val="24"/>
          <w:szCs w:val="24"/>
          <w:lang w:val="uk-UA" w:eastAsia="uk-UA"/>
          <w14:ligatures w14:val="none"/>
        </w:rPr>
        <w:t xml:space="preserve"> (4)</w:t>
      </w:r>
      <w:r w:rsidRPr="003B5892">
        <w:rPr>
          <w:rFonts w:ascii="Times New Roman" w:eastAsia="Times New Roman" w:hAnsi="Times New Roman" w:cs="Times New Roman"/>
          <w:color w:val="0A0A0A"/>
          <w:kern w:val="0"/>
          <w:sz w:val="24"/>
          <w:szCs w:val="24"/>
          <w:lang w:eastAsia="uk-UA"/>
          <w14:ligatures w14:val="none"/>
        </w:rPr>
        <w:t>/</w:t>
      </w:r>
      <w:r w:rsidRPr="003B5892">
        <w:rPr>
          <w:rFonts w:ascii="Times New Roman" w:eastAsia="Times New Roman" w:hAnsi="Times New Roman" w:cs="Times New Roman"/>
          <w:color w:val="0A0A0A"/>
          <w:kern w:val="0"/>
          <w:sz w:val="24"/>
          <w:szCs w:val="24"/>
          <w:lang w:val="uk-UA" w:eastAsia="uk-UA"/>
          <w14:ligatures w14:val="none"/>
        </w:rPr>
        <w:t xml:space="preserve"> 384–389. </w:t>
      </w:r>
      <w:r w:rsidRPr="003B5892">
        <w:rPr>
          <w:rFonts w:ascii="Times New Roman" w:eastAsia="Calibri" w:hAnsi="Times New Roman" w:cs="Times New Roman"/>
          <w:kern w:val="0"/>
          <w:sz w:val="24"/>
          <w:szCs w:val="24"/>
          <w:shd w:val="clear" w:color="auto" w:fill="FFFFFF"/>
          <w:lang w:val="uk-UA"/>
          <w14:ligatures w14:val="none"/>
        </w:rPr>
        <w:t xml:space="preserve">. DOI: </w:t>
      </w:r>
      <w:r w:rsidRPr="003B5892">
        <w:rPr>
          <w:rFonts w:ascii="Times New Roman" w:eastAsia="Times New Roman" w:hAnsi="Times New Roman" w:cs="Times New Roman"/>
          <w:color w:val="0A0A0A"/>
          <w:kern w:val="0"/>
          <w:sz w:val="24"/>
          <w:szCs w:val="24"/>
          <w:lang w:val="uk-UA" w:eastAsia="uk-UA"/>
          <w14:ligatures w14:val="none"/>
        </w:rPr>
        <w:t>https://doi.org/10.24144/2788-6018.2024.04.62</w:t>
      </w:r>
      <w:r w:rsidRPr="003B5892">
        <w:rPr>
          <w:rFonts w:ascii="Times New Roman" w:eastAsia="Times New Roman" w:hAnsi="Times New Roman" w:cs="Times New Roman"/>
          <w:color w:val="0A0A0A"/>
          <w:kern w:val="0"/>
          <w:sz w:val="24"/>
          <w:szCs w:val="24"/>
          <w:lang w:eastAsia="uk-UA"/>
          <w14:ligatures w14:val="none"/>
        </w:rPr>
        <w:t>.</w:t>
      </w:r>
    </w:p>
    <w:p w14:paraId="7F8744C2" w14:textId="77777777" w:rsidR="00090386" w:rsidRPr="003B5892" w:rsidRDefault="00090386" w:rsidP="00023291">
      <w:pPr>
        <w:numPr>
          <w:ilvl w:val="0"/>
          <w:numId w:val="24"/>
        </w:numPr>
        <w:shd w:val="clear" w:color="auto" w:fill="FFFFFF"/>
        <w:tabs>
          <w:tab w:val="left" w:pos="993"/>
          <w:tab w:val="left" w:pos="9638"/>
        </w:tabs>
        <w:spacing w:after="0" w:line="240" w:lineRule="auto"/>
        <w:ind w:left="0" w:firstLine="567"/>
        <w:jc w:val="both"/>
        <w:rPr>
          <w:rFonts w:ascii="Times New Roman" w:eastAsia="Times New Roman" w:hAnsi="Times New Roman" w:cs="Times New Roman"/>
          <w:color w:val="0A0A0A"/>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Malitskyi, B. A. (2023). Natsionalna akademiia nauk Ukrainy: suspilna rol, suchasnyi stan, problemy rozvytku ta pidkhody do yikh rozviazannia (naukovo-analitychna dopovid) [National Academy of Sciences of Ukraine: social role, current state, problems of development and approaches to their solution (scientific and analytical report)]. </w:t>
      </w:r>
      <w:r w:rsidRPr="003B5892">
        <w:rPr>
          <w:rFonts w:ascii="Times New Roman" w:eastAsia="Times New Roman" w:hAnsi="Times New Roman" w:cs="Times New Roman"/>
          <w:i/>
          <w:iCs/>
          <w:color w:val="0A0A0A"/>
          <w:kern w:val="0"/>
          <w:sz w:val="24"/>
          <w:szCs w:val="24"/>
          <w:lang w:val="uk-UA" w:eastAsia="uk-UA"/>
          <w14:ligatures w14:val="none"/>
        </w:rPr>
        <w:t>Science and Science of Science</w:t>
      </w:r>
      <w:r w:rsidRPr="003B5892">
        <w:rPr>
          <w:rFonts w:ascii="Times New Roman" w:eastAsia="Times New Roman" w:hAnsi="Times New Roman" w:cs="Times New Roman"/>
          <w:color w:val="0A0A0A"/>
          <w:kern w:val="0"/>
          <w:sz w:val="24"/>
          <w:szCs w:val="24"/>
          <w:lang w:eastAsia="uk-UA"/>
          <w14:ligatures w14:val="none"/>
        </w:rPr>
        <w:t>.</w:t>
      </w:r>
      <w:r w:rsidRPr="003B5892">
        <w:rPr>
          <w:rFonts w:ascii="Times New Roman" w:eastAsia="Times New Roman" w:hAnsi="Times New Roman" w:cs="Times New Roman"/>
          <w:color w:val="0A0A0A"/>
          <w:kern w:val="0"/>
          <w:sz w:val="24"/>
          <w:szCs w:val="24"/>
          <w:lang w:val="uk-UA" w:eastAsia="uk-UA"/>
          <w14:ligatures w14:val="none"/>
        </w:rPr>
        <w:t xml:space="preserve"> (3)</w:t>
      </w:r>
      <w:r w:rsidRPr="003B5892">
        <w:rPr>
          <w:rFonts w:ascii="Times New Roman" w:eastAsia="Times New Roman" w:hAnsi="Times New Roman" w:cs="Times New Roman"/>
          <w:color w:val="0A0A0A"/>
          <w:kern w:val="0"/>
          <w:sz w:val="24"/>
          <w:szCs w:val="24"/>
          <w:lang w:eastAsia="uk-UA"/>
          <w14:ligatures w14:val="none"/>
        </w:rPr>
        <w:t>.</w:t>
      </w:r>
      <w:r w:rsidRPr="003B5892">
        <w:rPr>
          <w:rFonts w:ascii="Times New Roman" w:eastAsia="Times New Roman" w:hAnsi="Times New Roman" w:cs="Times New Roman"/>
          <w:color w:val="0A0A0A"/>
          <w:kern w:val="0"/>
          <w:sz w:val="24"/>
          <w:szCs w:val="24"/>
          <w:lang w:val="uk-UA" w:eastAsia="uk-UA"/>
          <w14:ligatures w14:val="none"/>
        </w:rPr>
        <w:t xml:space="preserve"> 68–86. </w:t>
      </w:r>
      <w:r w:rsidRPr="003B5892">
        <w:rPr>
          <w:rFonts w:ascii="Times New Roman" w:eastAsia="Calibri" w:hAnsi="Times New Roman" w:cs="Times New Roman"/>
          <w:kern w:val="0"/>
          <w:sz w:val="24"/>
          <w:szCs w:val="24"/>
          <w:shd w:val="clear" w:color="auto" w:fill="FFFFFF"/>
          <w:lang w:val="uk-UA"/>
          <w14:ligatures w14:val="none"/>
        </w:rPr>
        <w:t xml:space="preserve">DOI: </w:t>
      </w:r>
      <w:r w:rsidRPr="003B5892">
        <w:rPr>
          <w:rFonts w:ascii="Times New Roman" w:eastAsia="Times New Roman" w:hAnsi="Times New Roman" w:cs="Times New Roman"/>
          <w:color w:val="0A0A0A"/>
          <w:kern w:val="0"/>
          <w:sz w:val="24"/>
          <w:szCs w:val="24"/>
          <w:lang w:val="uk-UA" w:eastAsia="uk-UA"/>
          <w14:ligatures w14:val="none"/>
        </w:rPr>
        <w:t>https://doi.org/10.15407/sofs2023.03.068</w:t>
      </w:r>
      <w:r w:rsidRPr="003B5892">
        <w:rPr>
          <w:rFonts w:ascii="Times New Roman" w:eastAsia="Times New Roman" w:hAnsi="Times New Roman" w:cs="Times New Roman"/>
          <w:color w:val="0A0A0A"/>
          <w:kern w:val="0"/>
          <w:sz w:val="24"/>
          <w:szCs w:val="24"/>
          <w:lang w:eastAsia="uk-UA"/>
          <w14:ligatures w14:val="none"/>
        </w:rPr>
        <w:t>.</w:t>
      </w:r>
    </w:p>
    <w:p w14:paraId="0365BEBE" w14:textId="77777777" w:rsidR="00090386" w:rsidRPr="003B5892" w:rsidRDefault="00090386" w:rsidP="00023291">
      <w:pPr>
        <w:numPr>
          <w:ilvl w:val="0"/>
          <w:numId w:val="24"/>
        </w:numPr>
        <w:shd w:val="clear" w:color="auto" w:fill="FFFFFF"/>
        <w:tabs>
          <w:tab w:val="left" w:pos="993"/>
          <w:tab w:val="left" w:pos="9638"/>
        </w:tabs>
        <w:spacing w:after="0" w:line="240" w:lineRule="auto"/>
        <w:ind w:left="0" w:firstLine="567"/>
        <w:jc w:val="both"/>
        <w:rPr>
          <w:rFonts w:ascii="Times New Roman" w:eastAsia="Times New Roman" w:hAnsi="Times New Roman" w:cs="Times New Roman"/>
          <w:color w:val="0A0A0A"/>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Ministry of Education and Science of Ukraine. (2023). </w:t>
      </w:r>
      <w:r w:rsidRPr="003B5892">
        <w:rPr>
          <w:rFonts w:ascii="Times New Roman" w:eastAsia="Times New Roman" w:hAnsi="Times New Roman" w:cs="Times New Roman"/>
          <w:i/>
          <w:iCs/>
          <w:color w:val="0A0A0A"/>
          <w:kern w:val="0"/>
          <w:sz w:val="24"/>
          <w:szCs w:val="24"/>
          <w:lang w:val="uk-UA" w:eastAsia="uk-UA"/>
          <w14:ligatures w14:val="none"/>
        </w:rPr>
        <w:t>Dorozhnia karta yevropeiskoi intehratsii Ukrainy u sferakh osvity i nauky do 2027 roku</w:t>
      </w:r>
      <w:r w:rsidRPr="003B5892">
        <w:rPr>
          <w:rFonts w:ascii="Times New Roman" w:eastAsia="Times New Roman" w:hAnsi="Times New Roman" w:cs="Times New Roman"/>
          <w:color w:val="0A0A0A"/>
          <w:kern w:val="0"/>
          <w:sz w:val="24"/>
          <w:szCs w:val="24"/>
          <w:lang w:val="uk-UA" w:eastAsia="uk-UA"/>
          <w14:ligatures w14:val="none"/>
        </w:rPr>
        <w:t> [Roadmap for the European integration of Ukraine in the fields of education and science until 2027] (Order No. 1501).</w:t>
      </w:r>
      <w:r w:rsidRPr="003B5892">
        <w:rPr>
          <w:rFonts w:ascii="Times New Roman" w:eastAsia="Calibri" w:hAnsi="Times New Roman" w:cs="Times New Roman"/>
          <w:kern w:val="0"/>
          <w:sz w:val="24"/>
          <w:szCs w:val="24"/>
          <w:shd w:val="clear" w:color="auto" w:fill="FFFFFF"/>
          <w:lang w:val="uk-UA"/>
          <w14:ligatures w14:val="none"/>
        </w:rPr>
        <w:t xml:space="preserve"> Retrieved from:</w:t>
      </w:r>
      <w:r w:rsidRPr="003B5892">
        <w:rPr>
          <w:rFonts w:ascii="Times New Roman" w:eastAsia="Times New Roman" w:hAnsi="Times New Roman" w:cs="Times New Roman"/>
          <w:color w:val="0A0A0A"/>
          <w:kern w:val="0"/>
          <w:sz w:val="24"/>
          <w:szCs w:val="24"/>
          <w:lang w:val="uk-UA" w:eastAsia="uk-UA"/>
          <w14:ligatures w14:val="none"/>
        </w:rPr>
        <w:t xml:space="preserve"> https://zakon.rada.gov.ua/rada/show/v1501729-23#Text</w:t>
      </w:r>
      <w:r w:rsidRPr="003B5892">
        <w:rPr>
          <w:rFonts w:ascii="Times New Roman" w:eastAsia="Times New Roman" w:hAnsi="Times New Roman" w:cs="Times New Roman"/>
          <w:color w:val="0A0A0A"/>
          <w:kern w:val="0"/>
          <w:sz w:val="24"/>
          <w:szCs w:val="24"/>
          <w:lang w:eastAsia="uk-UA"/>
          <w14:ligatures w14:val="none"/>
        </w:rPr>
        <w:t>.</w:t>
      </w:r>
    </w:p>
    <w:p w14:paraId="715320AA" w14:textId="77777777" w:rsidR="00090386" w:rsidRPr="003B5892" w:rsidRDefault="00090386" w:rsidP="00023291">
      <w:pPr>
        <w:numPr>
          <w:ilvl w:val="0"/>
          <w:numId w:val="24"/>
        </w:numPr>
        <w:shd w:val="clear" w:color="auto" w:fill="FFFFFF"/>
        <w:tabs>
          <w:tab w:val="left" w:pos="993"/>
          <w:tab w:val="left" w:pos="9638"/>
        </w:tabs>
        <w:spacing w:after="0" w:line="240" w:lineRule="auto"/>
        <w:ind w:left="0" w:firstLine="567"/>
        <w:jc w:val="both"/>
        <w:rPr>
          <w:rFonts w:ascii="Times New Roman" w:eastAsia="Times New Roman" w:hAnsi="Times New Roman" w:cs="Times New Roman"/>
          <w:color w:val="0A0A0A"/>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Nalyvaiko, A. (2025). Osoblyvosti formuvannia systemy zamovlennia naukovoi produktsii v Ministerstvi oborony Ukrainy [Peculiarities of the formation of the system for ordering scientific products in the Ministry of Defense of Ukraine]. </w:t>
      </w:r>
      <w:r w:rsidRPr="003B5892">
        <w:rPr>
          <w:rFonts w:ascii="Times New Roman" w:eastAsia="Times New Roman" w:hAnsi="Times New Roman" w:cs="Times New Roman"/>
          <w:i/>
          <w:iCs/>
          <w:color w:val="0A0A0A"/>
          <w:kern w:val="0"/>
          <w:sz w:val="24"/>
          <w:szCs w:val="24"/>
          <w:lang w:val="uk-UA" w:eastAsia="uk-UA"/>
          <w14:ligatures w14:val="none"/>
        </w:rPr>
        <w:t>Viiskova osvita</w:t>
      </w:r>
      <w:r w:rsidRPr="003B5892">
        <w:rPr>
          <w:rFonts w:ascii="Times New Roman" w:eastAsia="Times New Roman" w:hAnsi="Times New Roman" w:cs="Times New Roman"/>
          <w:color w:val="0A0A0A"/>
          <w:kern w:val="0"/>
          <w:sz w:val="24"/>
          <w:szCs w:val="24"/>
          <w:lang w:eastAsia="uk-UA"/>
          <w14:ligatures w14:val="none"/>
        </w:rPr>
        <w:t>.</w:t>
      </w:r>
      <w:r w:rsidRPr="003B5892">
        <w:rPr>
          <w:rFonts w:ascii="Times New Roman" w:eastAsia="Times New Roman" w:hAnsi="Times New Roman" w:cs="Times New Roman"/>
          <w:color w:val="0A0A0A"/>
          <w:kern w:val="0"/>
          <w:sz w:val="24"/>
          <w:szCs w:val="24"/>
          <w:lang w:val="uk-UA" w:eastAsia="uk-UA"/>
          <w14:ligatures w14:val="none"/>
        </w:rPr>
        <w:t xml:space="preserve"> (1)</w:t>
      </w:r>
      <w:r w:rsidRPr="003B5892">
        <w:rPr>
          <w:rFonts w:ascii="Times New Roman" w:eastAsia="Times New Roman" w:hAnsi="Times New Roman" w:cs="Times New Roman"/>
          <w:color w:val="0A0A0A"/>
          <w:kern w:val="0"/>
          <w:sz w:val="24"/>
          <w:szCs w:val="24"/>
          <w:lang w:eastAsia="uk-UA"/>
          <w14:ligatures w14:val="none"/>
        </w:rPr>
        <w:t>.</w:t>
      </w:r>
      <w:r w:rsidRPr="003B5892">
        <w:rPr>
          <w:rFonts w:ascii="Times New Roman" w:eastAsia="Times New Roman" w:hAnsi="Times New Roman" w:cs="Times New Roman"/>
          <w:color w:val="0A0A0A"/>
          <w:kern w:val="0"/>
          <w:sz w:val="24"/>
          <w:szCs w:val="24"/>
          <w:lang w:val="uk-UA" w:eastAsia="uk-UA"/>
          <w14:ligatures w14:val="none"/>
        </w:rPr>
        <w:t xml:space="preserve"> 139–154. </w:t>
      </w:r>
      <w:r w:rsidRPr="003B5892">
        <w:rPr>
          <w:rFonts w:ascii="Times New Roman" w:eastAsia="Calibri" w:hAnsi="Times New Roman" w:cs="Times New Roman"/>
          <w:kern w:val="0"/>
          <w:sz w:val="24"/>
          <w:szCs w:val="24"/>
          <w:shd w:val="clear" w:color="auto" w:fill="FFFFFF"/>
          <w:lang w:val="uk-UA"/>
          <w14:ligatures w14:val="none"/>
        </w:rPr>
        <w:t xml:space="preserve">DOI: </w:t>
      </w:r>
      <w:r w:rsidRPr="003B5892">
        <w:rPr>
          <w:rFonts w:ascii="Times New Roman" w:eastAsia="Times New Roman" w:hAnsi="Times New Roman" w:cs="Times New Roman"/>
          <w:color w:val="0A0A0A"/>
          <w:kern w:val="0"/>
          <w:sz w:val="24"/>
          <w:szCs w:val="24"/>
          <w:lang w:val="uk-UA" w:eastAsia="uk-UA"/>
          <w14:ligatures w14:val="none"/>
        </w:rPr>
        <w:t>https://doi.org/10.33099/2617-1783/2025-51/139-154</w:t>
      </w:r>
      <w:r w:rsidRPr="003B5892">
        <w:rPr>
          <w:rFonts w:ascii="Times New Roman" w:eastAsia="Times New Roman" w:hAnsi="Times New Roman" w:cs="Times New Roman"/>
          <w:color w:val="0A0A0A"/>
          <w:kern w:val="0"/>
          <w:sz w:val="24"/>
          <w:szCs w:val="24"/>
          <w:lang w:eastAsia="uk-UA"/>
          <w14:ligatures w14:val="none"/>
        </w:rPr>
        <w:t>.</w:t>
      </w:r>
    </w:p>
    <w:p w14:paraId="1D1908F4" w14:textId="77777777" w:rsidR="00090386" w:rsidRPr="003B5892" w:rsidRDefault="00090386" w:rsidP="00023291">
      <w:pPr>
        <w:numPr>
          <w:ilvl w:val="0"/>
          <w:numId w:val="24"/>
        </w:numPr>
        <w:shd w:val="clear" w:color="auto" w:fill="FFFFFF"/>
        <w:tabs>
          <w:tab w:val="left" w:pos="993"/>
          <w:tab w:val="left" w:pos="9638"/>
        </w:tabs>
        <w:spacing w:after="0" w:line="240" w:lineRule="auto"/>
        <w:ind w:left="0" w:firstLine="567"/>
        <w:jc w:val="both"/>
        <w:rPr>
          <w:rFonts w:ascii="Times New Roman" w:eastAsia="Times New Roman" w:hAnsi="Times New Roman" w:cs="Times New Roman"/>
          <w:color w:val="0A0A0A"/>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National Academy of Sciences of Ukraine. (2025). </w:t>
      </w:r>
      <w:r w:rsidRPr="003B5892">
        <w:rPr>
          <w:rFonts w:ascii="Times New Roman" w:eastAsia="Times New Roman" w:hAnsi="Times New Roman" w:cs="Times New Roman"/>
          <w:i/>
          <w:iCs/>
          <w:color w:val="0A0A0A"/>
          <w:kern w:val="0"/>
          <w:sz w:val="24"/>
          <w:szCs w:val="24"/>
          <w:lang w:val="uk-UA" w:eastAsia="uk-UA"/>
          <w14:ligatures w14:val="none"/>
        </w:rPr>
        <w:t>Zvit pro diialnist Natsionalnoi akademii nauk Ukrainy u 2024 rotsi</w:t>
      </w:r>
      <w:r w:rsidRPr="003B5892">
        <w:rPr>
          <w:rFonts w:ascii="Times New Roman" w:eastAsia="Times New Roman" w:hAnsi="Times New Roman" w:cs="Times New Roman"/>
          <w:color w:val="0A0A0A"/>
          <w:kern w:val="0"/>
          <w:sz w:val="24"/>
          <w:szCs w:val="24"/>
          <w:lang w:val="uk-UA" w:eastAsia="uk-UA"/>
          <w14:ligatures w14:val="none"/>
        </w:rPr>
        <w:t xml:space="preserve"> [Report on the activities of the National Academy of Sciences of Ukraine in 2024]. Akademperiodyka. </w:t>
      </w:r>
      <w:r w:rsidRPr="003B5892">
        <w:rPr>
          <w:rFonts w:ascii="Times New Roman" w:eastAsia="Calibri" w:hAnsi="Times New Roman" w:cs="Times New Roman"/>
          <w:kern w:val="0"/>
          <w:sz w:val="24"/>
          <w:szCs w:val="24"/>
          <w:shd w:val="clear" w:color="auto" w:fill="FFFFFF"/>
          <w:lang w:val="uk-UA"/>
          <w14:ligatures w14:val="none"/>
        </w:rPr>
        <w:t>Retrieved from:</w:t>
      </w:r>
      <w:r w:rsidRPr="003B5892">
        <w:rPr>
          <w:rFonts w:ascii="Times New Roman" w:eastAsia="Times New Roman" w:hAnsi="Times New Roman" w:cs="Times New Roman"/>
          <w:color w:val="0A0A0A"/>
          <w:kern w:val="0"/>
          <w:sz w:val="24"/>
          <w:szCs w:val="24"/>
          <w:lang w:val="uk-UA" w:eastAsia="uk-UA"/>
          <w14:ligatures w14:val="none"/>
        </w:rPr>
        <w:t xml:space="preserve"> https://www.nas.gov.ua/storage/editor/files/zvit-nanu-2024-ostatocn-redag.pdf</w:t>
      </w:r>
      <w:r w:rsidRPr="003B5892">
        <w:rPr>
          <w:rFonts w:ascii="Times New Roman" w:eastAsia="Times New Roman" w:hAnsi="Times New Roman" w:cs="Times New Roman"/>
          <w:color w:val="0A0A0A"/>
          <w:kern w:val="0"/>
          <w:sz w:val="24"/>
          <w:szCs w:val="24"/>
          <w:lang w:eastAsia="uk-UA"/>
          <w14:ligatures w14:val="none"/>
        </w:rPr>
        <w:t>/</w:t>
      </w:r>
    </w:p>
    <w:p w14:paraId="64794165" w14:textId="77777777" w:rsidR="00090386" w:rsidRPr="003B5892" w:rsidRDefault="00090386" w:rsidP="00023291">
      <w:pPr>
        <w:numPr>
          <w:ilvl w:val="0"/>
          <w:numId w:val="24"/>
        </w:numPr>
        <w:shd w:val="clear" w:color="auto" w:fill="FFFFFF"/>
        <w:tabs>
          <w:tab w:val="left" w:pos="993"/>
          <w:tab w:val="left" w:pos="9638"/>
        </w:tabs>
        <w:spacing w:after="0" w:line="240" w:lineRule="auto"/>
        <w:ind w:left="0" w:firstLine="567"/>
        <w:jc w:val="both"/>
        <w:rPr>
          <w:rFonts w:ascii="Times New Roman" w:eastAsia="Times New Roman" w:hAnsi="Times New Roman" w:cs="Times New Roman"/>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Khaustova, V. Ye., &amp; Reshetniak, O. I. (2021). Suchasni formy vzaiemodii ta intehratsii osvity ta nauky: teoriia ta praktyka [Modern forms of interaction and integration of education and science: theory and practice]. </w:t>
      </w:r>
      <w:r w:rsidRPr="003B5892">
        <w:rPr>
          <w:rFonts w:ascii="Times New Roman" w:eastAsia="Times New Roman" w:hAnsi="Times New Roman" w:cs="Times New Roman"/>
          <w:i/>
          <w:iCs/>
          <w:color w:val="0A0A0A"/>
          <w:kern w:val="0"/>
          <w:sz w:val="24"/>
          <w:szCs w:val="24"/>
          <w:lang w:val="uk-UA" w:eastAsia="uk-UA"/>
          <w14:ligatures w14:val="none"/>
        </w:rPr>
        <w:t>Efektyvna ekonomika</w:t>
      </w:r>
      <w:r w:rsidRPr="003B5892">
        <w:rPr>
          <w:rFonts w:ascii="Times New Roman" w:eastAsia="Times New Roman" w:hAnsi="Times New Roman" w:cs="Times New Roman"/>
          <w:color w:val="0A0A0A"/>
          <w:kern w:val="0"/>
          <w:sz w:val="24"/>
          <w:szCs w:val="24"/>
          <w:lang w:eastAsia="uk-UA"/>
          <w14:ligatures w14:val="none"/>
        </w:rPr>
        <w:t>.</w:t>
      </w:r>
      <w:r w:rsidRPr="003B5892">
        <w:rPr>
          <w:rFonts w:ascii="Times New Roman" w:eastAsia="Times New Roman" w:hAnsi="Times New Roman" w:cs="Times New Roman"/>
          <w:color w:val="0A0A0A"/>
          <w:kern w:val="0"/>
          <w:sz w:val="24"/>
          <w:szCs w:val="24"/>
          <w:lang w:val="uk-UA" w:eastAsia="uk-UA"/>
          <w14:ligatures w14:val="none"/>
        </w:rPr>
        <w:t xml:space="preserve"> (12). </w:t>
      </w:r>
      <w:r w:rsidRPr="003B5892">
        <w:rPr>
          <w:rFonts w:ascii="Times New Roman" w:eastAsia="Calibri" w:hAnsi="Times New Roman" w:cs="Times New Roman"/>
          <w:kern w:val="0"/>
          <w:sz w:val="24"/>
          <w:szCs w:val="24"/>
          <w:shd w:val="clear" w:color="auto" w:fill="FFFFFF"/>
          <w:lang w:val="uk-UA"/>
          <w14:ligatures w14:val="none"/>
        </w:rPr>
        <w:t>DOI:</w:t>
      </w:r>
      <w:r w:rsidRPr="003B5892">
        <w:rPr>
          <w:rFonts w:ascii="Times New Roman" w:eastAsia="Calibri" w:hAnsi="Times New Roman" w:cs="Times New Roman"/>
          <w:kern w:val="0"/>
          <w:sz w:val="24"/>
          <w:szCs w:val="24"/>
          <w:shd w:val="clear" w:color="auto" w:fill="FFFFFF"/>
          <w14:ligatures w14:val="none"/>
        </w:rPr>
        <w:t xml:space="preserve"> </w:t>
      </w:r>
      <w:hyperlink r:id="rId322" w:history="1">
        <w:r w:rsidRPr="003B5892">
          <w:rPr>
            <w:rFonts w:ascii="Times New Roman" w:eastAsia="Times New Roman" w:hAnsi="Times New Roman" w:cs="Times New Roman"/>
            <w:kern w:val="0"/>
            <w:sz w:val="24"/>
            <w:szCs w:val="24"/>
            <w:lang w:val="uk-UA" w:eastAsia="uk-UA"/>
            <w14:ligatures w14:val="none"/>
          </w:rPr>
          <w:t>https://doi.org/10.32702/2307-2105-2021.12.12</w:t>
        </w:r>
      </w:hyperlink>
      <w:r w:rsidRPr="003B5892">
        <w:rPr>
          <w:rFonts w:ascii="Times New Roman" w:eastAsia="Times New Roman" w:hAnsi="Times New Roman" w:cs="Times New Roman"/>
          <w:kern w:val="0"/>
          <w:sz w:val="24"/>
          <w:szCs w:val="24"/>
          <w:lang w:eastAsia="uk-UA"/>
          <w14:ligatures w14:val="none"/>
        </w:rPr>
        <w:t>.</w:t>
      </w:r>
    </w:p>
    <w:p w14:paraId="1ACEA7D8" w14:textId="77777777" w:rsidR="00090386" w:rsidRPr="003B5892" w:rsidRDefault="00090386" w:rsidP="00023291">
      <w:pPr>
        <w:numPr>
          <w:ilvl w:val="0"/>
          <w:numId w:val="24"/>
        </w:numPr>
        <w:shd w:val="clear" w:color="auto" w:fill="FFFFFF"/>
        <w:tabs>
          <w:tab w:val="left" w:pos="993"/>
          <w:tab w:val="left" w:pos="9638"/>
        </w:tabs>
        <w:spacing w:after="0" w:line="240" w:lineRule="auto"/>
        <w:ind w:left="0" w:firstLine="567"/>
        <w:jc w:val="both"/>
        <w:rPr>
          <w:rFonts w:ascii="Times New Roman" w:eastAsia="Times New Roman" w:hAnsi="Times New Roman" w:cs="Times New Roman"/>
          <w:color w:val="0A0A0A"/>
          <w:kern w:val="0"/>
          <w:sz w:val="24"/>
          <w:szCs w:val="24"/>
          <w:lang w:val="uk-UA" w:eastAsia="uk-UA"/>
          <w14:ligatures w14:val="none"/>
        </w:rPr>
      </w:pPr>
      <w:r w:rsidRPr="003B5892">
        <w:rPr>
          <w:rFonts w:ascii="Times New Roman" w:eastAsia="Times New Roman" w:hAnsi="Times New Roman" w:cs="Times New Roman"/>
          <w:color w:val="0A0A0A"/>
          <w:kern w:val="0"/>
          <w:sz w:val="24"/>
          <w:szCs w:val="24"/>
          <w:lang w:val="uk-UA" w:eastAsia="uk-UA"/>
          <w14:ligatures w14:val="none"/>
        </w:rPr>
        <w:t>Khlon, S. Ye., &amp; Kovalchuk, A. I. (2025). Neobkhidnist utvorennia naukovoi ustanovy Syl pidtrymky Zbroinykh Syl Ukrainy v konteksti suchasnykh voiennykh vyklykiv [The necessity of establishing a scientific institution of the Support Forces of the Armed Forces of Ukraine in the context of modern military challenges]. </w:t>
      </w:r>
      <w:r w:rsidRPr="003B5892">
        <w:rPr>
          <w:rFonts w:ascii="Times New Roman" w:eastAsia="Times New Roman" w:hAnsi="Times New Roman" w:cs="Times New Roman"/>
          <w:i/>
          <w:iCs/>
          <w:color w:val="0A0A0A"/>
          <w:kern w:val="0"/>
          <w:sz w:val="24"/>
          <w:szCs w:val="24"/>
          <w:lang w:val="uk-UA" w:eastAsia="uk-UA"/>
          <w14:ligatures w14:val="none"/>
        </w:rPr>
        <w:t>Natsionalna bezpeka</w:t>
      </w:r>
      <w:r w:rsidRPr="003B5892">
        <w:rPr>
          <w:rFonts w:ascii="Times New Roman" w:eastAsia="Times New Roman" w:hAnsi="Times New Roman" w:cs="Times New Roman"/>
          <w:color w:val="0A0A0A"/>
          <w:kern w:val="0"/>
          <w:sz w:val="24"/>
          <w:szCs w:val="24"/>
          <w:lang w:eastAsia="uk-UA"/>
          <w14:ligatures w14:val="none"/>
        </w:rPr>
        <w:t>.</w:t>
      </w:r>
      <w:r w:rsidRPr="003B5892">
        <w:rPr>
          <w:rFonts w:ascii="Times New Roman" w:eastAsia="Times New Roman" w:hAnsi="Times New Roman" w:cs="Times New Roman"/>
          <w:color w:val="0A0A0A"/>
          <w:kern w:val="0"/>
          <w:sz w:val="24"/>
          <w:szCs w:val="24"/>
          <w:lang w:val="uk-UA" w:eastAsia="uk-UA"/>
          <w14:ligatures w14:val="none"/>
        </w:rPr>
        <w:t> </w:t>
      </w:r>
      <w:r w:rsidRPr="003B5892">
        <w:rPr>
          <w:rFonts w:ascii="Times New Roman" w:eastAsia="Times New Roman" w:hAnsi="Times New Roman" w:cs="Times New Roman"/>
          <w:i/>
          <w:iCs/>
          <w:color w:val="0A0A0A"/>
          <w:kern w:val="0"/>
          <w:sz w:val="24"/>
          <w:szCs w:val="24"/>
          <w:lang w:val="uk-UA" w:eastAsia="uk-UA"/>
          <w14:ligatures w14:val="none"/>
        </w:rPr>
        <w:t>2</w:t>
      </w:r>
      <w:r w:rsidRPr="003B5892">
        <w:rPr>
          <w:rFonts w:ascii="Times New Roman" w:eastAsia="Times New Roman" w:hAnsi="Times New Roman" w:cs="Times New Roman"/>
          <w:color w:val="0A0A0A"/>
          <w:kern w:val="0"/>
          <w:sz w:val="24"/>
          <w:szCs w:val="24"/>
          <w:lang w:val="uk-UA" w:eastAsia="uk-UA"/>
          <w14:ligatures w14:val="none"/>
        </w:rPr>
        <w:t xml:space="preserve">(2), 52–58. </w:t>
      </w:r>
      <w:r w:rsidRPr="003B5892">
        <w:rPr>
          <w:rFonts w:ascii="Times New Roman" w:eastAsia="Calibri" w:hAnsi="Times New Roman" w:cs="Times New Roman"/>
          <w:kern w:val="0"/>
          <w:sz w:val="24"/>
          <w:szCs w:val="24"/>
          <w:lang w:val="uk-UA"/>
          <w14:ligatures w14:val="none"/>
        </w:rPr>
        <w:t>DOI: 10.63978/3083-6476.2025.2.2.05.</w:t>
      </w:r>
    </w:p>
    <w:p w14:paraId="0509CF61" w14:textId="77777777" w:rsidR="00090386" w:rsidRPr="003B5892" w:rsidRDefault="00090386" w:rsidP="00023291">
      <w:pPr>
        <w:shd w:val="clear" w:color="auto" w:fill="FFFFFF"/>
        <w:tabs>
          <w:tab w:val="left" w:pos="993"/>
          <w:tab w:val="left" w:pos="9638"/>
        </w:tabs>
        <w:spacing w:after="0" w:line="240" w:lineRule="auto"/>
        <w:jc w:val="center"/>
        <w:rPr>
          <w:rFonts w:ascii="Times New Roman" w:eastAsia="Times New Roman" w:hAnsi="Times New Roman" w:cs="Times New Roman"/>
          <w:color w:val="0A0A0A"/>
          <w:kern w:val="0"/>
          <w:sz w:val="24"/>
          <w:szCs w:val="24"/>
          <w:lang w:val="uk-UA" w:eastAsia="uk-UA"/>
          <w14:ligatures w14:val="none"/>
        </w:rPr>
      </w:pPr>
      <w:r w:rsidRPr="003B5892">
        <w:rPr>
          <w:rFonts w:ascii="Times New Roman" w:eastAsia="Calibri" w:hAnsi="Times New Roman" w:cs="Times New Roman"/>
          <w:b/>
          <w:bCs/>
          <w:kern w:val="0"/>
          <w:sz w:val="24"/>
          <w:szCs w:val="24"/>
          <w:lang w:val="uk-UA"/>
          <w14:ligatures w14:val="none"/>
        </w:rPr>
        <w:t>SUMMARY</w:t>
      </w:r>
    </w:p>
    <w:p w14:paraId="646581C5" w14:textId="77777777" w:rsidR="00090386" w:rsidRPr="003B5892" w:rsidRDefault="00090386" w:rsidP="00023291">
      <w:pPr>
        <w:tabs>
          <w:tab w:val="left" w:pos="993"/>
          <w:tab w:val="left" w:pos="9638"/>
        </w:tabs>
        <w:spacing w:after="0" w:line="240" w:lineRule="auto"/>
        <w:ind w:firstLine="567"/>
        <w:jc w:val="center"/>
        <w:rPr>
          <w:rFonts w:ascii="Times New Roman" w:eastAsia="Calibri" w:hAnsi="Times New Roman" w:cs="Times New Roman"/>
          <w:b/>
          <w:kern w:val="0"/>
          <w:sz w:val="24"/>
          <w:szCs w:val="24"/>
          <w:lang w:val="uk-UA"/>
          <w14:ligatures w14:val="none"/>
        </w:rPr>
      </w:pPr>
    </w:p>
    <w:p w14:paraId="50BFC2C2" w14:textId="77777777" w:rsidR="00664D90" w:rsidRPr="00664D90" w:rsidRDefault="00664D90" w:rsidP="00664D90">
      <w:pPr>
        <w:tabs>
          <w:tab w:val="left" w:pos="993"/>
        </w:tabs>
        <w:suppressAutoHyphens/>
        <w:spacing w:after="0" w:line="240" w:lineRule="auto"/>
        <w:ind w:firstLine="567"/>
        <w:jc w:val="right"/>
        <w:rPr>
          <w:rFonts w:ascii="Times New Roman" w:eastAsia="Calibri" w:hAnsi="Times New Roman" w:cs="Times New Roman"/>
          <w:b/>
          <w:kern w:val="0"/>
          <w:sz w:val="24"/>
          <w:szCs w:val="24"/>
          <w:lang w:val="uk-UA"/>
          <w14:ligatures w14:val="none"/>
        </w:rPr>
      </w:pPr>
      <w:r w:rsidRPr="00664D90">
        <w:rPr>
          <w:rFonts w:ascii="Times New Roman" w:eastAsia="Calibri" w:hAnsi="Times New Roman" w:cs="Times New Roman"/>
          <w:b/>
          <w:kern w:val="0"/>
          <w:sz w:val="24"/>
          <w:szCs w:val="24"/>
          <w:lang w:val="uk-UA"/>
          <w14:ligatures w14:val="none"/>
        </w:rPr>
        <w:t>L</w:t>
      </w:r>
      <w:r w:rsidRPr="00664D90">
        <w:rPr>
          <w:rFonts w:ascii="Times New Roman" w:eastAsia="Calibri" w:hAnsi="Times New Roman" w:cs="Times New Roman"/>
          <w:b/>
          <w:kern w:val="0"/>
          <w:sz w:val="24"/>
          <w:szCs w:val="24"/>
          <w14:ligatures w14:val="none"/>
        </w:rPr>
        <w:t>i</w:t>
      </w:r>
      <w:r w:rsidRPr="00664D90">
        <w:rPr>
          <w:rFonts w:ascii="Times New Roman" w:eastAsia="Calibri" w:hAnsi="Times New Roman" w:cs="Times New Roman"/>
          <w:b/>
          <w:kern w:val="0"/>
          <w:sz w:val="24"/>
          <w:szCs w:val="24"/>
          <w:lang w:val="uk-UA"/>
          <w14:ligatures w14:val="none"/>
        </w:rPr>
        <w:t>udm</w:t>
      </w:r>
      <w:r w:rsidRPr="00664D90">
        <w:rPr>
          <w:rFonts w:ascii="Times New Roman" w:eastAsia="Calibri" w:hAnsi="Times New Roman" w:cs="Times New Roman"/>
          <w:b/>
          <w:kern w:val="0"/>
          <w:sz w:val="24"/>
          <w:szCs w:val="24"/>
          <w14:ligatures w14:val="none"/>
        </w:rPr>
        <w:t>y</w:t>
      </w:r>
      <w:r w:rsidRPr="00664D90">
        <w:rPr>
          <w:rFonts w:ascii="Times New Roman" w:eastAsia="Calibri" w:hAnsi="Times New Roman" w:cs="Times New Roman"/>
          <w:b/>
          <w:kern w:val="0"/>
          <w:sz w:val="24"/>
          <w:szCs w:val="24"/>
          <w:lang w:val="uk-UA"/>
          <w14:ligatures w14:val="none"/>
        </w:rPr>
        <w:t xml:space="preserve">la Prypolova, </w:t>
      </w:r>
    </w:p>
    <w:p w14:paraId="679F5F45" w14:textId="77777777" w:rsidR="00664D90" w:rsidRPr="00664D90" w:rsidRDefault="00664D90" w:rsidP="00664D90">
      <w:pPr>
        <w:tabs>
          <w:tab w:val="left" w:pos="993"/>
        </w:tabs>
        <w:suppressAutoHyphens/>
        <w:spacing w:after="0" w:line="240" w:lineRule="auto"/>
        <w:ind w:firstLine="567"/>
        <w:jc w:val="right"/>
        <w:rPr>
          <w:rFonts w:ascii="Times New Roman" w:eastAsia="Calibri" w:hAnsi="Times New Roman" w:cs="Times New Roman"/>
          <w:kern w:val="0"/>
          <w:sz w:val="24"/>
          <w:szCs w:val="24"/>
          <w:lang w:val="uk-UA"/>
          <w14:ligatures w14:val="none"/>
        </w:rPr>
      </w:pPr>
      <w:r w:rsidRPr="00664D90">
        <w:rPr>
          <w:rFonts w:ascii="Times New Roman" w:eastAsia="Calibri" w:hAnsi="Times New Roman" w:cs="Times New Roman"/>
          <w:kern w:val="0"/>
          <w:sz w:val="24"/>
          <w:szCs w:val="24"/>
          <w:lang w:val="uk-UA"/>
          <w14:ligatures w14:val="none"/>
        </w:rPr>
        <w:t>Candidate of Law, Senior Researcher</w:t>
      </w:r>
    </w:p>
    <w:p w14:paraId="6816CF41" w14:textId="77777777" w:rsidR="00664D90" w:rsidRPr="00664D90" w:rsidRDefault="00664D90" w:rsidP="00664D90">
      <w:pPr>
        <w:tabs>
          <w:tab w:val="left" w:pos="993"/>
        </w:tabs>
        <w:suppressAutoHyphens/>
        <w:spacing w:after="0" w:line="240" w:lineRule="auto"/>
        <w:ind w:firstLine="567"/>
        <w:jc w:val="right"/>
        <w:rPr>
          <w:rFonts w:ascii="Times New Roman" w:eastAsia="Calibri" w:hAnsi="Times New Roman" w:cs="Times New Roman"/>
          <w:kern w:val="0"/>
          <w:sz w:val="24"/>
          <w:szCs w:val="24"/>
          <w14:ligatures w14:val="none"/>
        </w:rPr>
      </w:pPr>
      <w:r w:rsidRPr="00664D90">
        <w:rPr>
          <w:rFonts w:ascii="Times New Roman" w:eastAsia="Calibri" w:hAnsi="Times New Roman" w:cs="Times New Roman"/>
          <w:kern w:val="0"/>
          <w:sz w:val="24"/>
          <w:szCs w:val="24"/>
          <w:lang w:val="uk-UA"/>
          <w14:ligatures w14:val="none"/>
        </w:rPr>
        <w:t xml:space="preserve"> National Defence University of Ukraine, Kyiv</w:t>
      </w:r>
    </w:p>
    <w:p w14:paraId="4E19CDC0" w14:textId="77777777" w:rsidR="00664D90" w:rsidRPr="00664D90" w:rsidRDefault="00664D90" w:rsidP="00664D90">
      <w:pPr>
        <w:tabs>
          <w:tab w:val="left" w:pos="993"/>
        </w:tabs>
        <w:suppressAutoHyphens/>
        <w:spacing w:after="0" w:line="240" w:lineRule="auto"/>
        <w:ind w:firstLine="567"/>
        <w:jc w:val="right"/>
        <w:rPr>
          <w:rFonts w:ascii="Times New Roman" w:eastAsia="Calibri" w:hAnsi="Times New Roman" w:cs="Times New Roman"/>
          <w:kern w:val="0"/>
          <w:sz w:val="24"/>
          <w:szCs w:val="24"/>
          <w:lang w:val="uk-UA"/>
          <w14:ligatures w14:val="none"/>
        </w:rPr>
      </w:pPr>
      <w:r w:rsidRPr="00664D90">
        <w:rPr>
          <w:rFonts w:ascii="Times New Roman" w:eastAsia="Calibri" w:hAnsi="Times New Roman" w:cs="Times New Roman"/>
          <w:kern w:val="0"/>
          <w:sz w:val="24"/>
          <w:szCs w:val="24"/>
          <w:lang w:val="uk-UA"/>
          <w14:ligatures w14:val="none"/>
        </w:rPr>
        <w:t xml:space="preserve"> </w:t>
      </w:r>
      <w:hyperlink r:id="rId323">
        <w:r w:rsidRPr="00664D90">
          <w:rPr>
            <w:rFonts w:ascii="Times New Roman" w:eastAsia="Calibri" w:hAnsi="Times New Roman" w:cs="Times New Roman"/>
            <w:color w:val="0000FF"/>
            <w:kern w:val="0"/>
            <w:sz w:val="24"/>
            <w:szCs w:val="24"/>
            <w:u w:val="single"/>
            <w:lang w:val="uk-UA"/>
            <w14:ligatures w14:val="none"/>
          </w:rPr>
          <w:t>https://orcid.org/0000-0002-8429-1866</w:t>
        </w:r>
      </w:hyperlink>
    </w:p>
    <w:p w14:paraId="4EF7101F" w14:textId="77777777" w:rsidR="00664D90" w:rsidRPr="00664D90" w:rsidRDefault="00664D90" w:rsidP="00664D90">
      <w:pPr>
        <w:tabs>
          <w:tab w:val="left" w:pos="993"/>
        </w:tabs>
        <w:suppressAutoHyphens/>
        <w:spacing w:after="0" w:line="240" w:lineRule="auto"/>
        <w:ind w:firstLine="567"/>
        <w:jc w:val="both"/>
        <w:rPr>
          <w:rFonts w:ascii="Times New Roman" w:eastAsia="Calibri" w:hAnsi="Times New Roman" w:cs="Times New Roman"/>
          <w:b/>
          <w:kern w:val="0"/>
          <w:sz w:val="24"/>
          <w:szCs w:val="24"/>
          <w:lang w:val="uk-UA"/>
          <w14:ligatures w14:val="none"/>
        </w:rPr>
      </w:pPr>
    </w:p>
    <w:p w14:paraId="77325923" w14:textId="77777777" w:rsidR="00664D90" w:rsidRPr="00664D90" w:rsidRDefault="00664D90" w:rsidP="00664D90">
      <w:pPr>
        <w:tabs>
          <w:tab w:val="left" w:pos="993"/>
        </w:tabs>
        <w:suppressAutoHyphens/>
        <w:spacing w:after="0" w:line="240" w:lineRule="auto"/>
        <w:ind w:left="284" w:firstLine="567"/>
        <w:jc w:val="center"/>
        <w:rPr>
          <w:rFonts w:ascii="Times New Roman" w:eastAsia="Times New Roman" w:hAnsi="Times New Roman" w:cs="Times New Roman"/>
          <w:color w:val="0A0A0A"/>
          <w:kern w:val="0"/>
          <w:sz w:val="24"/>
          <w:szCs w:val="24"/>
          <w:lang w:val="uk-UA" w:eastAsia="uk-UA"/>
          <w14:ligatures w14:val="none"/>
        </w:rPr>
      </w:pPr>
      <w:r w:rsidRPr="00664D90">
        <w:rPr>
          <w:rFonts w:ascii="Times New Roman" w:eastAsia="Times New Roman" w:hAnsi="Times New Roman" w:cs="Times New Roman"/>
          <w:color w:val="0A0A0A"/>
          <w:kern w:val="0"/>
          <w:sz w:val="24"/>
          <w:szCs w:val="24"/>
          <w:lang w:val="uk-UA" w:eastAsia="uk-UA"/>
          <w14:ligatures w14:val="none"/>
        </w:rPr>
        <w:t>Prospects of Inter-Departmental Cooperation in Scientific Activities in the System of the Ministry of Defence of Ukraine</w:t>
      </w:r>
    </w:p>
    <w:p w14:paraId="619298C9" w14:textId="77777777" w:rsidR="00664D90" w:rsidRPr="00664D90" w:rsidRDefault="00664D90" w:rsidP="00664D90">
      <w:pPr>
        <w:tabs>
          <w:tab w:val="left" w:pos="993"/>
        </w:tabs>
        <w:suppressAutoHyphens/>
        <w:spacing w:after="0" w:line="240" w:lineRule="auto"/>
        <w:ind w:firstLine="567"/>
        <w:jc w:val="right"/>
        <w:rPr>
          <w:rFonts w:ascii="Times New Roman" w:eastAsia="Calibri" w:hAnsi="Times New Roman" w:cs="Times New Roman"/>
          <w:b/>
          <w:kern w:val="0"/>
          <w:sz w:val="24"/>
          <w:szCs w:val="24"/>
          <w:lang w:val="uk-UA"/>
          <w14:ligatures w14:val="none"/>
        </w:rPr>
      </w:pPr>
    </w:p>
    <w:p w14:paraId="4FFC47A3" w14:textId="77777777" w:rsidR="00664D90" w:rsidRPr="00664D90" w:rsidRDefault="00664D90" w:rsidP="00664D90">
      <w:pPr>
        <w:tabs>
          <w:tab w:val="left" w:pos="993"/>
        </w:tabs>
        <w:suppressAutoHyphens/>
        <w:spacing w:after="0" w:line="240" w:lineRule="auto"/>
        <w:ind w:firstLine="567"/>
        <w:jc w:val="both"/>
        <w:rPr>
          <w:rFonts w:ascii="Times New Roman" w:eastAsia="Calibri" w:hAnsi="Times New Roman" w:cs="Times New Roman"/>
          <w:i/>
          <w:kern w:val="0"/>
          <w:sz w:val="24"/>
          <w:szCs w:val="24"/>
          <w14:ligatures w14:val="none"/>
        </w:rPr>
      </w:pPr>
      <w:r w:rsidRPr="00664D90">
        <w:rPr>
          <w:rFonts w:ascii="Times New Roman" w:eastAsia="Calibri" w:hAnsi="Times New Roman" w:cs="Times New Roman"/>
          <w:b/>
          <w:i/>
          <w:kern w:val="0"/>
          <w:sz w:val="24"/>
          <w:szCs w:val="24"/>
          <w:lang w:val="uk-UA"/>
          <w14:ligatures w14:val="none"/>
        </w:rPr>
        <w:t xml:space="preserve">Abstract: </w:t>
      </w:r>
      <w:r w:rsidRPr="00664D90">
        <w:rPr>
          <w:rFonts w:ascii="Times New Roman" w:eastAsia="Calibri" w:hAnsi="Times New Roman" w:cs="Times New Roman"/>
          <w:i/>
          <w:kern w:val="0"/>
          <w:sz w:val="24"/>
          <w:szCs w:val="24"/>
          <w:lang w:val="uk-UA"/>
          <w14:ligatures w14:val="none"/>
        </w:rPr>
        <w:t xml:space="preserve">The article is devoted to the analysis of the prospects of interdepartmental cooperation in scientific activity in the system of the Ministry of Defence of Ukraine. </w:t>
      </w:r>
    </w:p>
    <w:p w14:paraId="1C551248" w14:textId="77777777" w:rsidR="00664D90" w:rsidRPr="00664D90" w:rsidRDefault="00664D90" w:rsidP="00664D90">
      <w:pPr>
        <w:tabs>
          <w:tab w:val="left" w:pos="993"/>
        </w:tabs>
        <w:suppressAutoHyphens/>
        <w:spacing w:after="0" w:line="240" w:lineRule="auto"/>
        <w:ind w:firstLine="567"/>
        <w:jc w:val="both"/>
        <w:rPr>
          <w:rFonts w:ascii="Times New Roman" w:eastAsia="Calibri" w:hAnsi="Times New Roman" w:cs="Times New Roman"/>
          <w:i/>
          <w:kern w:val="0"/>
          <w:sz w:val="24"/>
          <w:szCs w:val="24"/>
          <w14:ligatures w14:val="none"/>
        </w:rPr>
      </w:pPr>
      <w:r w:rsidRPr="00664D90">
        <w:rPr>
          <w:rFonts w:ascii="Times New Roman" w:eastAsia="Calibri" w:hAnsi="Times New Roman" w:cs="Times New Roman"/>
          <w:i/>
          <w:kern w:val="0"/>
          <w:sz w:val="24"/>
          <w:szCs w:val="24"/>
          <w:lang w:val="uk-UA"/>
          <w14:ligatures w14:val="none"/>
        </w:rPr>
        <w:t xml:space="preserve">The research was based on the principles of a systemic approach and was conducted using the methods of analysis, synthesis, formal and legal, comparison and generalization. </w:t>
      </w:r>
    </w:p>
    <w:p w14:paraId="06AB1460" w14:textId="77777777" w:rsidR="00664D90" w:rsidRPr="00664D90" w:rsidRDefault="00664D90" w:rsidP="007708EE">
      <w:pPr>
        <w:tabs>
          <w:tab w:val="left" w:pos="993"/>
        </w:tabs>
        <w:suppressAutoHyphens/>
        <w:spacing w:after="0" w:line="240" w:lineRule="auto"/>
        <w:ind w:firstLine="567"/>
        <w:jc w:val="center"/>
        <w:rPr>
          <w:rFonts w:ascii="Times New Roman" w:eastAsia="Calibri" w:hAnsi="Times New Roman" w:cs="Times New Roman"/>
          <w:i/>
          <w:kern w:val="0"/>
          <w:sz w:val="24"/>
          <w:szCs w:val="24"/>
          <w:lang w:val="uk-UA"/>
          <w14:ligatures w14:val="none"/>
        </w:rPr>
      </w:pPr>
      <w:r w:rsidRPr="00664D90">
        <w:rPr>
          <w:rFonts w:ascii="Times New Roman" w:eastAsia="Calibri" w:hAnsi="Times New Roman" w:cs="Times New Roman"/>
          <w:i/>
          <w:kern w:val="0"/>
          <w:sz w:val="24"/>
          <w:szCs w:val="24"/>
          <w:lang w:val="uk-UA"/>
          <w14:ligatures w14:val="none"/>
        </w:rPr>
        <w:t xml:space="preserve">The article analyzes the views of scientists on the problem of establishing interdepartmental cooperation in the system of the Ministry of Defence of Ukraine in the context of scientific activity. When reviewing scientific works, attention was paid to problematic issues of scientific activity of both individual scientific institutions and higher education institutions. In particular, scientific works were considered, which investigated the issues of prospects for the development of cooperation between scientific institutions of the National Academy of Sciences of Ukraine. The study examined scientific publications devoted to the problem of finding ways to optimize scientific and scientific and technical activities in the field of defense. Positive examples of the functioning of some scientific institutions in </w:t>
      </w:r>
      <w:r w:rsidRPr="00664D90">
        <w:rPr>
          <w:rFonts w:ascii="Times New Roman" w:eastAsia="Calibri" w:hAnsi="Times New Roman" w:cs="Times New Roman"/>
          <w:i/>
          <w:kern w:val="0"/>
          <w:sz w:val="24"/>
          <w:szCs w:val="24"/>
          <w:lang w:val="uk-UA"/>
          <w14:ligatures w14:val="none"/>
        </w:rPr>
        <w:lastRenderedPageBreak/>
        <w:t xml:space="preserve">the United States of America were given. As a result of the study, a conclusion was made about the need to supplement the list of entities that may be customers of scientific products in the system of the Ministry of </w:t>
      </w:r>
      <w:r w:rsidRPr="001B0296">
        <w:rPr>
          <w:rFonts w:ascii="Times New Roman" w:eastAsia="Calibri" w:hAnsi="Times New Roman" w:cs="Times New Roman"/>
          <w:i/>
          <w:kern w:val="0"/>
          <w:sz w:val="24"/>
          <w:szCs w:val="24"/>
          <w:lang w:val="uk-UA"/>
          <w14:ligatures w14:val="none"/>
        </w:rPr>
        <w:t>Defence</w:t>
      </w:r>
      <w:r w:rsidRPr="00664D90">
        <w:rPr>
          <w:rFonts w:ascii="Times New Roman" w:eastAsia="Calibri" w:hAnsi="Times New Roman" w:cs="Times New Roman"/>
          <w:i/>
          <w:kern w:val="0"/>
          <w:sz w:val="24"/>
          <w:szCs w:val="24"/>
          <w:lang w:val="uk-UA"/>
          <w14:ligatures w14:val="none"/>
        </w:rPr>
        <w:t xml:space="preserve"> of Ukraine. Proposals were identified that will contribute to increasing the level of efficiency of interagency scientific work, namely: making appropriate amendments to the Regulations on the Organization of Scientific and Scientific-Technical Activities in the System of the Ministry of </w:t>
      </w:r>
      <w:r w:rsidRPr="001B0296">
        <w:rPr>
          <w:rFonts w:ascii="Times New Roman" w:eastAsia="Calibri" w:hAnsi="Times New Roman" w:cs="Times New Roman"/>
          <w:i/>
          <w:kern w:val="0"/>
          <w:sz w:val="24"/>
          <w:szCs w:val="24"/>
          <w:lang w:val="uk-UA"/>
          <w14:ligatures w14:val="none"/>
        </w:rPr>
        <w:t>Defence</w:t>
      </w:r>
      <w:r w:rsidRPr="00664D90">
        <w:rPr>
          <w:rFonts w:ascii="Times New Roman" w:eastAsia="Calibri" w:hAnsi="Times New Roman" w:cs="Times New Roman"/>
          <w:i/>
          <w:kern w:val="0"/>
          <w:sz w:val="24"/>
          <w:szCs w:val="24"/>
          <w:lang w:val="uk-UA"/>
          <w14:ligatures w14:val="none"/>
        </w:rPr>
        <w:t xml:space="preserve"> of Ukraine (in the context of expanding the list of customers for scientific products, taking into account the prospects for interaction with other components of the security and </w:t>
      </w:r>
      <w:r w:rsidRPr="001B0296">
        <w:rPr>
          <w:rFonts w:ascii="Times New Roman" w:eastAsia="Calibri" w:hAnsi="Times New Roman" w:cs="Times New Roman"/>
          <w:i/>
          <w:kern w:val="0"/>
          <w:sz w:val="24"/>
          <w:szCs w:val="24"/>
          <w14:ligatures w14:val="none"/>
        </w:rPr>
        <w:t>defence</w:t>
      </w:r>
      <w:r w:rsidRPr="00664D90">
        <w:rPr>
          <w:rFonts w:ascii="Times New Roman" w:eastAsia="Calibri" w:hAnsi="Times New Roman" w:cs="Times New Roman"/>
          <w:i/>
          <w:kern w:val="0"/>
          <w:sz w:val="24"/>
          <w:szCs w:val="24"/>
          <w:lang w:val="uk-UA"/>
          <w14:ligatures w14:val="none"/>
        </w:rPr>
        <w:t xml:space="preserve"> </w:t>
      </w:r>
      <w:r w:rsidRPr="00664D90">
        <w:rPr>
          <w:rFonts w:ascii="Times New Roman" w:eastAsia="Calibri" w:hAnsi="Times New Roman" w:cs="Times New Roman"/>
          <w:i/>
          <w:kern w:val="0"/>
          <w:sz w:val="24"/>
          <w:szCs w:val="24"/>
          <w14:ligatures w14:val="none"/>
        </w:rPr>
        <w:t>s</w:t>
      </w:r>
      <w:r w:rsidRPr="00664D90">
        <w:rPr>
          <w:rFonts w:ascii="Times New Roman" w:eastAsia="Calibri" w:hAnsi="Times New Roman" w:cs="Times New Roman"/>
          <w:i/>
          <w:kern w:val="0"/>
          <w:sz w:val="24"/>
          <w:szCs w:val="24"/>
          <w:lang w:val="uk-UA"/>
          <w14:ligatures w14:val="none"/>
        </w:rPr>
        <w:t xml:space="preserve">ector of Ukraine); clarification of the procedure for organizing interdepartmental interaction when ordering scientific products in the interests of the Ministry of </w:t>
      </w:r>
      <w:r w:rsidRPr="001B0296">
        <w:rPr>
          <w:rFonts w:ascii="Times New Roman" w:eastAsia="Calibri" w:hAnsi="Times New Roman" w:cs="Times New Roman"/>
          <w:i/>
          <w:kern w:val="0"/>
          <w:sz w:val="24"/>
          <w:szCs w:val="24"/>
          <w:lang w:val="uk-UA"/>
          <w14:ligatures w14:val="none"/>
        </w:rPr>
        <w:t>Defence</w:t>
      </w:r>
      <w:r w:rsidRPr="00664D90">
        <w:rPr>
          <w:rFonts w:ascii="Times New Roman" w:eastAsia="Calibri" w:hAnsi="Times New Roman" w:cs="Times New Roman"/>
          <w:i/>
          <w:kern w:val="0"/>
          <w:sz w:val="24"/>
          <w:szCs w:val="24"/>
          <w:lang w:val="uk-UA"/>
          <w14:ligatures w14:val="none"/>
        </w:rPr>
        <w:t xml:space="preserve"> of Ukraine. An algorithm for interdepartmental interaction from ordering to concluding a joint agreement is proposed; the formation of a Coordination Council for Interdepartmental Research (Research and Development) Works by adopting the relevant Regulation; the establishment of a single information database for interdepartmental research (research and development) works.</w:t>
      </w:r>
    </w:p>
    <w:p w14:paraId="6C394D89" w14:textId="77777777" w:rsidR="00664D90" w:rsidRPr="00664D90" w:rsidRDefault="00664D90" w:rsidP="00664D90">
      <w:pPr>
        <w:tabs>
          <w:tab w:val="left" w:pos="993"/>
        </w:tabs>
        <w:suppressAutoHyphens/>
        <w:spacing w:after="0" w:line="240" w:lineRule="auto"/>
        <w:ind w:firstLine="567"/>
        <w:jc w:val="both"/>
        <w:rPr>
          <w:rFonts w:ascii="Times New Roman" w:eastAsia="Calibri" w:hAnsi="Times New Roman" w:cs="Times New Roman"/>
          <w:i/>
          <w:kern w:val="0"/>
          <w:sz w:val="24"/>
          <w:szCs w:val="24"/>
          <w:lang w:val="uk-UA"/>
          <w14:ligatures w14:val="none"/>
        </w:rPr>
      </w:pPr>
      <w:r w:rsidRPr="00664D90">
        <w:rPr>
          <w:rFonts w:ascii="Times New Roman" w:eastAsia="Calibri" w:hAnsi="Times New Roman" w:cs="Times New Roman"/>
          <w:b/>
          <w:i/>
          <w:kern w:val="0"/>
          <w:sz w:val="24"/>
          <w:szCs w:val="24"/>
          <w:lang w:val="uk-UA"/>
          <w14:ligatures w14:val="none"/>
        </w:rPr>
        <w:t>Keywords:</w:t>
      </w:r>
      <w:r w:rsidRPr="00664D90">
        <w:rPr>
          <w:rFonts w:ascii="Times New Roman" w:eastAsia="Calibri" w:hAnsi="Times New Roman" w:cs="Times New Roman"/>
          <w:i/>
          <w:kern w:val="0"/>
          <w:sz w:val="24"/>
          <w:szCs w:val="24"/>
          <w:lang w:val="uk-UA"/>
          <w14:ligatures w14:val="none"/>
        </w:rPr>
        <w:t xml:space="preserve"> interagency cooperation, Ministry of </w:t>
      </w:r>
      <w:r w:rsidRPr="001B0296">
        <w:rPr>
          <w:rFonts w:ascii="Times New Roman" w:eastAsia="Calibri" w:hAnsi="Times New Roman" w:cs="Times New Roman"/>
          <w:i/>
          <w:kern w:val="0"/>
          <w:sz w:val="24"/>
          <w:szCs w:val="24"/>
          <w:lang w:val="uk-UA"/>
          <w14:ligatures w14:val="none"/>
        </w:rPr>
        <w:t>Defence</w:t>
      </w:r>
      <w:r w:rsidRPr="00664D90">
        <w:rPr>
          <w:rFonts w:ascii="Times New Roman" w:eastAsia="Calibri" w:hAnsi="Times New Roman" w:cs="Times New Roman"/>
          <w:i/>
          <w:kern w:val="0"/>
          <w:sz w:val="24"/>
          <w:szCs w:val="24"/>
          <w:lang w:val="uk-UA"/>
          <w14:ligatures w14:val="none"/>
        </w:rPr>
        <w:t xml:space="preserve"> of Ukraine, scientific research (research and development) work, improvement of legal regulation.</w:t>
      </w:r>
    </w:p>
    <w:p w14:paraId="6D60767B" w14:textId="77777777" w:rsidR="00664D90" w:rsidRPr="00664D90" w:rsidRDefault="00664D90" w:rsidP="00664D90">
      <w:pPr>
        <w:tabs>
          <w:tab w:val="left" w:pos="993"/>
        </w:tabs>
        <w:suppressAutoHyphens/>
        <w:spacing w:after="0" w:line="240" w:lineRule="auto"/>
        <w:ind w:firstLine="567"/>
        <w:jc w:val="both"/>
        <w:rPr>
          <w:rFonts w:ascii="Times New Roman" w:eastAsia="Calibri" w:hAnsi="Times New Roman" w:cs="Times New Roman"/>
          <w:b/>
          <w:kern w:val="0"/>
          <w:sz w:val="24"/>
          <w:szCs w:val="24"/>
          <w:lang w:val="uk-UA"/>
          <w14:ligatures w14:val="none"/>
        </w:rPr>
      </w:pPr>
    </w:p>
    <w:p w14:paraId="333A5D1D" w14:textId="77777777" w:rsidR="007741E5" w:rsidRPr="00B44B71" w:rsidRDefault="007741E5" w:rsidP="007741E5">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надійшов до редакції 01.04.2026</w:t>
      </w:r>
    </w:p>
    <w:p w14:paraId="6112E711" w14:textId="77777777" w:rsidR="007741E5" w:rsidRPr="00B44B71" w:rsidRDefault="007741E5" w:rsidP="007741E5">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прийнято до друку після рецензування 21.04.2026</w:t>
      </w:r>
    </w:p>
    <w:p w14:paraId="2D376698" w14:textId="77777777" w:rsidR="007741E5" w:rsidRDefault="007741E5" w:rsidP="007741E5">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Дата публікації 25.04.2026</w:t>
      </w:r>
    </w:p>
    <w:p w14:paraId="26336FD8" w14:textId="77777777" w:rsidR="00090386" w:rsidRPr="003B5892" w:rsidRDefault="00090386" w:rsidP="00023291">
      <w:pPr>
        <w:tabs>
          <w:tab w:val="left" w:pos="993"/>
          <w:tab w:val="left" w:pos="9638"/>
        </w:tabs>
        <w:spacing w:after="0" w:line="240" w:lineRule="auto"/>
        <w:ind w:firstLine="567"/>
        <w:jc w:val="both"/>
        <w:rPr>
          <w:rFonts w:ascii="Times New Roman" w:eastAsia="Calibri" w:hAnsi="Times New Roman" w:cs="Times New Roman"/>
          <w:kern w:val="0"/>
          <w:sz w:val="24"/>
          <w:szCs w:val="24"/>
          <w14:ligatures w14:val="none"/>
        </w:rPr>
      </w:pPr>
    </w:p>
    <w:p w14:paraId="1E566612" w14:textId="77777777" w:rsidR="00090386" w:rsidRPr="003B5892" w:rsidRDefault="00090386" w:rsidP="00023291">
      <w:pPr>
        <w:tabs>
          <w:tab w:val="left" w:pos="9638"/>
        </w:tabs>
        <w:spacing w:after="0" w:line="240" w:lineRule="auto"/>
        <w:ind w:firstLine="709"/>
        <w:jc w:val="both"/>
        <w:rPr>
          <w:rFonts w:ascii="Times New Roman" w:eastAsia="Times New Roman" w:hAnsi="Times New Roman" w:cs="Times New Roman"/>
          <w:bCs/>
          <w:i/>
          <w:kern w:val="0"/>
          <w:sz w:val="24"/>
          <w:szCs w:val="24"/>
          <w:lang w:val="uk-UA" w:eastAsia="uk-UA"/>
          <w14:ligatures w14:val="none"/>
        </w:rPr>
      </w:pPr>
    </w:p>
    <w:p w14:paraId="739687A5" w14:textId="77777777" w:rsidR="00090386" w:rsidRPr="003B5892" w:rsidRDefault="00090386" w:rsidP="00023291">
      <w:pPr>
        <w:tabs>
          <w:tab w:val="left" w:pos="9638"/>
        </w:tabs>
        <w:spacing w:after="200" w:line="276" w:lineRule="auto"/>
        <w:rPr>
          <w:rFonts w:ascii="Calibri" w:eastAsia="Calibri" w:hAnsi="Calibri" w:cs="Times New Roman"/>
          <w:kern w:val="0"/>
          <w14:ligatures w14:val="none"/>
        </w:rPr>
      </w:pPr>
    </w:p>
    <w:p w14:paraId="73664D4B" w14:textId="06DC362E" w:rsidR="009B12E9" w:rsidRPr="007741E5" w:rsidRDefault="007741E5" w:rsidP="009B12E9">
      <w:pPr>
        <w:shd w:val="clear" w:color="auto" w:fill="FFFFFF"/>
        <w:tabs>
          <w:tab w:val="left" w:pos="1134"/>
          <w:tab w:val="left" w:pos="9638"/>
        </w:tabs>
        <w:adjustRightInd w:val="0"/>
        <w:snapToGrid w:val="0"/>
        <w:spacing w:after="0" w:line="240" w:lineRule="auto"/>
        <w:rPr>
          <w:rFonts w:ascii="Times New Roman" w:eastAsia="Times New Roman" w:hAnsi="Times New Roman" w:cs="Times New Roman"/>
          <w:b/>
          <w:bCs/>
          <w:color w:val="000000"/>
          <w:kern w:val="0"/>
          <w:sz w:val="24"/>
          <w:szCs w:val="24"/>
          <w:lang w:val="uk-UA" w:eastAsia="uk-UA"/>
          <w14:ligatures w14:val="none"/>
        </w:rPr>
      </w:pPr>
      <w:r>
        <w:rPr>
          <w:rFonts w:ascii="Times New Roman" w:eastAsia="Times New Roman" w:hAnsi="Times New Roman" w:cs="Times New Roman"/>
          <w:b/>
          <w:bCs/>
          <w:kern w:val="0"/>
          <w:sz w:val="24"/>
          <w:szCs w:val="24"/>
          <w:lang w:eastAsia="ru-RU"/>
          <w14:ligatures w14:val="none"/>
        </w:rPr>
        <w:br w:type="column"/>
      </w:r>
      <w:r w:rsidR="005F3363" w:rsidRPr="007741E5">
        <w:rPr>
          <w:rFonts w:ascii="Times New Roman" w:eastAsia="Times New Roman" w:hAnsi="Times New Roman" w:cs="Times New Roman"/>
          <w:kern w:val="0"/>
          <w:sz w:val="24"/>
          <w:szCs w:val="24"/>
          <w:lang w:val="uk-UA" w:eastAsia="ru-RU"/>
          <w14:ligatures w14:val="none"/>
        </w:rPr>
        <w:lastRenderedPageBreak/>
        <w:t>ISSN:2617-1775</w:t>
      </w:r>
      <w:r w:rsidR="005F3363" w:rsidRPr="007741E5">
        <w:rPr>
          <w:rFonts w:ascii="Times New Roman" w:eastAsia="Calibri" w:hAnsi="Times New Roman" w:cs="Times New Roman"/>
          <w:b/>
          <w:kern w:val="0"/>
          <w:sz w:val="24"/>
          <w:szCs w:val="24"/>
          <w:lang w:val="uk-UA"/>
          <w14:ligatures w14:val="none"/>
        </w:rPr>
        <w:t xml:space="preserve">                                                                </w:t>
      </w:r>
      <w:r w:rsidR="009B12E9" w:rsidRPr="007741E5">
        <w:rPr>
          <w:rFonts w:ascii="Times New Roman" w:eastAsia="Calibri" w:hAnsi="Times New Roman" w:cs="Times New Roman"/>
          <w:b/>
          <w:kern w:val="0"/>
          <w:sz w:val="24"/>
          <w:szCs w:val="24"/>
          <w:lang w:val="uk-UA"/>
          <w14:ligatures w14:val="none"/>
        </w:rPr>
        <w:t xml:space="preserve">  </w:t>
      </w:r>
      <w:r w:rsidR="009B12E9" w:rsidRPr="007741E5">
        <w:rPr>
          <w:rFonts w:ascii="Times New Roman" w:eastAsia="Times New Roman" w:hAnsi="Times New Roman" w:cs="Times New Roman"/>
          <w:b/>
          <w:bCs/>
          <w:color w:val="000000"/>
          <w:kern w:val="0"/>
          <w:sz w:val="24"/>
          <w:szCs w:val="24"/>
          <w:lang w:val="uk-UA" w:eastAsia="uk-UA"/>
          <w14:ligatures w14:val="none"/>
        </w:rPr>
        <w:t>УДК 355.233:37.015.3:004.8:519.2</w:t>
      </w:r>
    </w:p>
    <w:p w14:paraId="09A68875" w14:textId="25D1FFF9" w:rsidR="005F3363" w:rsidRPr="007741E5" w:rsidRDefault="005F3363" w:rsidP="009B12E9">
      <w:pPr>
        <w:tabs>
          <w:tab w:val="left" w:pos="9638"/>
        </w:tabs>
        <w:spacing w:after="0" w:line="240" w:lineRule="auto"/>
        <w:rPr>
          <w:rFonts w:ascii="Times New Roman" w:eastAsia="Times New Roman" w:hAnsi="Times New Roman" w:cs="Times New Roman"/>
          <w:color w:val="0563C1"/>
          <w:kern w:val="0"/>
          <w:sz w:val="24"/>
          <w:szCs w:val="24"/>
          <w:u w:val="single"/>
          <w:lang w:val="uk-UA"/>
          <w14:ligatures w14:val="none"/>
        </w:rPr>
      </w:pPr>
      <w:r w:rsidRPr="007741E5">
        <w:rPr>
          <w:rFonts w:ascii="Times New Roman" w:eastAsia="Times New Roman" w:hAnsi="Times New Roman" w:cs="Times New Roman"/>
          <w:kern w:val="0"/>
          <w:sz w:val="24"/>
          <w:szCs w:val="24"/>
          <w:lang w:val="uk-UA" w:eastAsia="ru-RU"/>
          <w14:ligatures w14:val="none"/>
        </w:rPr>
        <w:t xml:space="preserve">ISSN: 2617-1783 (online)                                                 </w:t>
      </w:r>
      <w:r w:rsidRPr="007741E5">
        <w:rPr>
          <w:rFonts w:ascii="Times New Roman" w:eastAsia="Times New Roman" w:hAnsi="Times New Roman" w:cs="Times New Roman"/>
          <w:bCs/>
          <w:smallCaps/>
          <w:color w:val="000000"/>
          <w:kern w:val="0"/>
          <w:sz w:val="24"/>
          <w:szCs w:val="24"/>
          <w:lang w:eastAsia="ru-RU"/>
          <w14:ligatures w14:val="none"/>
        </w:rPr>
        <w:t>DOI</w:t>
      </w:r>
      <w:r w:rsidRPr="007741E5">
        <w:rPr>
          <w:rFonts w:ascii="Times New Roman" w:eastAsia="Times New Roman" w:hAnsi="Times New Roman" w:cs="Times New Roman"/>
          <w:bCs/>
          <w:smallCaps/>
          <w:color w:val="000000"/>
          <w:kern w:val="0"/>
          <w:sz w:val="24"/>
          <w:szCs w:val="24"/>
          <w:lang w:val="uk-UA" w:eastAsia="ru-RU"/>
          <w14:ligatures w14:val="none"/>
        </w:rPr>
        <w:t>: 10.33099/2617-1775/2026-01/</w:t>
      </w:r>
      <w:r w:rsidR="00092F1B" w:rsidRPr="007741E5">
        <w:rPr>
          <w:rFonts w:ascii="Times New Roman" w:eastAsia="Times New Roman" w:hAnsi="Times New Roman" w:cs="Times New Roman"/>
          <w:bCs/>
          <w:smallCaps/>
          <w:color w:val="000000"/>
          <w:kern w:val="0"/>
          <w:sz w:val="24"/>
          <w:szCs w:val="24"/>
          <w:lang w:val="uk-UA" w:eastAsia="ru-RU"/>
          <w14:ligatures w14:val="none"/>
        </w:rPr>
        <w:t>247-256</w:t>
      </w:r>
    </w:p>
    <w:p w14:paraId="54CD9392" w14:textId="77777777" w:rsidR="005F3363" w:rsidRPr="007741E5" w:rsidRDefault="005F3363" w:rsidP="009B12E9">
      <w:pPr>
        <w:tabs>
          <w:tab w:val="left" w:pos="9638"/>
        </w:tabs>
        <w:spacing w:after="0" w:line="240" w:lineRule="auto"/>
        <w:jc w:val="right"/>
        <w:rPr>
          <w:rFonts w:ascii="Times New Roman" w:eastAsia="Times New Roman" w:hAnsi="Times New Roman" w:cs="Times New Roman"/>
          <w:b/>
          <w:bCs/>
          <w:kern w:val="0"/>
          <w:sz w:val="24"/>
          <w:szCs w:val="24"/>
          <w:lang w:val="uk-UA"/>
          <w14:ligatures w14:val="none"/>
        </w:rPr>
      </w:pPr>
    </w:p>
    <w:p w14:paraId="2135EE17" w14:textId="77777777" w:rsidR="0023456B" w:rsidRPr="007741E5" w:rsidRDefault="0023456B" w:rsidP="00023291">
      <w:pPr>
        <w:shd w:val="clear" w:color="auto" w:fill="FFFFFF"/>
        <w:tabs>
          <w:tab w:val="left" w:pos="9638"/>
        </w:tabs>
        <w:adjustRightInd w:val="0"/>
        <w:snapToGrid w:val="0"/>
        <w:spacing w:after="0" w:line="240" w:lineRule="auto"/>
        <w:ind w:firstLine="709"/>
        <w:jc w:val="right"/>
        <w:rPr>
          <w:rFonts w:ascii="Times New Roman" w:eastAsia="Times New Roman" w:hAnsi="Times New Roman" w:cs="Times New Roman"/>
          <w:b/>
          <w:color w:val="000000"/>
          <w:kern w:val="0"/>
          <w:sz w:val="24"/>
          <w:szCs w:val="24"/>
          <w:lang w:val="uk-UA" w:eastAsia="uk-UA"/>
          <w14:ligatures w14:val="none"/>
        </w:rPr>
      </w:pPr>
      <w:r w:rsidRPr="007741E5">
        <w:rPr>
          <w:rFonts w:ascii="Times New Roman" w:eastAsia="Times New Roman" w:hAnsi="Times New Roman" w:cs="Times New Roman"/>
          <w:b/>
          <w:color w:val="000000"/>
          <w:kern w:val="0"/>
          <w:sz w:val="24"/>
          <w:szCs w:val="24"/>
          <w:lang w:val="uk-UA" w:eastAsia="uk-UA"/>
          <w14:ligatures w14:val="none"/>
        </w:rPr>
        <w:t xml:space="preserve">Віталій Рахманов, </w:t>
      </w:r>
    </w:p>
    <w:p w14:paraId="2CFBAD37" w14:textId="77777777" w:rsidR="0023456B" w:rsidRPr="007741E5" w:rsidRDefault="0023456B" w:rsidP="00023291">
      <w:pPr>
        <w:shd w:val="clear" w:color="auto" w:fill="FFFFFF"/>
        <w:tabs>
          <w:tab w:val="left" w:pos="9638"/>
        </w:tabs>
        <w:adjustRightInd w:val="0"/>
        <w:snapToGrid w:val="0"/>
        <w:spacing w:after="0" w:line="240" w:lineRule="auto"/>
        <w:ind w:firstLine="709"/>
        <w:jc w:val="right"/>
        <w:rPr>
          <w:rFonts w:ascii="Times New Roman" w:eastAsia="Times New Roman" w:hAnsi="Times New Roman" w:cs="Times New Roman"/>
          <w:color w:val="000000"/>
          <w:kern w:val="0"/>
          <w:sz w:val="24"/>
          <w:szCs w:val="24"/>
          <w:lang w:val="uk-UA" w:eastAsia="uk-UA"/>
          <w14:ligatures w14:val="none"/>
        </w:rPr>
      </w:pPr>
      <w:r w:rsidRPr="007741E5">
        <w:rPr>
          <w:rFonts w:ascii="Times New Roman" w:eastAsia="Times New Roman" w:hAnsi="Times New Roman" w:cs="Times New Roman"/>
          <w:color w:val="000000"/>
          <w:kern w:val="0"/>
          <w:sz w:val="24"/>
          <w:szCs w:val="24"/>
          <w:lang w:val="uk-UA" w:eastAsia="uk-UA"/>
          <w14:ligatures w14:val="none"/>
        </w:rPr>
        <w:t>доктор педагогічних наук, професор</w:t>
      </w:r>
    </w:p>
    <w:p w14:paraId="4E30EE0C" w14:textId="77777777" w:rsidR="0023456B" w:rsidRPr="007741E5" w:rsidRDefault="0023456B" w:rsidP="00023291">
      <w:pPr>
        <w:shd w:val="clear" w:color="auto" w:fill="FFFFFF"/>
        <w:tabs>
          <w:tab w:val="left" w:pos="9638"/>
        </w:tabs>
        <w:adjustRightInd w:val="0"/>
        <w:snapToGrid w:val="0"/>
        <w:spacing w:after="0" w:line="240" w:lineRule="auto"/>
        <w:ind w:firstLine="709"/>
        <w:jc w:val="right"/>
        <w:rPr>
          <w:rFonts w:ascii="Times New Roman" w:eastAsia="Times New Roman" w:hAnsi="Times New Roman" w:cs="Times New Roman"/>
          <w:color w:val="000000"/>
          <w:kern w:val="0"/>
          <w:sz w:val="24"/>
          <w:szCs w:val="24"/>
          <w:lang w:val="uk-UA" w:eastAsia="uk-UA"/>
          <w14:ligatures w14:val="none"/>
        </w:rPr>
      </w:pPr>
      <w:r w:rsidRPr="007741E5">
        <w:rPr>
          <w:rFonts w:ascii="Times New Roman" w:eastAsia="Times New Roman" w:hAnsi="Times New Roman" w:cs="Times New Roman"/>
          <w:color w:val="000000"/>
          <w:kern w:val="0"/>
          <w:sz w:val="24"/>
          <w:szCs w:val="24"/>
          <w:lang w:val="uk-UA" w:eastAsia="uk-UA"/>
          <w14:ligatures w14:val="none"/>
        </w:rPr>
        <w:t>Національний університет оборони України, м. Київ</w:t>
      </w:r>
    </w:p>
    <w:p w14:paraId="46291EBF" w14:textId="77777777" w:rsidR="0023456B" w:rsidRPr="007741E5" w:rsidRDefault="0023456B" w:rsidP="00023291">
      <w:pPr>
        <w:tabs>
          <w:tab w:val="left" w:pos="9638"/>
        </w:tabs>
        <w:adjustRightInd w:val="0"/>
        <w:snapToGrid w:val="0"/>
        <w:spacing w:after="0" w:line="240" w:lineRule="auto"/>
        <w:ind w:firstLine="709"/>
        <w:jc w:val="right"/>
        <w:rPr>
          <w:rFonts w:ascii="Times New Roman" w:eastAsia="Times New Roman" w:hAnsi="Times New Roman" w:cs="Times New Roman"/>
          <w:color w:val="000000"/>
          <w:kern w:val="0"/>
          <w:sz w:val="24"/>
          <w:szCs w:val="24"/>
          <w:shd w:val="clear" w:color="auto" w:fill="FFFFFF"/>
          <w:lang w:val="uk-UA" w:eastAsia="uk-UA"/>
          <w14:ligatures w14:val="none"/>
        </w:rPr>
      </w:pPr>
      <w:r w:rsidRPr="007741E5">
        <w:rPr>
          <w:rFonts w:ascii="Times New Roman" w:eastAsia="Times New Roman" w:hAnsi="Times New Roman" w:cs="Times New Roman"/>
          <w:color w:val="000000"/>
          <w:kern w:val="0"/>
          <w:sz w:val="24"/>
          <w:szCs w:val="24"/>
          <w:lang w:val="uk-UA" w:eastAsia="uk-UA"/>
          <w14:ligatures w14:val="none"/>
        </w:rPr>
        <w:t xml:space="preserve">ORCID ID </w:t>
      </w:r>
      <w:r w:rsidRPr="007741E5">
        <w:rPr>
          <w:rFonts w:ascii="Times New Roman" w:eastAsia="Times New Roman" w:hAnsi="Times New Roman" w:cs="Times New Roman"/>
          <w:color w:val="000000"/>
          <w:kern w:val="0"/>
          <w:sz w:val="24"/>
          <w:szCs w:val="24"/>
          <w:shd w:val="clear" w:color="auto" w:fill="FFFFFF"/>
          <w:lang w:val="uk-UA" w:eastAsia="uk-UA"/>
          <w14:ligatures w14:val="none"/>
        </w:rPr>
        <w:t>0000-0002-7180-4087</w:t>
      </w:r>
    </w:p>
    <w:p w14:paraId="74546832" w14:textId="77777777" w:rsidR="0023456B" w:rsidRPr="007741E5" w:rsidRDefault="0023456B" w:rsidP="00023291">
      <w:pPr>
        <w:shd w:val="clear" w:color="auto" w:fill="FFFFFF"/>
        <w:tabs>
          <w:tab w:val="left" w:pos="1134"/>
          <w:tab w:val="left" w:pos="9638"/>
        </w:tabs>
        <w:adjustRightInd w:val="0"/>
        <w:snapToGrid w:val="0"/>
        <w:spacing w:after="0" w:line="240" w:lineRule="auto"/>
        <w:ind w:firstLine="709"/>
        <w:jc w:val="right"/>
        <w:rPr>
          <w:rFonts w:ascii="Times New Roman" w:eastAsia="Times New Roman" w:hAnsi="Times New Roman" w:cs="Times New Roman"/>
          <w:kern w:val="0"/>
          <w:sz w:val="24"/>
          <w:szCs w:val="24"/>
          <w:lang w:val="uk-UA" w:eastAsia="uk-UA"/>
          <w14:ligatures w14:val="none"/>
        </w:rPr>
      </w:pPr>
    </w:p>
    <w:p w14:paraId="2CF6707A" w14:textId="77777777" w:rsidR="00F4442D" w:rsidRDefault="0023456B" w:rsidP="001B0296">
      <w:pPr>
        <w:shd w:val="clear" w:color="auto" w:fill="FFFFFF"/>
        <w:tabs>
          <w:tab w:val="left" w:pos="1134"/>
          <w:tab w:val="left" w:pos="9638"/>
        </w:tabs>
        <w:adjustRightInd w:val="0"/>
        <w:snapToGrid w:val="0"/>
        <w:spacing w:after="0" w:line="240" w:lineRule="auto"/>
        <w:jc w:val="center"/>
        <w:rPr>
          <w:rFonts w:ascii="Times New Roman" w:eastAsia="Times New Roman" w:hAnsi="Times New Roman" w:cs="Times New Roman"/>
          <w:b/>
          <w:bCs/>
          <w:kern w:val="0"/>
          <w:sz w:val="24"/>
          <w:szCs w:val="24"/>
          <w:lang w:val="uk-UA" w:eastAsia="uk-UA"/>
          <w14:ligatures w14:val="none"/>
        </w:rPr>
      </w:pPr>
      <w:r w:rsidRPr="007741E5">
        <w:rPr>
          <w:rFonts w:ascii="Times New Roman" w:eastAsia="Times New Roman" w:hAnsi="Times New Roman" w:cs="Times New Roman"/>
          <w:b/>
          <w:bCs/>
          <w:kern w:val="0"/>
          <w:sz w:val="24"/>
          <w:szCs w:val="24"/>
          <w:lang w:val="uk-UA" w:eastAsia="uk-UA"/>
          <w14:ligatures w14:val="none"/>
        </w:rPr>
        <w:t xml:space="preserve">ПРОГНОЗУВАННЯ ОСВІТНЬОЇ ДІЯЛЬНОСТІ У ВВНЗ ЗА ДОПОМОГОЮ ШТУЧНОГО ІНТЕЛЕКТУ НА ОСНОВІ СТАТИСТИЧНОГО АНАЛІЗУ </w:t>
      </w:r>
    </w:p>
    <w:p w14:paraId="3B7973E2" w14:textId="60FEE079" w:rsidR="0023456B" w:rsidRPr="007741E5" w:rsidRDefault="0023456B" w:rsidP="001B0296">
      <w:pPr>
        <w:shd w:val="clear" w:color="auto" w:fill="FFFFFF"/>
        <w:tabs>
          <w:tab w:val="left" w:pos="1134"/>
          <w:tab w:val="left" w:pos="9638"/>
        </w:tabs>
        <w:adjustRightInd w:val="0"/>
        <w:snapToGrid w:val="0"/>
        <w:spacing w:after="0" w:line="240" w:lineRule="auto"/>
        <w:jc w:val="center"/>
        <w:rPr>
          <w:rFonts w:ascii="Times New Roman" w:eastAsia="Times New Roman" w:hAnsi="Times New Roman" w:cs="Times New Roman"/>
          <w:b/>
          <w:bCs/>
          <w:kern w:val="0"/>
          <w:sz w:val="24"/>
          <w:szCs w:val="24"/>
          <w:lang w:val="uk-UA" w:eastAsia="uk-UA"/>
          <w14:ligatures w14:val="none"/>
        </w:rPr>
      </w:pPr>
      <w:r w:rsidRPr="007741E5">
        <w:rPr>
          <w:rFonts w:ascii="Times New Roman" w:eastAsia="Times New Roman" w:hAnsi="Times New Roman" w:cs="Times New Roman"/>
          <w:b/>
          <w:bCs/>
          <w:kern w:val="0"/>
          <w:sz w:val="24"/>
          <w:szCs w:val="24"/>
          <w:lang w:val="uk-UA" w:eastAsia="uk-UA"/>
          <w14:ligatures w14:val="none"/>
        </w:rPr>
        <w:t>ПОВІТРЯНИХ ТРИВОГ</w:t>
      </w:r>
    </w:p>
    <w:p w14:paraId="3D5F670A" w14:textId="77777777" w:rsidR="0023456B" w:rsidRPr="007741E5" w:rsidRDefault="0023456B" w:rsidP="001B0296">
      <w:pPr>
        <w:shd w:val="clear" w:color="auto" w:fill="FFFFFF"/>
        <w:tabs>
          <w:tab w:val="left" w:pos="1134"/>
          <w:tab w:val="left" w:pos="9638"/>
        </w:tabs>
        <w:adjustRightInd w:val="0"/>
        <w:snapToGrid w:val="0"/>
        <w:spacing w:after="0" w:line="240" w:lineRule="auto"/>
        <w:ind w:firstLine="709"/>
        <w:jc w:val="center"/>
        <w:rPr>
          <w:rFonts w:ascii="Times New Roman" w:eastAsia="Times New Roman" w:hAnsi="Times New Roman" w:cs="Times New Roman"/>
          <w:kern w:val="0"/>
          <w:sz w:val="24"/>
          <w:szCs w:val="24"/>
          <w:lang w:val="uk-UA" w:eastAsia="uk-UA"/>
          <w14:ligatures w14:val="none"/>
        </w:rPr>
      </w:pPr>
    </w:p>
    <w:p w14:paraId="1000BE7B" w14:textId="77777777" w:rsidR="0023456B" w:rsidRPr="007741E5"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i/>
          <w:kern w:val="0"/>
          <w:sz w:val="24"/>
          <w:szCs w:val="24"/>
          <w:lang w:val="uk-UA" w:eastAsia="uk-UA"/>
          <w14:ligatures w14:val="none"/>
        </w:rPr>
      </w:pPr>
      <w:r w:rsidRPr="007741E5">
        <w:rPr>
          <w:rFonts w:ascii="Times New Roman" w:eastAsia="Times New Roman" w:hAnsi="Times New Roman" w:cs="Times New Roman"/>
          <w:i/>
          <w:kern w:val="0"/>
          <w:sz w:val="24"/>
          <w:szCs w:val="24"/>
          <w:lang w:val="uk-UA" w:eastAsia="uk-UA"/>
          <w14:ligatures w14:val="none"/>
        </w:rPr>
        <w:t>У статті розглядаються особливості прогнозування освітньої діяльності у Національному університеті оборони України в умовах воєнного стану на основі статистичного аналізу повітряних тривог. Обґрунтовано актуальність використання статистичних даних для підвищення ефективності організації освітнього процесу в умовах постійних безпекових загроз. Проаналізовано вплив повітряних тривог на тривалість, безперервність та якість проведення навчальних занять. Визначено основні показники статистичного аналізу, зокрема частоту, тривалість та часову структуру повітряних тривог. Розглянуто можливості застосування штучного інтелекту для визначення найбільш ризикових часових інтервалів. Запропоновано підходи до адаптації освітнього процесу шляхом гнучкого планування розкладу занять, використання змішаних форм навчання та резервування навчального часу. Впровадження систем прогнозування на основі статистики повітряних тривог сприятиме підвищенню стійкості та адаптивності системи військової освіти, забезпеченню безперервності навчання й ефективнішому управлінню освітнім процесом.</w:t>
      </w:r>
    </w:p>
    <w:p w14:paraId="74C20D9F" w14:textId="77777777" w:rsidR="0023456B" w:rsidRPr="007741E5"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i/>
          <w:iCs/>
          <w:kern w:val="0"/>
          <w:sz w:val="24"/>
          <w:szCs w:val="24"/>
          <w:lang w:val="uk-UA" w:eastAsia="uk-UA"/>
          <w14:ligatures w14:val="none"/>
        </w:rPr>
      </w:pPr>
      <w:r w:rsidRPr="007741E5">
        <w:rPr>
          <w:rFonts w:ascii="Times New Roman" w:eastAsia="Times New Roman" w:hAnsi="Times New Roman" w:cs="Times New Roman"/>
          <w:b/>
          <w:bCs/>
          <w:i/>
          <w:kern w:val="0"/>
          <w:sz w:val="24"/>
          <w:szCs w:val="24"/>
          <w:lang w:val="uk-UA" w:eastAsia="uk-UA"/>
          <w14:ligatures w14:val="none"/>
        </w:rPr>
        <w:t>Ключові слова:</w:t>
      </w:r>
      <w:r w:rsidRPr="007741E5">
        <w:rPr>
          <w:rFonts w:ascii="Times New Roman" w:eastAsia="Times New Roman" w:hAnsi="Times New Roman" w:cs="Times New Roman"/>
          <w:i/>
          <w:kern w:val="0"/>
          <w:sz w:val="24"/>
          <w:szCs w:val="24"/>
          <w:lang w:val="uk-UA" w:eastAsia="uk-UA"/>
          <w14:ligatures w14:val="none"/>
        </w:rPr>
        <w:t xml:space="preserve"> повітряні тривоги; освітня діяльність;</w:t>
      </w:r>
      <w:r w:rsidRPr="007741E5">
        <w:rPr>
          <w:rFonts w:ascii="Times New Roman" w:eastAsia="Times New Roman" w:hAnsi="Times New Roman" w:cs="Times New Roman"/>
          <w:color w:val="000000"/>
          <w:kern w:val="0"/>
          <w:sz w:val="24"/>
          <w:szCs w:val="24"/>
          <w:lang w:val="uk-UA" w:eastAsia="uk-UA"/>
          <w14:ligatures w14:val="none"/>
        </w:rPr>
        <w:t xml:space="preserve"> </w:t>
      </w:r>
      <w:r w:rsidRPr="007741E5">
        <w:rPr>
          <w:rFonts w:ascii="Times New Roman" w:eastAsia="Times New Roman" w:hAnsi="Times New Roman" w:cs="Times New Roman"/>
          <w:i/>
          <w:iCs/>
          <w:color w:val="000000"/>
          <w:kern w:val="0"/>
          <w:sz w:val="24"/>
          <w:szCs w:val="24"/>
          <w:lang w:val="uk-UA" w:eastAsia="uk-UA"/>
          <w14:ligatures w14:val="none"/>
        </w:rPr>
        <w:t>військова освіта, освітній процес, статистичний аналіз; воєнний стан</w:t>
      </w:r>
      <w:r w:rsidRPr="007741E5">
        <w:rPr>
          <w:rFonts w:ascii="Times New Roman" w:eastAsia="Times New Roman" w:hAnsi="Times New Roman" w:cs="Times New Roman"/>
          <w:i/>
          <w:iCs/>
          <w:kern w:val="0"/>
          <w:sz w:val="24"/>
          <w:szCs w:val="24"/>
          <w:lang w:val="uk-UA" w:eastAsia="uk-UA"/>
          <w14:ligatures w14:val="none"/>
        </w:rPr>
        <w:t>.</w:t>
      </w:r>
    </w:p>
    <w:p w14:paraId="539189BE"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i/>
          <w:iCs/>
          <w:kern w:val="0"/>
          <w:sz w:val="28"/>
          <w:szCs w:val="28"/>
          <w:lang w:val="uk-UA" w:eastAsia="uk-UA"/>
          <w14:ligatures w14:val="none"/>
        </w:rPr>
      </w:pPr>
    </w:p>
    <w:p w14:paraId="115E16F7"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b/>
          <w:kern w:val="0"/>
          <w:sz w:val="28"/>
          <w:szCs w:val="28"/>
          <w:lang w:val="uk-UA" w:eastAsia="uk-UA"/>
          <w14:ligatures w14:val="none"/>
        </w:rPr>
        <w:t xml:space="preserve">Постановка проблеми. </w:t>
      </w:r>
      <w:r w:rsidRPr="001B0296">
        <w:rPr>
          <w:rFonts w:ascii="Times New Roman" w:eastAsia="Times New Roman" w:hAnsi="Times New Roman" w:cs="Times New Roman"/>
          <w:kern w:val="0"/>
          <w:sz w:val="28"/>
          <w:szCs w:val="28"/>
          <w:lang w:val="uk-UA" w:eastAsia="uk-UA"/>
          <w14:ligatures w14:val="none"/>
        </w:rPr>
        <w:t xml:space="preserve">Сучасні умови функціонування закладів вищої військової освіти України характеризуються постійними викликами, пов’язаними з безпековою ситуацією. Одним із ключових дестабілізуючих факторів є повітряні тривоги, які призводять до регулярного переривання навчальних занять, зниження їхньої ефективності та порушення освітнього процесу. Це актуалізує необхідність пошуку нових підходів до організації освітнього процесу, зокрема використання нейронних мереж на основі прогнозування </w:t>
      </w:r>
      <w:r w:rsidRPr="001B0296">
        <w:rPr>
          <w:rFonts w:ascii="Times New Roman" w:eastAsia="Times New Roman" w:hAnsi="Times New Roman" w:cs="Times New Roman"/>
          <w:kern w:val="0"/>
          <w:sz w:val="28"/>
          <w:szCs w:val="28"/>
          <w:lang w:val="ru-RU" w:eastAsia="uk-UA"/>
          <w14:ligatures w14:val="none"/>
        </w:rPr>
        <w:t>[</w:t>
      </w:r>
      <w:r w:rsidRPr="001B0296">
        <w:rPr>
          <w:rFonts w:ascii="Times New Roman" w:eastAsia="Times New Roman" w:hAnsi="Times New Roman" w:cs="Times New Roman"/>
          <w:kern w:val="0"/>
          <w:sz w:val="28"/>
          <w:szCs w:val="28"/>
          <w:lang w:val="uk-UA" w:eastAsia="uk-UA"/>
          <w14:ligatures w14:val="none"/>
        </w:rPr>
        <w:t>2, 5, 6</w:t>
      </w:r>
      <w:r w:rsidRPr="001B0296">
        <w:rPr>
          <w:rFonts w:ascii="Times New Roman" w:eastAsia="Times New Roman" w:hAnsi="Times New Roman" w:cs="Times New Roman"/>
          <w:kern w:val="0"/>
          <w:sz w:val="28"/>
          <w:szCs w:val="28"/>
          <w:lang w:val="ru-RU" w:eastAsia="uk-UA"/>
          <w14:ligatures w14:val="none"/>
        </w:rPr>
        <w:t>]</w:t>
      </w:r>
      <w:r w:rsidRPr="001B0296">
        <w:rPr>
          <w:rFonts w:ascii="Times New Roman" w:eastAsia="Times New Roman" w:hAnsi="Times New Roman" w:cs="Times New Roman"/>
          <w:kern w:val="0"/>
          <w:sz w:val="28"/>
          <w:szCs w:val="28"/>
          <w:lang w:val="uk-UA" w:eastAsia="uk-UA"/>
          <w14:ligatures w14:val="none"/>
        </w:rPr>
        <w:t xml:space="preserve">. </w:t>
      </w:r>
    </w:p>
    <w:p w14:paraId="61A3CC82"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 xml:space="preserve">У сучасних умовах повномасштабної війни повсякденна діяльність Національного університету оборони України (НУОУ), значною мірою залежить від безпекової ситуації. Повітряні тривоги стають не просто перервами, а фактором, що впливає на планування розкладу, форми проведення занять, ефективність освітнього процесу. Аналіз статистики тривог дозволяє розробляти прогностичні моделі для оптимізації навчання. Використання статистики повітряних тривог як інструменту прогнозування освітньої діяльності залишається недостатньо дослідженим, що визначає новизну даної роботи. В умовах повномасштабної агресії НУОУ стикається з безпрецедентним викликом: як забезпечити високу якість підготовки військових кадрів, коли освітній процес </w:t>
      </w:r>
      <w:r w:rsidRPr="001B0296">
        <w:rPr>
          <w:rFonts w:ascii="Times New Roman" w:eastAsia="Times New Roman" w:hAnsi="Times New Roman" w:cs="Times New Roman"/>
          <w:kern w:val="0"/>
          <w:sz w:val="28"/>
          <w:szCs w:val="28"/>
          <w:lang w:val="uk-UA" w:eastAsia="uk-UA"/>
          <w14:ligatures w14:val="none"/>
        </w:rPr>
        <w:lastRenderedPageBreak/>
        <w:t>постійно переривається сигналами повітряної тривоги. Рішенням стає перехід від ситуативного управління до прогностичного моделювання на основі статистичних даних.</w:t>
      </w:r>
    </w:p>
    <w:p w14:paraId="63E97BB4"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 xml:space="preserve">У НУОУ, де основний акцент робиться на практичну підготовку, такі перерви впливають на бойову злагодженість, </w:t>
      </w:r>
      <w:r w:rsidRPr="001B0296">
        <w:rPr>
          <w:rFonts w:ascii="Times New Roman" w:eastAsia="Times New Roman" w:hAnsi="Times New Roman" w:cs="Times New Roman"/>
          <w:color w:val="000000"/>
          <w:kern w:val="0"/>
          <w:sz w:val="28"/>
          <w:szCs w:val="28"/>
          <w:lang w:val="uk-UA" w:eastAsia="uk-UA"/>
          <w14:ligatures w14:val="none"/>
        </w:rPr>
        <w:t>якість засвоєння навчального матеріалу, безперервність формування професійних компетентностей та загальну ефективність підготовки майбутніх офіцерів</w:t>
      </w:r>
      <w:r w:rsidRPr="001B0296">
        <w:rPr>
          <w:rFonts w:ascii="Times New Roman" w:eastAsia="Times New Roman" w:hAnsi="Times New Roman" w:cs="Times New Roman"/>
          <w:kern w:val="0"/>
          <w:sz w:val="28"/>
          <w:szCs w:val="28"/>
          <w:lang w:val="uk-UA" w:eastAsia="uk-UA"/>
          <w14:ligatures w14:val="none"/>
        </w:rPr>
        <w:t>, що змушує:</w:t>
      </w:r>
    </w:p>
    <w:p w14:paraId="0F3B987D" w14:textId="77777777" w:rsidR="0023456B" w:rsidRPr="001B0296" w:rsidRDefault="0023456B" w:rsidP="001B0296">
      <w:pPr>
        <w:widowControl w:val="0"/>
        <w:numPr>
          <w:ilvl w:val="0"/>
          <w:numId w:val="28"/>
        </w:numPr>
        <w:shd w:val="clear" w:color="auto" w:fill="FFFFFF"/>
        <w:tabs>
          <w:tab w:val="left" w:pos="1134"/>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Створення аналітичного центру або іншого підрозділу з інтеграції статистики повітряних тривог в систему планування освітнього процесу.</w:t>
      </w:r>
    </w:p>
    <w:p w14:paraId="7C559CB1" w14:textId="77777777" w:rsidR="0023456B" w:rsidRPr="001B0296" w:rsidRDefault="0023456B" w:rsidP="001B0296">
      <w:pPr>
        <w:widowControl w:val="0"/>
        <w:numPr>
          <w:ilvl w:val="0"/>
          <w:numId w:val="28"/>
        </w:numPr>
        <w:shd w:val="clear" w:color="auto" w:fill="FFFFFF"/>
        <w:tabs>
          <w:tab w:val="left" w:pos="1134"/>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Формування гнучкого семестрового графіку з резервними відновлювальними тижнями.</w:t>
      </w:r>
    </w:p>
    <w:p w14:paraId="7B6935B9" w14:textId="77777777" w:rsidR="0023456B" w:rsidRPr="001B0296" w:rsidRDefault="0023456B" w:rsidP="001B0296">
      <w:pPr>
        <w:widowControl w:val="0"/>
        <w:numPr>
          <w:ilvl w:val="0"/>
          <w:numId w:val="28"/>
        </w:numPr>
        <w:shd w:val="clear" w:color="auto" w:fill="FFFFFF"/>
        <w:tabs>
          <w:tab w:val="left" w:pos="1134"/>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Оснащення укриттів для продовження занять.</w:t>
      </w:r>
    </w:p>
    <w:p w14:paraId="0E3EEAFA" w14:textId="77777777" w:rsidR="0023456B" w:rsidRPr="001B0296" w:rsidRDefault="0023456B" w:rsidP="001B0296">
      <w:pPr>
        <w:widowControl w:val="0"/>
        <w:numPr>
          <w:ilvl w:val="0"/>
          <w:numId w:val="28"/>
        </w:numPr>
        <w:shd w:val="clear" w:color="auto" w:fill="FFFFFF"/>
        <w:tabs>
          <w:tab w:val="left" w:pos="1134"/>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Психологічну підтримку слухачів і викладачів.</w:t>
      </w:r>
    </w:p>
    <w:p w14:paraId="1EC93A89"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b/>
          <w:bCs/>
          <w:kern w:val="0"/>
          <w:sz w:val="28"/>
          <w:szCs w:val="28"/>
          <w:lang w:val="uk-UA" w:eastAsia="uk-UA"/>
          <w14:ligatures w14:val="none"/>
        </w:rPr>
        <w:t>Аналіз останніх досліджень і публікацій.</w:t>
      </w:r>
      <w:r w:rsidRPr="001B0296">
        <w:rPr>
          <w:rFonts w:ascii="Times New Roman" w:eastAsia="Times New Roman" w:hAnsi="Times New Roman" w:cs="Times New Roman"/>
          <w:kern w:val="0"/>
          <w:sz w:val="28"/>
          <w:szCs w:val="28"/>
          <w:lang w:val="uk-UA" w:eastAsia="uk-UA"/>
          <w14:ligatures w14:val="none"/>
        </w:rPr>
        <w:t xml:space="preserve"> Вчені Богдан та Деміан Павлишенки проводили дослідницький аналіз та розробляли моделі прогнозування повітряних тривог. Вони використовували машинне навчання (Random Forest), часові ряди, геопросторові кореляції між регіонами, що надавало можливість прогнозувати ймовірність та тривалість тривог у конкретному регіоні у найближчий час (наступні 5–15 хвилин) [3]. </w:t>
      </w:r>
    </w:p>
    <w:p w14:paraId="28D758B6"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 xml:space="preserve">Учені </w:t>
      </w:r>
      <w:r w:rsidRPr="001B0296">
        <w:rPr>
          <w:rFonts w:ascii="Times New Roman" w:eastAsia="Times New Roman" w:hAnsi="Times New Roman" w:cs="Times New Roman"/>
          <w:kern w:val="0"/>
          <w:sz w:val="28"/>
          <w:szCs w:val="28"/>
          <w:lang w:val="uk-UA"/>
          <w14:ligatures w14:val="none"/>
        </w:rPr>
        <w:t xml:space="preserve">Савченко С., Луцька Н., Власенко Л., Томенко Н. у статті [4] </w:t>
      </w:r>
      <w:r w:rsidRPr="001B0296">
        <w:rPr>
          <w:rFonts w:ascii="Times New Roman" w:eastAsia="Times New Roman" w:hAnsi="Times New Roman" w:cs="Times New Roman"/>
          <w:kern w:val="0"/>
          <w:sz w:val="28"/>
          <w:szCs w:val="28"/>
          <w:lang w:val="uk-UA" w:eastAsia="uk-UA"/>
          <w14:ligatures w14:val="none"/>
        </w:rPr>
        <w:t>досліджували нейромережі (LSTM та подібні) для прогнозування повітряних тривог як часових рядів. Це прогнозування актуально для короткострокового прогнозування.</w:t>
      </w:r>
    </w:p>
    <w:p w14:paraId="687307C5"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 xml:space="preserve">Учені Бочарніков В., Свешніков С. у статті </w:t>
      </w:r>
      <w:r w:rsidRPr="001B0296">
        <w:rPr>
          <w:rFonts w:ascii="Times New Roman" w:eastAsia="Times New Roman" w:hAnsi="Times New Roman" w:cs="Times New Roman"/>
          <w:kern w:val="0"/>
          <w:sz w:val="28"/>
          <w:szCs w:val="28"/>
          <w:lang w:val="ru-RU"/>
          <w14:ligatures w14:val="none"/>
        </w:rPr>
        <w:t>[</w:t>
      </w:r>
      <w:r w:rsidRPr="001B0296">
        <w:rPr>
          <w:rFonts w:ascii="Times New Roman" w:eastAsia="Times New Roman" w:hAnsi="Times New Roman" w:cs="Times New Roman"/>
          <w:kern w:val="0"/>
          <w:sz w:val="28"/>
          <w:szCs w:val="28"/>
          <w:lang w:val="uk-UA"/>
          <w14:ligatures w14:val="none"/>
        </w:rPr>
        <w:t>1</w:t>
      </w:r>
      <w:r w:rsidRPr="001B0296">
        <w:rPr>
          <w:rFonts w:ascii="Times New Roman" w:eastAsia="Times New Roman" w:hAnsi="Times New Roman" w:cs="Times New Roman"/>
          <w:kern w:val="0"/>
          <w:sz w:val="28"/>
          <w:szCs w:val="28"/>
          <w:lang w:val="ru-RU"/>
          <w14:ligatures w14:val="none"/>
        </w:rPr>
        <w:t xml:space="preserve">] </w:t>
      </w:r>
      <w:r w:rsidRPr="001B0296">
        <w:rPr>
          <w:rFonts w:ascii="Times New Roman" w:eastAsia="Times New Roman" w:hAnsi="Times New Roman" w:cs="Times New Roman"/>
          <w:kern w:val="0"/>
          <w:sz w:val="28"/>
          <w:szCs w:val="28"/>
          <w:lang w:val="uk-UA" w:eastAsia="uk-UA"/>
          <w14:ligatures w14:val="none"/>
        </w:rPr>
        <w:t>на рівні концептуальних моделей демонстрували можливості застосування методів штучного інтелекту для розв’язання прикладних наукових задач, які постають у сфері безпеки та оборони</w:t>
      </w:r>
      <w:r w:rsidRPr="001B0296">
        <w:rPr>
          <w:rFonts w:ascii="Times New Roman" w:eastAsia="Times New Roman" w:hAnsi="Times New Roman" w:cs="Times New Roman"/>
          <w:kern w:val="0"/>
          <w:sz w:val="28"/>
          <w:szCs w:val="28"/>
          <w:lang w:val="ru-RU" w:eastAsia="uk-UA"/>
          <w14:ligatures w14:val="none"/>
        </w:rPr>
        <w:t>.</w:t>
      </w:r>
    </w:p>
    <w:p w14:paraId="1FFDFF9D"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b/>
          <w:bCs/>
          <w:kern w:val="0"/>
          <w:sz w:val="28"/>
          <w:szCs w:val="28"/>
          <w:lang w:val="uk-UA" w:eastAsia="uk-UA"/>
          <w14:ligatures w14:val="none"/>
        </w:rPr>
        <w:t>Мета статті</w:t>
      </w:r>
      <w:r w:rsidRPr="001B0296">
        <w:rPr>
          <w:rFonts w:ascii="Times New Roman" w:eastAsia="Times New Roman" w:hAnsi="Times New Roman" w:cs="Times New Roman"/>
          <w:kern w:val="0"/>
          <w:sz w:val="28"/>
          <w:szCs w:val="28"/>
          <w:lang w:val="uk-UA" w:eastAsia="uk-UA"/>
          <w14:ligatures w14:val="none"/>
        </w:rPr>
        <w:t xml:space="preserve"> полягає в обґрунтуванні можливостей використання статистичних даних про повітряні тривоги для прогнозування та оптимізації освітнього процесу у НУОУ, а також передбачити ймовірність, тривалість та часові показники тривог для оптимізації розкладу, переходу на змішаний, онлайн-формат чи передбачити безпечні показники для практичних занять.</w:t>
      </w:r>
    </w:p>
    <w:p w14:paraId="6E43E4DA"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b/>
          <w:kern w:val="0"/>
          <w:sz w:val="28"/>
          <w:szCs w:val="28"/>
          <w:lang w:val="uk-UA" w:eastAsia="uk-UA"/>
          <w14:ligatures w14:val="none"/>
        </w:rPr>
        <w:t>Виклад основного матеріалу</w:t>
      </w:r>
      <w:r w:rsidRPr="001B0296">
        <w:rPr>
          <w:rFonts w:ascii="Times New Roman" w:eastAsia="Times New Roman" w:hAnsi="Times New Roman" w:cs="Times New Roman"/>
          <w:kern w:val="0"/>
          <w:sz w:val="28"/>
          <w:szCs w:val="28"/>
          <w:lang w:val="uk-UA" w:eastAsia="uk-UA"/>
          <w14:ligatures w14:val="none"/>
        </w:rPr>
        <w:t xml:space="preserve">. За даними відкритих джерел (Kyiv Digital, </w:t>
      </w:r>
      <w:hyperlink r:id="rId324" w:history="1">
        <w:r w:rsidRPr="001B0296">
          <w:rPr>
            <w:rFonts w:ascii="Times New Roman" w:eastAsia="Times New Roman" w:hAnsi="Times New Roman" w:cs="Times New Roman"/>
            <w:color w:val="0000FF"/>
            <w:kern w:val="0"/>
            <w:sz w:val="28"/>
            <w:szCs w:val="28"/>
            <w:u w:val="single"/>
            <w:lang w:val="uk-UA" w:eastAsia="uk-UA"/>
            <w14:ligatures w14:val="none"/>
          </w:rPr>
          <w:t>https://kyiv.digital/storage/air-alert/stats.html</w:t>
        </w:r>
      </w:hyperlink>
      <w:r w:rsidRPr="001B0296">
        <w:rPr>
          <w:rFonts w:ascii="Times New Roman" w:eastAsia="Times New Roman" w:hAnsi="Times New Roman" w:cs="Times New Roman"/>
          <w:kern w:val="0"/>
          <w:sz w:val="28"/>
          <w:szCs w:val="28"/>
          <w:lang w:val="uk-UA" w:eastAsia="uk-UA"/>
          <w14:ligatures w14:val="none"/>
        </w:rPr>
        <w:t xml:space="preserve">), з 24 лютого 2022 року по 08 травня 2026 року в Києві пролунало 2139 повітряних тривог, загальна тривалість небезпеки перевищила 2552 години (понад 106 діб). У 2025 році в столиці зафіксовано близько 500–509 тривог із сумарною тривалістю понад 730–740 годин (більше 30 діб). Середня тривалість однієї тривоги становить приблизно 1 годину 20–45 хвилин, хоча трапляються епізоди тривалістю понад 9–24 години. Найчастіше тривоги оголошуються у вечірній та нічний період (21:00–04:00) та в окремі дні тижня (наприклад, п’ятницю). Піки активності спостерігаються в осінньо-зимовий період, характерний нанесенням ракетно-дронових ударів з ураження об’єктів критичної інфраструктури міста. У 2025 році </w:t>
      </w:r>
      <w:r w:rsidRPr="001B0296">
        <w:rPr>
          <w:rFonts w:ascii="Times New Roman" w:eastAsia="Times New Roman" w:hAnsi="Times New Roman" w:cs="Times New Roman"/>
          <w:kern w:val="0"/>
          <w:sz w:val="28"/>
          <w:szCs w:val="28"/>
          <w:lang w:val="uk-UA" w:eastAsia="uk-UA"/>
          <w14:ligatures w14:val="none"/>
        </w:rPr>
        <w:lastRenderedPageBreak/>
        <w:t>загальноукраїнська кількість тривог перевищила 19 000. Київ і Київська область залишаються у зоні підвищеного ризику.</w:t>
      </w:r>
    </w:p>
    <w:p w14:paraId="3DAF6F97"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У НУОУ при отриманні сигналу «Повітряна тривога» виконується інструкція щодо негайного припинення освітнього процесу для евакуації особового складу до укриттів. За можливості може відбуватися продовження занять в укритті або відновлення після відбою. Існують типові сценарії коригування розкладу:</w:t>
      </w:r>
    </w:p>
    <w:p w14:paraId="0E58B905"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1. Тривога до початку занять. Якщо тривога закінчується за 1,5 години до пари — заняття за розкладом, якщо пізніше, то перенесення на наступне заняття.</w:t>
      </w:r>
    </w:p>
    <w:p w14:paraId="7CBE9B07"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2. Тривога під час занять. Негайне припинення, перехід в укриття. Відновлення заняття відбувається через 10–15 хвилин після відбою.</w:t>
      </w:r>
    </w:p>
    <w:p w14:paraId="374E4DCF"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 xml:space="preserve">Тривалі тривоги призводять до перенесення лекційних, практичних чи контрольних заходів, збільшення самостійної роботи або онлайн-формату. Тому нами було запропоновано використання штучного інтелекту </w:t>
      </w:r>
      <w:r w:rsidRPr="001B0296">
        <w:rPr>
          <w:rFonts w:ascii="Times New Roman" w:eastAsia="Times New Roman" w:hAnsi="Times New Roman" w:cs="Times New Roman"/>
          <w:kern w:val="0"/>
          <w:sz w:val="28"/>
          <w:szCs w:val="28"/>
          <w:lang w:eastAsia="uk-UA"/>
          <w14:ligatures w14:val="none"/>
        </w:rPr>
        <w:t>Google</w:t>
      </w:r>
      <w:r w:rsidRPr="001B0296">
        <w:rPr>
          <w:rFonts w:ascii="Times New Roman" w:eastAsia="Times New Roman" w:hAnsi="Times New Roman" w:cs="Times New Roman"/>
          <w:kern w:val="0"/>
          <w:sz w:val="28"/>
          <w:szCs w:val="28"/>
          <w:lang w:val="ru-RU" w:eastAsia="uk-UA"/>
          <w14:ligatures w14:val="none"/>
        </w:rPr>
        <w:t xml:space="preserve"> </w:t>
      </w:r>
      <w:r w:rsidRPr="001B0296">
        <w:rPr>
          <w:rFonts w:ascii="Times New Roman" w:eastAsia="Times New Roman" w:hAnsi="Times New Roman" w:cs="Times New Roman"/>
          <w:kern w:val="0"/>
          <w:sz w:val="28"/>
          <w:szCs w:val="28"/>
          <w:lang w:eastAsia="uk-UA"/>
          <w14:ligatures w14:val="none"/>
        </w:rPr>
        <w:t>Colab</w:t>
      </w:r>
      <w:r w:rsidRPr="001B0296">
        <w:rPr>
          <w:rFonts w:ascii="Times New Roman" w:eastAsia="Times New Roman" w:hAnsi="Times New Roman" w:cs="Times New Roman"/>
          <w:kern w:val="0"/>
          <w:sz w:val="28"/>
          <w:szCs w:val="28"/>
          <w:lang w:val="ru-RU" w:eastAsia="uk-UA"/>
          <w14:ligatures w14:val="none"/>
        </w:rPr>
        <w:t xml:space="preserve"> </w:t>
      </w:r>
      <w:r w:rsidRPr="001B0296">
        <w:rPr>
          <w:rFonts w:ascii="Times New Roman" w:eastAsia="Times New Roman" w:hAnsi="Times New Roman" w:cs="Times New Roman"/>
          <w:kern w:val="0"/>
          <w:sz w:val="28"/>
          <w:szCs w:val="28"/>
          <w:lang w:val="uk-UA" w:eastAsia="uk-UA"/>
          <w14:ligatures w14:val="none"/>
        </w:rPr>
        <w:t xml:space="preserve">для прогнозування освітньої діяльності у НУОУ. Статистику повітряних тривог було взято з відкритих джерел, а саме з сайту Київ цифровий (https://kyiv.digital/storage/air-alert/stats.html) (Рис. 1) </w:t>
      </w:r>
    </w:p>
    <w:p w14:paraId="520BD830"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jc w:val="center"/>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noProof/>
          <w:kern w:val="0"/>
          <w:sz w:val="28"/>
          <w:szCs w:val="28"/>
          <w:lang w:val="uk-UA" w:eastAsia="uk-UA"/>
          <w14:ligatures w14:val="none"/>
        </w:rPr>
        <w:drawing>
          <wp:inline distT="0" distB="0" distL="0" distR="0" wp14:anchorId="2665F569" wp14:editId="308495DC">
            <wp:extent cx="5477534" cy="3323645"/>
            <wp:effectExtent l="0" t="0" r="0" b="3810"/>
            <wp:docPr id="838005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36220" name="Picture 740436220"/>
                    <pic:cNvPicPr/>
                  </pic:nvPicPr>
                  <pic:blipFill rotWithShape="1">
                    <a:blip r:embed="rId325" cstate="print">
                      <a:extLst>
                        <a:ext uri="{28A0092B-C50C-407E-A947-70E740481C1C}">
                          <a14:useLocalDpi xmlns:a14="http://schemas.microsoft.com/office/drawing/2010/main" val="0"/>
                        </a:ext>
                      </a:extLst>
                    </a:blip>
                    <a:srcRect b="2577"/>
                    <a:stretch>
                      <a:fillRect/>
                    </a:stretch>
                  </pic:blipFill>
                  <pic:spPr bwMode="auto">
                    <a:xfrm>
                      <a:off x="0" y="0"/>
                      <a:ext cx="5649125" cy="3427763"/>
                    </a:xfrm>
                    <a:prstGeom prst="rect">
                      <a:avLst/>
                    </a:prstGeom>
                    <a:ln>
                      <a:noFill/>
                    </a:ln>
                    <a:extLst>
                      <a:ext uri="{53640926-AAD7-44D8-BBD7-CCE9431645EC}">
                        <a14:shadowObscured xmlns:a14="http://schemas.microsoft.com/office/drawing/2010/main"/>
                      </a:ext>
                    </a:extLst>
                  </pic:spPr>
                </pic:pic>
              </a:graphicData>
            </a:graphic>
          </wp:inline>
        </w:drawing>
      </w:r>
    </w:p>
    <w:p w14:paraId="3DA36282" w14:textId="4EE66484" w:rsidR="0023456B" w:rsidRPr="001B0296" w:rsidRDefault="0023456B" w:rsidP="001B0296">
      <w:pPr>
        <w:widowControl w:val="0"/>
        <w:shd w:val="clear" w:color="auto" w:fill="FFFFFF"/>
        <w:tabs>
          <w:tab w:val="left" w:pos="1134"/>
          <w:tab w:val="left" w:pos="9638"/>
        </w:tabs>
        <w:adjustRightInd w:val="0"/>
        <w:snapToGrid w:val="0"/>
        <w:spacing w:after="0" w:line="240" w:lineRule="auto"/>
        <w:jc w:val="center"/>
        <w:rPr>
          <w:rFonts w:ascii="Times New Roman" w:eastAsia="Times New Roman" w:hAnsi="Times New Roman" w:cs="Times New Roman"/>
          <w:kern w:val="0"/>
          <w:sz w:val="28"/>
          <w:szCs w:val="28"/>
          <w:highlight w:val="yellow"/>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Рис. 1. Статистика повітряних тривог</w:t>
      </w:r>
    </w:p>
    <w:p w14:paraId="1B97B4D3" w14:textId="77777777" w:rsidR="007741E5" w:rsidRDefault="007741E5"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p>
    <w:p w14:paraId="4006E434" w14:textId="49173D4E"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Ці дані демонструють, що тривоги мають системний фактор, який забирає 10–20% робочого часу в навчальному році залежно від інтенсивності. В середньому у великих містах України тривоги можуть виникати кілька разів на день, що потребує адаптивного підходу до планування занять. Повітряні тривоги мають такі основні наслідки:</w:t>
      </w:r>
    </w:p>
    <w:p w14:paraId="636D6399" w14:textId="77777777" w:rsidR="0023456B" w:rsidRPr="001B0296" w:rsidRDefault="0023456B" w:rsidP="001B0296">
      <w:pPr>
        <w:widowControl w:val="0"/>
        <w:numPr>
          <w:ilvl w:val="0"/>
          <w:numId w:val="27"/>
        </w:numPr>
        <w:shd w:val="clear" w:color="auto" w:fill="FFFFFF"/>
        <w:tabs>
          <w:tab w:val="left" w:pos="1134"/>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переривання навчальних занять і зниження їх тривалості;</w:t>
      </w:r>
    </w:p>
    <w:p w14:paraId="7692D413" w14:textId="77777777" w:rsidR="0023456B" w:rsidRPr="001B0296" w:rsidRDefault="0023456B" w:rsidP="001B0296">
      <w:pPr>
        <w:widowControl w:val="0"/>
        <w:numPr>
          <w:ilvl w:val="0"/>
          <w:numId w:val="27"/>
        </w:numPr>
        <w:shd w:val="clear" w:color="auto" w:fill="FFFFFF"/>
        <w:tabs>
          <w:tab w:val="left" w:pos="1134"/>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психологічне навантаження на слухачів та викладачів;</w:t>
      </w:r>
    </w:p>
    <w:p w14:paraId="79DEC187" w14:textId="77777777" w:rsidR="0023456B" w:rsidRPr="001B0296" w:rsidRDefault="0023456B" w:rsidP="001B0296">
      <w:pPr>
        <w:widowControl w:val="0"/>
        <w:numPr>
          <w:ilvl w:val="0"/>
          <w:numId w:val="27"/>
        </w:numPr>
        <w:shd w:val="clear" w:color="auto" w:fill="FFFFFF"/>
        <w:tabs>
          <w:tab w:val="left" w:pos="1134"/>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lastRenderedPageBreak/>
        <w:t>порушення логіки подання навчального матеріалу;</w:t>
      </w:r>
    </w:p>
    <w:p w14:paraId="71B35625" w14:textId="77777777" w:rsidR="0023456B" w:rsidRPr="001B0296" w:rsidRDefault="0023456B" w:rsidP="001B0296">
      <w:pPr>
        <w:widowControl w:val="0"/>
        <w:numPr>
          <w:ilvl w:val="0"/>
          <w:numId w:val="27"/>
        </w:numPr>
        <w:shd w:val="clear" w:color="auto" w:fill="FFFFFF"/>
        <w:tabs>
          <w:tab w:val="left" w:pos="1134"/>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зниження рівня засвоєння знань, сформованості умінь та навичок.</w:t>
      </w:r>
    </w:p>
    <w:p w14:paraId="07FCBE42"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 xml:space="preserve">Використання штучного інтелекту Google Colab забезпечує можливість здійснювати обробку та аналіз статистичних даних, організовувати спільну роботу щодо прогнозування освітньої діяльності в режимі реального часу. Google Colab — це хмарне середовище для програмування та роботи зі штучним інтелектом, яке забезпечує можливість запускати код Python без встановлення додаткового програмного забезпечення на комп’ютері (Рис. 2). </w:t>
      </w:r>
    </w:p>
    <w:p w14:paraId="061BA459"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noProof/>
          <w:kern w:val="0"/>
          <w:sz w:val="28"/>
          <w:szCs w:val="28"/>
          <w:lang w:val="uk-UA" w:eastAsia="uk-UA"/>
          <w14:ligatures w14:val="none"/>
        </w:rPr>
        <w:drawing>
          <wp:inline distT="0" distB="0" distL="0" distR="0" wp14:anchorId="6975F528" wp14:editId="6D4AF05F">
            <wp:extent cx="5995284" cy="4738239"/>
            <wp:effectExtent l="0" t="0" r="0" b="0"/>
            <wp:docPr id="8380059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10788" name="Picture 1380810788"/>
                    <pic:cNvPicPr/>
                  </pic:nvPicPr>
                  <pic:blipFill rotWithShape="1">
                    <a:blip r:embed="rId326" cstate="print">
                      <a:extLst>
                        <a:ext uri="{28A0092B-C50C-407E-A947-70E740481C1C}">
                          <a14:useLocalDpi xmlns:a14="http://schemas.microsoft.com/office/drawing/2010/main" val="0"/>
                        </a:ext>
                      </a:extLst>
                    </a:blip>
                    <a:srcRect r="40338"/>
                    <a:stretch>
                      <a:fillRect/>
                    </a:stretch>
                  </pic:blipFill>
                  <pic:spPr bwMode="auto">
                    <a:xfrm>
                      <a:off x="0" y="0"/>
                      <a:ext cx="6058638" cy="4788309"/>
                    </a:xfrm>
                    <a:prstGeom prst="rect">
                      <a:avLst/>
                    </a:prstGeom>
                    <a:ln>
                      <a:noFill/>
                    </a:ln>
                    <a:extLst>
                      <a:ext uri="{53640926-AAD7-44D8-BBD7-CCE9431645EC}">
                        <a14:shadowObscured xmlns:a14="http://schemas.microsoft.com/office/drawing/2010/main"/>
                      </a:ext>
                    </a:extLst>
                  </pic:spPr>
                </pic:pic>
              </a:graphicData>
            </a:graphic>
          </wp:inline>
        </w:drawing>
      </w:r>
    </w:p>
    <w:p w14:paraId="6D7CB0E9"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jc w:val="center"/>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 xml:space="preserve">Рис. 2. Процедура оброблення даних на сайті </w:t>
      </w:r>
      <w:r w:rsidRPr="001B0296">
        <w:rPr>
          <w:rFonts w:ascii="Times New Roman" w:eastAsia="Times New Roman" w:hAnsi="Times New Roman" w:cs="Times New Roman"/>
          <w:kern w:val="0"/>
          <w:sz w:val="28"/>
          <w:szCs w:val="28"/>
          <w:lang w:eastAsia="uk-UA"/>
          <w14:ligatures w14:val="none"/>
        </w:rPr>
        <w:t>Google</w:t>
      </w:r>
      <w:r w:rsidRPr="001B0296">
        <w:rPr>
          <w:rFonts w:ascii="Times New Roman" w:eastAsia="Times New Roman" w:hAnsi="Times New Roman" w:cs="Times New Roman"/>
          <w:kern w:val="0"/>
          <w:sz w:val="28"/>
          <w:szCs w:val="28"/>
          <w:lang w:val="ru-RU" w:eastAsia="uk-UA"/>
          <w14:ligatures w14:val="none"/>
        </w:rPr>
        <w:t xml:space="preserve"> </w:t>
      </w:r>
      <w:r w:rsidRPr="001B0296">
        <w:rPr>
          <w:rFonts w:ascii="Times New Roman" w:eastAsia="Times New Roman" w:hAnsi="Times New Roman" w:cs="Times New Roman"/>
          <w:kern w:val="0"/>
          <w:sz w:val="28"/>
          <w:szCs w:val="28"/>
          <w:lang w:eastAsia="uk-UA"/>
          <w14:ligatures w14:val="none"/>
        </w:rPr>
        <w:t>Colab</w:t>
      </w:r>
    </w:p>
    <w:p w14:paraId="639BDEE4" w14:textId="77777777" w:rsidR="0023456B" w:rsidRPr="001B0296" w:rsidRDefault="0023456B" w:rsidP="001B0296">
      <w:pPr>
        <w:widowControl w:val="0"/>
        <w:shd w:val="clear" w:color="auto" w:fill="FFFFFF"/>
        <w:tabs>
          <w:tab w:val="left" w:pos="2417"/>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ab/>
      </w:r>
    </w:p>
    <w:p w14:paraId="6DC2C198"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 xml:space="preserve">Для оброблення інформації нам були представлено такі данні для штучного інтелекту </w:t>
      </w:r>
      <w:r w:rsidRPr="001B0296">
        <w:rPr>
          <w:rFonts w:ascii="Times New Roman" w:eastAsia="Times New Roman" w:hAnsi="Times New Roman" w:cs="Times New Roman"/>
          <w:kern w:val="0"/>
          <w:sz w:val="28"/>
          <w:szCs w:val="28"/>
          <w:lang w:eastAsia="uk-UA"/>
          <w14:ligatures w14:val="none"/>
        </w:rPr>
        <w:t>Google</w:t>
      </w:r>
      <w:r w:rsidRPr="001B0296">
        <w:rPr>
          <w:rFonts w:ascii="Times New Roman" w:eastAsia="Times New Roman" w:hAnsi="Times New Roman" w:cs="Times New Roman"/>
          <w:kern w:val="0"/>
          <w:sz w:val="28"/>
          <w:szCs w:val="28"/>
          <w:lang w:val="ru-RU" w:eastAsia="uk-UA"/>
          <w14:ligatures w14:val="none"/>
        </w:rPr>
        <w:t xml:space="preserve"> </w:t>
      </w:r>
      <w:r w:rsidRPr="001B0296">
        <w:rPr>
          <w:rFonts w:ascii="Times New Roman" w:eastAsia="Times New Roman" w:hAnsi="Times New Roman" w:cs="Times New Roman"/>
          <w:kern w:val="0"/>
          <w:sz w:val="28"/>
          <w:szCs w:val="28"/>
          <w:lang w:eastAsia="uk-UA"/>
          <w14:ligatures w14:val="none"/>
        </w:rPr>
        <w:t>Colab</w:t>
      </w:r>
      <w:r w:rsidRPr="001B0296">
        <w:rPr>
          <w:rFonts w:ascii="Times New Roman" w:eastAsia="Times New Roman" w:hAnsi="Times New Roman" w:cs="Times New Roman"/>
          <w:kern w:val="0"/>
          <w:sz w:val="28"/>
          <w:szCs w:val="28"/>
          <w:lang w:val="uk-UA" w:eastAsia="uk-UA"/>
          <w14:ligatures w14:val="none"/>
        </w:rPr>
        <w:t>:</w:t>
      </w:r>
    </w:p>
    <w:p w14:paraId="6389CC38"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 xml:space="preserve">1. Дата, місяць, рік повітряних тривог. </w:t>
      </w:r>
    </w:p>
    <w:p w14:paraId="386C5EAE"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2. Початок та кінець (тривалість) повітряних тривог.</w:t>
      </w:r>
    </w:p>
    <w:p w14:paraId="307906FD"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3. Розклад занять.</w:t>
      </w:r>
    </w:p>
    <w:p w14:paraId="2E0DE038"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 xml:space="preserve">4. Дні тижня (субота - навчальний день). </w:t>
      </w:r>
    </w:p>
    <w:p w14:paraId="655F82AF"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5. Період проведення аналізу (01.09.2024 – 25.07.2025 р.р.).</w:t>
      </w:r>
    </w:p>
    <w:p w14:paraId="5EF6101A" w14:textId="5A2A13C2"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 xml:space="preserve">Крім того, ШІ використовував метод Монте-Карло — це математичний метод імітаційного моделювання, який прогнозує можливі результати </w:t>
      </w:r>
      <w:r w:rsidRPr="001B0296">
        <w:rPr>
          <w:rFonts w:ascii="Times New Roman" w:eastAsia="Times New Roman" w:hAnsi="Times New Roman" w:cs="Times New Roman"/>
          <w:kern w:val="0"/>
          <w:sz w:val="28"/>
          <w:szCs w:val="28"/>
          <w:lang w:val="uk-UA" w:eastAsia="uk-UA"/>
          <w14:ligatures w14:val="none"/>
        </w:rPr>
        <w:lastRenderedPageBreak/>
        <w:t>невизначених подій шляхом багаторазового випадкового відтворення сценаріїв. Він об'єднує аналіз ймовірностей із комп'ютерними розрахунками для оцінки ризиків. За результатами оброблення інформації штучний інтелект представив наступні результати, таблиця 1.</w:t>
      </w:r>
    </w:p>
    <w:p w14:paraId="20D49BA6"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right"/>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Таблиця 1</w:t>
      </w:r>
    </w:p>
    <w:tbl>
      <w:tblPr>
        <w:tblStyle w:val="150"/>
        <w:tblW w:w="0" w:type="auto"/>
        <w:tblLook w:val="04A0" w:firstRow="1" w:lastRow="0" w:firstColumn="1" w:lastColumn="0" w:noHBand="0" w:noVBand="1"/>
      </w:tblPr>
      <w:tblGrid>
        <w:gridCol w:w="1144"/>
        <w:gridCol w:w="1150"/>
        <w:gridCol w:w="1375"/>
        <w:gridCol w:w="1529"/>
        <w:gridCol w:w="1529"/>
        <w:gridCol w:w="1529"/>
        <w:gridCol w:w="1563"/>
      </w:tblGrid>
      <w:tr w:rsidR="0023456B" w:rsidRPr="00F4442D" w14:paraId="4E834D4A" w14:textId="77777777" w:rsidTr="0023456B">
        <w:tc>
          <w:tcPr>
            <w:tcW w:w="1103" w:type="dxa"/>
          </w:tcPr>
          <w:p w14:paraId="1763FFDB"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 Заняття</w:t>
            </w:r>
          </w:p>
        </w:tc>
        <w:tc>
          <w:tcPr>
            <w:tcW w:w="1108" w:type="dxa"/>
          </w:tcPr>
          <w:p w14:paraId="725B3226"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 xml:space="preserve">Початок </w:t>
            </w:r>
          </w:p>
        </w:tc>
        <w:tc>
          <w:tcPr>
            <w:tcW w:w="1322" w:type="dxa"/>
          </w:tcPr>
          <w:p w14:paraId="2F9FC17C"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Тривалість</w:t>
            </w:r>
          </w:p>
        </w:tc>
        <w:tc>
          <w:tcPr>
            <w:tcW w:w="1469" w:type="dxa"/>
          </w:tcPr>
          <w:p w14:paraId="1ECE7842"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Ймовірність переривання у % при р50</w:t>
            </w:r>
          </w:p>
        </w:tc>
        <w:tc>
          <w:tcPr>
            <w:tcW w:w="1469" w:type="dxa"/>
          </w:tcPr>
          <w:p w14:paraId="71E83704"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Ймовірність переривання у хвилинах</w:t>
            </w:r>
          </w:p>
        </w:tc>
        <w:tc>
          <w:tcPr>
            <w:tcW w:w="1469" w:type="dxa"/>
          </w:tcPr>
          <w:p w14:paraId="749399BF"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Ймовірність переривання у хв. при р90</w:t>
            </w:r>
          </w:p>
        </w:tc>
        <w:tc>
          <w:tcPr>
            <w:tcW w:w="1469" w:type="dxa"/>
          </w:tcPr>
          <w:p w14:paraId="5D7E39FB"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 xml:space="preserve">Ймовірність що заняття завершиться </w:t>
            </w:r>
          </w:p>
        </w:tc>
      </w:tr>
      <w:tr w:rsidR="0023456B" w:rsidRPr="00F4442D" w14:paraId="44E3126F" w14:textId="77777777" w:rsidTr="0023456B">
        <w:tc>
          <w:tcPr>
            <w:tcW w:w="1103" w:type="dxa"/>
          </w:tcPr>
          <w:p w14:paraId="1E38FA6F"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2</w:t>
            </w:r>
          </w:p>
        </w:tc>
        <w:tc>
          <w:tcPr>
            <w:tcW w:w="1108" w:type="dxa"/>
          </w:tcPr>
          <w:p w14:paraId="0AEC330B"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10:20</w:t>
            </w:r>
          </w:p>
        </w:tc>
        <w:tc>
          <w:tcPr>
            <w:tcW w:w="1322" w:type="dxa"/>
          </w:tcPr>
          <w:p w14:paraId="226EE1BF"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90</w:t>
            </w:r>
          </w:p>
        </w:tc>
        <w:tc>
          <w:tcPr>
            <w:tcW w:w="1469" w:type="dxa"/>
          </w:tcPr>
          <w:p w14:paraId="12D7316F"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0,18</w:t>
            </w:r>
          </w:p>
        </w:tc>
        <w:tc>
          <w:tcPr>
            <w:tcW w:w="1469" w:type="dxa"/>
          </w:tcPr>
          <w:p w14:paraId="64902904"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8,6</w:t>
            </w:r>
          </w:p>
        </w:tc>
        <w:tc>
          <w:tcPr>
            <w:tcW w:w="1469" w:type="dxa"/>
          </w:tcPr>
          <w:p w14:paraId="0982796A"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35,0</w:t>
            </w:r>
          </w:p>
        </w:tc>
        <w:tc>
          <w:tcPr>
            <w:tcW w:w="1469" w:type="dxa"/>
          </w:tcPr>
          <w:p w14:paraId="6D788DC1"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0,82</w:t>
            </w:r>
          </w:p>
        </w:tc>
      </w:tr>
      <w:tr w:rsidR="0023456B" w:rsidRPr="00F4442D" w14:paraId="06C8E39C" w14:textId="77777777" w:rsidTr="0023456B">
        <w:tc>
          <w:tcPr>
            <w:tcW w:w="1103" w:type="dxa"/>
          </w:tcPr>
          <w:p w14:paraId="564706C3"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3</w:t>
            </w:r>
          </w:p>
        </w:tc>
        <w:tc>
          <w:tcPr>
            <w:tcW w:w="1108" w:type="dxa"/>
          </w:tcPr>
          <w:p w14:paraId="7DDB49E4"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12.10</w:t>
            </w:r>
          </w:p>
        </w:tc>
        <w:tc>
          <w:tcPr>
            <w:tcW w:w="1322" w:type="dxa"/>
          </w:tcPr>
          <w:p w14:paraId="60AEB4F9"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90</w:t>
            </w:r>
          </w:p>
        </w:tc>
        <w:tc>
          <w:tcPr>
            <w:tcW w:w="1469" w:type="dxa"/>
          </w:tcPr>
          <w:p w14:paraId="2961AC1F"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0,22</w:t>
            </w:r>
          </w:p>
        </w:tc>
        <w:tc>
          <w:tcPr>
            <w:tcW w:w="1469" w:type="dxa"/>
          </w:tcPr>
          <w:p w14:paraId="2314D7D0"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10:1</w:t>
            </w:r>
          </w:p>
        </w:tc>
        <w:tc>
          <w:tcPr>
            <w:tcW w:w="1469" w:type="dxa"/>
          </w:tcPr>
          <w:p w14:paraId="71A80307"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41,0</w:t>
            </w:r>
          </w:p>
        </w:tc>
        <w:tc>
          <w:tcPr>
            <w:tcW w:w="1469" w:type="dxa"/>
          </w:tcPr>
          <w:p w14:paraId="558913C9"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0,78</w:t>
            </w:r>
          </w:p>
        </w:tc>
      </w:tr>
      <w:tr w:rsidR="0023456B" w:rsidRPr="00F4442D" w14:paraId="68E20FAC" w14:textId="77777777" w:rsidTr="0023456B">
        <w:tc>
          <w:tcPr>
            <w:tcW w:w="1103" w:type="dxa"/>
          </w:tcPr>
          <w:p w14:paraId="63D08620"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4</w:t>
            </w:r>
          </w:p>
        </w:tc>
        <w:tc>
          <w:tcPr>
            <w:tcW w:w="1108" w:type="dxa"/>
          </w:tcPr>
          <w:p w14:paraId="51B66B24"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14.00</w:t>
            </w:r>
          </w:p>
        </w:tc>
        <w:tc>
          <w:tcPr>
            <w:tcW w:w="1322" w:type="dxa"/>
          </w:tcPr>
          <w:p w14:paraId="5E392509"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90</w:t>
            </w:r>
          </w:p>
        </w:tc>
        <w:tc>
          <w:tcPr>
            <w:tcW w:w="1469" w:type="dxa"/>
          </w:tcPr>
          <w:p w14:paraId="514EA5C2"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0,27</w:t>
            </w:r>
          </w:p>
        </w:tc>
        <w:tc>
          <w:tcPr>
            <w:tcW w:w="1469" w:type="dxa"/>
          </w:tcPr>
          <w:p w14:paraId="5139D4FF"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12,4</w:t>
            </w:r>
          </w:p>
        </w:tc>
        <w:tc>
          <w:tcPr>
            <w:tcW w:w="1469" w:type="dxa"/>
          </w:tcPr>
          <w:p w14:paraId="32AD2C74"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49,0</w:t>
            </w:r>
          </w:p>
        </w:tc>
        <w:tc>
          <w:tcPr>
            <w:tcW w:w="1469" w:type="dxa"/>
          </w:tcPr>
          <w:p w14:paraId="388F349C"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0,73</w:t>
            </w:r>
          </w:p>
        </w:tc>
      </w:tr>
      <w:tr w:rsidR="0023456B" w:rsidRPr="00F4442D" w14:paraId="4EAFC0D7" w14:textId="77777777" w:rsidTr="0023456B">
        <w:tc>
          <w:tcPr>
            <w:tcW w:w="1103" w:type="dxa"/>
          </w:tcPr>
          <w:p w14:paraId="438032DE"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1</w:t>
            </w:r>
          </w:p>
        </w:tc>
        <w:tc>
          <w:tcPr>
            <w:tcW w:w="1108" w:type="dxa"/>
          </w:tcPr>
          <w:p w14:paraId="282C5261"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08.30</w:t>
            </w:r>
          </w:p>
        </w:tc>
        <w:tc>
          <w:tcPr>
            <w:tcW w:w="1322" w:type="dxa"/>
          </w:tcPr>
          <w:p w14:paraId="47612403"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90</w:t>
            </w:r>
          </w:p>
        </w:tc>
        <w:tc>
          <w:tcPr>
            <w:tcW w:w="1469" w:type="dxa"/>
          </w:tcPr>
          <w:p w14:paraId="74AF5995"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0,31</w:t>
            </w:r>
          </w:p>
        </w:tc>
        <w:tc>
          <w:tcPr>
            <w:tcW w:w="1469" w:type="dxa"/>
          </w:tcPr>
          <w:p w14:paraId="060CA8D0"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15,9</w:t>
            </w:r>
          </w:p>
        </w:tc>
        <w:tc>
          <w:tcPr>
            <w:tcW w:w="1469" w:type="dxa"/>
          </w:tcPr>
          <w:p w14:paraId="2EB4D475"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58,0</w:t>
            </w:r>
          </w:p>
        </w:tc>
        <w:tc>
          <w:tcPr>
            <w:tcW w:w="1469" w:type="dxa"/>
          </w:tcPr>
          <w:p w14:paraId="6A475C60"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0,69</w:t>
            </w:r>
          </w:p>
        </w:tc>
      </w:tr>
      <w:tr w:rsidR="0023456B" w:rsidRPr="00F4442D" w14:paraId="1656526B" w14:textId="77777777" w:rsidTr="0023456B">
        <w:tc>
          <w:tcPr>
            <w:tcW w:w="1103" w:type="dxa"/>
          </w:tcPr>
          <w:p w14:paraId="4785DC82"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5</w:t>
            </w:r>
          </w:p>
        </w:tc>
        <w:tc>
          <w:tcPr>
            <w:tcW w:w="1108" w:type="dxa"/>
          </w:tcPr>
          <w:p w14:paraId="75695059"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15.50</w:t>
            </w:r>
          </w:p>
        </w:tc>
        <w:tc>
          <w:tcPr>
            <w:tcW w:w="1322" w:type="dxa"/>
          </w:tcPr>
          <w:p w14:paraId="643C6077"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90</w:t>
            </w:r>
          </w:p>
        </w:tc>
        <w:tc>
          <w:tcPr>
            <w:tcW w:w="1469" w:type="dxa"/>
          </w:tcPr>
          <w:p w14:paraId="7B4D91EA"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0,35</w:t>
            </w:r>
          </w:p>
        </w:tc>
        <w:tc>
          <w:tcPr>
            <w:tcW w:w="1469" w:type="dxa"/>
          </w:tcPr>
          <w:p w14:paraId="69E3B24B"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18,7</w:t>
            </w:r>
          </w:p>
        </w:tc>
        <w:tc>
          <w:tcPr>
            <w:tcW w:w="1469" w:type="dxa"/>
          </w:tcPr>
          <w:p w14:paraId="5F3BE3DA"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64,0</w:t>
            </w:r>
          </w:p>
        </w:tc>
        <w:tc>
          <w:tcPr>
            <w:tcW w:w="1469" w:type="dxa"/>
          </w:tcPr>
          <w:p w14:paraId="17A0FEA9" w14:textId="77777777" w:rsidR="0023456B" w:rsidRPr="00F4442D" w:rsidRDefault="0023456B" w:rsidP="001B0296">
            <w:pPr>
              <w:widowControl w:val="0"/>
              <w:tabs>
                <w:tab w:val="left" w:pos="710"/>
                <w:tab w:val="left" w:pos="1134"/>
                <w:tab w:val="left" w:pos="1276"/>
                <w:tab w:val="left" w:pos="9638"/>
              </w:tabs>
              <w:autoSpaceDE w:val="0"/>
              <w:autoSpaceDN w:val="0"/>
              <w:adjustRightInd w:val="0"/>
              <w:snapToGrid w:val="0"/>
              <w:jc w:val="center"/>
              <w:rPr>
                <w:rFonts w:ascii="Times New Roman" w:hAnsi="Times New Roman" w:cs="Times New Roman"/>
                <w:i/>
                <w:sz w:val="24"/>
                <w:szCs w:val="24"/>
              </w:rPr>
            </w:pPr>
            <w:r w:rsidRPr="00F4442D">
              <w:rPr>
                <w:rFonts w:ascii="Times New Roman" w:hAnsi="Times New Roman" w:cs="Times New Roman"/>
                <w:i/>
                <w:sz w:val="24"/>
                <w:szCs w:val="24"/>
              </w:rPr>
              <w:t>0,65</w:t>
            </w:r>
          </w:p>
        </w:tc>
      </w:tr>
    </w:tbl>
    <w:p w14:paraId="08A48F1E" w14:textId="77777777" w:rsidR="0023456B" w:rsidRPr="001B0296" w:rsidRDefault="0023456B" w:rsidP="001B0296">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p>
    <w:p w14:paraId="2C1326E0" w14:textId="09392BBB" w:rsidR="0023456B" w:rsidRPr="00F95D69" w:rsidRDefault="0023456B" w:rsidP="00F95D69">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iCs/>
          <w:kern w:val="0"/>
          <w:sz w:val="28"/>
          <w:szCs w:val="28"/>
          <w:lang w:val="uk-UA" w:eastAsia="uk-UA"/>
          <w14:ligatures w14:val="none"/>
        </w:rPr>
        <w:t xml:space="preserve">За результатами аналізу ШІ представив значення у порядку ймовірності від низького (другого) переривання навчальних занять до високого (п’ятого). Наприклад, ймовірність переривання другого навчального заняття найнижча, початок заняття об 10.20, ймовірність того, що заняття буде перервано 18% (при медіані втрати часу р50, тобто у 50% випадків втрати часу не перевищують це значення), в середньому може втрачатися 8,6 хвилин, у 10% випадків буде втрачено 35 хвилин або більше (при медіані втрати часу р90 (критичний показник ризику), тобто відбудеться втрати часу у найгірших 10% випадків) та 82% заняття завершиться без переривання. </w:t>
      </w:r>
      <w:r w:rsidRPr="001B0296">
        <w:rPr>
          <w:rFonts w:ascii="Times New Roman" w:eastAsia="Times New Roman" w:hAnsi="Times New Roman" w:cs="Times New Roman"/>
          <w:kern w:val="0"/>
          <w:sz w:val="28"/>
          <w:szCs w:val="28"/>
          <w:lang w:val="uk-UA" w:eastAsia="uk-UA"/>
          <w14:ligatures w14:val="none"/>
        </w:rPr>
        <w:t>Ймовірності переривання та завершення навчальних занять</w:t>
      </w:r>
      <w:r w:rsidRPr="001B0296">
        <w:rPr>
          <w:rFonts w:ascii="Times New Roman" w:eastAsia="Times New Roman" w:hAnsi="Times New Roman" w:cs="Times New Roman"/>
          <w:iCs/>
          <w:kern w:val="0"/>
          <w:sz w:val="28"/>
          <w:szCs w:val="28"/>
          <w:lang w:val="uk-UA" w:eastAsia="uk-UA"/>
          <w14:ligatures w14:val="none"/>
        </w:rPr>
        <w:t xml:space="preserve"> представлено на графіку (рис. 3).</w:t>
      </w:r>
      <w:r w:rsidRPr="001B0296">
        <w:rPr>
          <w:rFonts w:ascii="Times New Roman" w:eastAsia="Times New Roman" w:hAnsi="Times New Roman" w:cs="Times New Roman"/>
          <w:i/>
          <w:kern w:val="0"/>
          <w:sz w:val="28"/>
          <w:szCs w:val="28"/>
          <w:lang w:val="ru-RU" w:eastAsia="uk-UA"/>
          <w14:ligatures w14:val="none"/>
        </w:rPr>
        <w:t xml:space="preserve"> </w:t>
      </w:r>
    </w:p>
    <w:p w14:paraId="75C722F5" w14:textId="77777777" w:rsidR="0023456B" w:rsidRPr="001B0296" w:rsidRDefault="0023456B" w:rsidP="00F95D69">
      <w:pPr>
        <w:widowControl w:val="0"/>
        <w:shd w:val="clear" w:color="auto" w:fill="FFFFFF"/>
        <w:tabs>
          <w:tab w:val="left" w:pos="1134"/>
          <w:tab w:val="left" w:pos="9638"/>
        </w:tabs>
        <w:adjustRightInd w:val="0"/>
        <w:snapToGrid w:val="0"/>
        <w:spacing w:after="0" w:line="240" w:lineRule="auto"/>
        <w:jc w:val="center"/>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noProof/>
          <w:kern w:val="0"/>
          <w:sz w:val="28"/>
          <w:szCs w:val="28"/>
          <w:lang w:val="uk-UA" w:eastAsia="uk-UA"/>
          <w14:ligatures w14:val="none"/>
        </w:rPr>
        <w:drawing>
          <wp:inline distT="0" distB="0" distL="0" distR="0" wp14:anchorId="6EF45B7A" wp14:editId="03E5DAB3">
            <wp:extent cx="5699612" cy="3856382"/>
            <wp:effectExtent l="0" t="0" r="3175" b="4445"/>
            <wp:docPr id="8380059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718925" name="Picture 428718925"/>
                    <pic:cNvPicPr/>
                  </pic:nvPicPr>
                  <pic:blipFill rotWithShape="1">
                    <a:blip r:embed="rId327" cstate="print">
                      <a:extLst>
                        <a:ext uri="{28A0092B-C50C-407E-A947-70E740481C1C}">
                          <a14:useLocalDpi xmlns:a14="http://schemas.microsoft.com/office/drawing/2010/main" val="0"/>
                        </a:ext>
                      </a:extLst>
                    </a:blip>
                    <a:srcRect l="1409"/>
                    <a:stretch>
                      <a:fillRect/>
                    </a:stretch>
                  </pic:blipFill>
                  <pic:spPr bwMode="auto">
                    <a:xfrm>
                      <a:off x="0" y="0"/>
                      <a:ext cx="5761254" cy="3898089"/>
                    </a:xfrm>
                    <a:prstGeom prst="rect">
                      <a:avLst/>
                    </a:prstGeom>
                    <a:ln>
                      <a:noFill/>
                    </a:ln>
                    <a:extLst>
                      <a:ext uri="{53640926-AAD7-44D8-BBD7-CCE9431645EC}">
                        <a14:shadowObscured xmlns:a14="http://schemas.microsoft.com/office/drawing/2010/main"/>
                      </a:ext>
                    </a:extLst>
                  </pic:spPr>
                </pic:pic>
              </a:graphicData>
            </a:graphic>
          </wp:inline>
        </w:drawing>
      </w:r>
    </w:p>
    <w:p w14:paraId="37D63A9B" w14:textId="77AAF617" w:rsidR="0023456B" w:rsidRDefault="0023456B" w:rsidP="001B0296">
      <w:pPr>
        <w:widowControl w:val="0"/>
        <w:shd w:val="clear" w:color="auto" w:fill="FFFFFF"/>
        <w:tabs>
          <w:tab w:val="left" w:pos="1134"/>
          <w:tab w:val="left" w:pos="9638"/>
        </w:tabs>
        <w:adjustRightInd w:val="0"/>
        <w:snapToGrid w:val="0"/>
        <w:spacing w:after="0" w:line="240" w:lineRule="auto"/>
        <w:jc w:val="center"/>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Рис. 3. Графік ймовірності переривання та завершення навчальних занять</w:t>
      </w:r>
    </w:p>
    <w:p w14:paraId="60F71FC0" w14:textId="092DA89B" w:rsidR="00F95D69" w:rsidRPr="001B0296" w:rsidRDefault="00F95D69" w:rsidP="00F95D69">
      <w:pPr>
        <w:widowControl w:val="0"/>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lastRenderedPageBreak/>
        <w:t>Прогноз середньодобової тривалості тривог дозволяє резервувати час у розкладі, динамічно коригувати розклад занять (перенесення пар, перехід на онлайн режим), формувати розподіл навчальних груп щодо уникнення переповнення укриттів. Це забезпечує розробити розрахунок ефективного (достовірного) навчального часу з урахуванням статистики повітряних тривог у години навчання (наприклад, уникати планування практичних занять на першу чи п’яту пару), а також надасть можливість врахувати час на переміщення до укриттів залежно від корпусу та прогнозувати навчальні заняття на:</w:t>
      </w:r>
    </w:p>
    <w:p w14:paraId="180E92C6" w14:textId="77777777" w:rsidR="0023456B" w:rsidRPr="001B0296" w:rsidRDefault="0023456B" w:rsidP="001B0296">
      <w:pPr>
        <w:widowControl w:val="0"/>
        <w:numPr>
          <w:ilvl w:val="0"/>
          <w:numId w:val="30"/>
        </w:numPr>
        <w:shd w:val="clear" w:color="auto" w:fill="FFFFFF"/>
        <w:tabs>
          <w:tab w:val="left" w:pos="1134"/>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короткострокове (одне заняття): коригування поточного розкладу, а саме перенесення заняття чи проведення в онлайн режимі.</w:t>
      </w:r>
    </w:p>
    <w:p w14:paraId="02216BCF" w14:textId="77777777" w:rsidR="0023456B" w:rsidRPr="001B0296" w:rsidRDefault="0023456B" w:rsidP="001B0296">
      <w:pPr>
        <w:widowControl w:val="0"/>
        <w:numPr>
          <w:ilvl w:val="0"/>
          <w:numId w:val="30"/>
        </w:numPr>
        <w:shd w:val="clear" w:color="auto" w:fill="FFFFFF"/>
        <w:tabs>
          <w:tab w:val="left" w:pos="1134"/>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середньострокове (день/тиждень): планування лекційних, практичних та занять, які потребують використання таємної літератури.</w:t>
      </w:r>
    </w:p>
    <w:p w14:paraId="57318850" w14:textId="77777777" w:rsidR="0023456B" w:rsidRPr="001B0296" w:rsidRDefault="0023456B" w:rsidP="001B0296">
      <w:pPr>
        <w:widowControl w:val="0"/>
        <w:numPr>
          <w:ilvl w:val="0"/>
          <w:numId w:val="30"/>
        </w:numPr>
        <w:shd w:val="clear" w:color="auto" w:fill="FFFFFF"/>
        <w:tabs>
          <w:tab w:val="left" w:pos="1134"/>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довгострокове (семестр): розрахунок ефективного навчального часу (з урахуванням 10–20% втрат) та резервних тижнів.</w:t>
      </w:r>
    </w:p>
    <w:p w14:paraId="22475409" w14:textId="77777777" w:rsidR="0023456B" w:rsidRPr="001B0296" w:rsidRDefault="0023456B" w:rsidP="001B0296">
      <w:pPr>
        <w:widowControl w:val="0"/>
        <w:shd w:val="clear" w:color="auto" w:fill="FFFFFF"/>
        <w:tabs>
          <w:tab w:val="left" w:pos="709"/>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Це дозволить перейти від негайного реагування до активного управління, що дозволить заздалегідь планувати навчальні заняття в періоди коли тривоги відсутні, збільшувати обсяг самостійної роботи або онлайн-лекцій у ризикові години. Таким чином, на основі прогнозування можна впровадити такі заходи:</w:t>
      </w:r>
    </w:p>
    <w:p w14:paraId="256FA820" w14:textId="77777777" w:rsidR="0023456B" w:rsidRPr="001B0296" w:rsidRDefault="0023456B" w:rsidP="001B0296">
      <w:pPr>
        <w:widowControl w:val="0"/>
        <w:shd w:val="clear" w:color="auto" w:fill="FFFFFF"/>
        <w:tabs>
          <w:tab w:val="left" w:pos="709"/>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1. Гнучке планування розкладу:</w:t>
      </w:r>
    </w:p>
    <w:p w14:paraId="479198B5" w14:textId="77777777" w:rsidR="0023456B" w:rsidRPr="001B0296" w:rsidRDefault="0023456B" w:rsidP="007741E5">
      <w:pPr>
        <w:widowControl w:val="0"/>
        <w:numPr>
          <w:ilvl w:val="0"/>
          <w:numId w:val="30"/>
        </w:numPr>
        <w:shd w:val="clear" w:color="auto" w:fill="FFFFFF"/>
        <w:tabs>
          <w:tab w:val="left" w:pos="1276"/>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перенесення ключових занять у менш ризикові часові інтервали;</w:t>
      </w:r>
    </w:p>
    <w:p w14:paraId="379C43BA" w14:textId="77777777" w:rsidR="0023456B" w:rsidRPr="001B0296" w:rsidRDefault="0023456B" w:rsidP="007741E5">
      <w:pPr>
        <w:widowControl w:val="0"/>
        <w:numPr>
          <w:ilvl w:val="0"/>
          <w:numId w:val="30"/>
        </w:numPr>
        <w:shd w:val="clear" w:color="auto" w:fill="FFFFFF"/>
        <w:tabs>
          <w:tab w:val="left" w:pos="1276"/>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поділ занять на коротші модулі.</w:t>
      </w:r>
    </w:p>
    <w:p w14:paraId="00DF0699" w14:textId="77777777" w:rsidR="0023456B" w:rsidRPr="001B0296" w:rsidRDefault="0023456B" w:rsidP="007741E5">
      <w:pPr>
        <w:widowControl w:val="0"/>
        <w:shd w:val="clear" w:color="auto" w:fill="FFFFFF"/>
        <w:tabs>
          <w:tab w:val="left" w:pos="1276"/>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2. Використання різних форм навчання:</w:t>
      </w:r>
    </w:p>
    <w:p w14:paraId="070CCEC3" w14:textId="77777777" w:rsidR="0023456B" w:rsidRPr="001B0296" w:rsidRDefault="0023456B" w:rsidP="007741E5">
      <w:pPr>
        <w:widowControl w:val="0"/>
        <w:numPr>
          <w:ilvl w:val="0"/>
          <w:numId w:val="30"/>
        </w:numPr>
        <w:shd w:val="clear" w:color="auto" w:fill="FFFFFF"/>
        <w:tabs>
          <w:tab w:val="left" w:pos="1276"/>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поєднання аудиторної, дистанційної та змішаної форм навчання;</w:t>
      </w:r>
    </w:p>
    <w:p w14:paraId="1164C4A5" w14:textId="77777777" w:rsidR="0023456B" w:rsidRPr="001B0296" w:rsidRDefault="0023456B" w:rsidP="007741E5">
      <w:pPr>
        <w:widowControl w:val="0"/>
        <w:numPr>
          <w:ilvl w:val="0"/>
          <w:numId w:val="30"/>
        </w:numPr>
        <w:shd w:val="clear" w:color="auto" w:fill="FFFFFF"/>
        <w:tabs>
          <w:tab w:val="left" w:pos="1276"/>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можливість швидкого переходу в онлайн-режим.</w:t>
      </w:r>
    </w:p>
    <w:p w14:paraId="61D89697" w14:textId="77777777" w:rsidR="0023456B" w:rsidRPr="001B0296" w:rsidRDefault="0023456B" w:rsidP="007741E5">
      <w:pPr>
        <w:widowControl w:val="0"/>
        <w:shd w:val="clear" w:color="auto" w:fill="FFFFFF"/>
        <w:tabs>
          <w:tab w:val="left" w:pos="1276"/>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3. Резервування навчального часу:</w:t>
      </w:r>
    </w:p>
    <w:p w14:paraId="4D15FA3B" w14:textId="77777777" w:rsidR="0023456B" w:rsidRPr="001B0296" w:rsidRDefault="0023456B" w:rsidP="007741E5">
      <w:pPr>
        <w:widowControl w:val="0"/>
        <w:numPr>
          <w:ilvl w:val="0"/>
          <w:numId w:val="30"/>
        </w:numPr>
        <w:shd w:val="clear" w:color="auto" w:fill="FFFFFF"/>
        <w:tabs>
          <w:tab w:val="left" w:pos="1276"/>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створення додаткових резервних занять для компенсації пропущених.</w:t>
      </w:r>
    </w:p>
    <w:p w14:paraId="5F2D83B8" w14:textId="77777777" w:rsidR="0023456B" w:rsidRPr="001B0296" w:rsidRDefault="0023456B" w:rsidP="001B0296">
      <w:pPr>
        <w:widowControl w:val="0"/>
        <w:shd w:val="clear" w:color="auto" w:fill="FFFFFF"/>
        <w:tabs>
          <w:tab w:val="left" w:pos="709"/>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4. Цифровізація освітнього процесу:</w:t>
      </w:r>
    </w:p>
    <w:p w14:paraId="70232553" w14:textId="77777777" w:rsidR="0023456B" w:rsidRPr="001B0296" w:rsidRDefault="0023456B" w:rsidP="007741E5">
      <w:pPr>
        <w:widowControl w:val="0"/>
        <w:numPr>
          <w:ilvl w:val="0"/>
          <w:numId w:val="27"/>
        </w:numPr>
        <w:shd w:val="clear" w:color="auto" w:fill="FFFFFF"/>
        <w:tabs>
          <w:tab w:val="left" w:pos="1276"/>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використання платформ дистанційного навчання;</w:t>
      </w:r>
    </w:p>
    <w:p w14:paraId="0F5BC82F" w14:textId="77777777" w:rsidR="0023456B" w:rsidRPr="001B0296" w:rsidRDefault="0023456B" w:rsidP="007741E5">
      <w:pPr>
        <w:widowControl w:val="0"/>
        <w:numPr>
          <w:ilvl w:val="0"/>
          <w:numId w:val="27"/>
        </w:numPr>
        <w:shd w:val="clear" w:color="auto" w:fill="FFFFFF"/>
        <w:tabs>
          <w:tab w:val="left" w:pos="1276"/>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автоматизація коригування розкладу.</w:t>
      </w:r>
    </w:p>
    <w:p w14:paraId="4F1B5D42" w14:textId="77777777" w:rsidR="0023456B" w:rsidRPr="001B0296" w:rsidRDefault="0023456B" w:rsidP="007741E5">
      <w:pPr>
        <w:widowControl w:val="0"/>
        <w:numPr>
          <w:ilvl w:val="0"/>
          <w:numId w:val="29"/>
        </w:numPr>
        <w:shd w:val="clear" w:color="auto" w:fill="FFFFFF"/>
        <w:tabs>
          <w:tab w:val="left" w:pos="1276"/>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kern w:val="0"/>
          <w:sz w:val="28"/>
          <w:szCs w:val="28"/>
          <w:lang w:val="uk-UA" w:eastAsia="uk-UA"/>
          <w14:ligatures w14:val="none"/>
        </w:rPr>
        <w:t>зниження стресового навантаження на учасників освітнього процесу.</w:t>
      </w:r>
    </w:p>
    <w:p w14:paraId="67D590EE" w14:textId="77777777" w:rsidR="0023456B" w:rsidRPr="001B0296" w:rsidRDefault="0023456B" w:rsidP="001B0296">
      <w:pPr>
        <w:shd w:val="clear" w:color="auto" w:fill="FFFFFF"/>
        <w:tabs>
          <w:tab w:val="left" w:pos="709"/>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b/>
          <w:kern w:val="0"/>
          <w:sz w:val="28"/>
          <w:szCs w:val="28"/>
          <w:lang w:val="uk-UA" w:eastAsia="uk-UA"/>
          <w14:ligatures w14:val="none"/>
        </w:rPr>
        <w:t>Висновки та перспективи подальших досліджень</w:t>
      </w:r>
      <w:r w:rsidRPr="001B0296">
        <w:rPr>
          <w:rFonts w:ascii="Times New Roman" w:eastAsia="Times New Roman" w:hAnsi="Times New Roman" w:cs="Times New Roman"/>
          <w:kern w:val="0"/>
          <w:sz w:val="28"/>
          <w:szCs w:val="28"/>
          <w:lang w:val="uk-UA" w:eastAsia="uk-UA"/>
          <w14:ligatures w14:val="none"/>
        </w:rPr>
        <w:t xml:space="preserve">. Таким чином, використання статистики повітряних тривог як інструменту прогнозування є перспективним напрямом удосконалення освітнього процесу в умовах воєнного стану. Запровадження використання штучного інтелекту дозволяє підвищити ефективність організації занять, забезпечити їх гнучкість та стійкість до зовнішніх загроз. Прогнозування на основі статистики повітряних тривог перетворює пасивне реагування на проактивне управління освітнім процесом. Для НУОУ це не лише питання ефективності навчання, а й елемент підготовки майбутніх офіцерів до реалій сучасної війни, де адаптивність і стійкість — ключові компетентності. У довгостроковій перспективі системний аналіз таких даних допоможе мінімізувати втрати навчального часу, забезпечити безпеку та підтримати високу якість військової освіти навіть в умовах постійних викликів. </w:t>
      </w:r>
      <w:r w:rsidRPr="001B0296">
        <w:rPr>
          <w:rFonts w:ascii="Times New Roman" w:eastAsia="Times New Roman" w:hAnsi="Times New Roman" w:cs="Times New Roman"/>
          <w:kern w:val="0"/>
          <w:sz w:val="28"/>
          <w:szCs w:val="28"/>
          <w:lang w:val="uk-UA" w:eastAsia="uk-UA"/>
          <w14:ligatures w14:val="none"/>
        </w:rPr>
        <w:lastRenderedPageBreak/>
        <w:t>У перспективі інтеграція освітнього процесу зі ШІ раннього попередження зробить навчання у НУОУ більш адаптивним і стійким до сучасних загроз.</w:t>
      </w:r>
    </w:p>
    <w:p w14:paraId="0725E024" w14:textId="77777777" w:rsidR="0023456B" w:rsidRPr="001B0296" w:rsidRDefault="0023456B" w:rsidP="001B0296">
      <w:pPr>
        <w:shd w:val="clear" w:color="auto" w:fill="FFFFFF"/>
        <w:tabs>
          <w:tab w:val="left" w:pos="1134"/>
          <w:tab w:val="left" w:pos="9638"/>
        </w:tabs>
        <w:adjustRightInd w:val="0"/>
        <w:snapToGrid w:val="0"/>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1B0296">
        <w:rPr>
          <w:rFonts w:ascii="Times New Roman" w:eastAsia="Times New Roman" w:hAnsi="Times New Roman" w:cs="Times New Roman"/>
          <w:color w:val="000000"/>
          <w:kern w:val="0"/>
          <w:sz w:val="28"/>
          <w:szCs w:val="28"/>
          <w:lang w:val="uk-UA" w:eastAsia="uk-UA"/>
          <w14:ligatures w14:val="none"/>
        </w:rPr>
        <w:t>Перспективними напрямами подальших досліджень доцільно вважати розробку автоматизованих систем підтримки прийняття рішень для управління освітнім процесом</w:t>
      </w:r>
      <w:r w:rsidRPr="001B0296">
        <w:rPr>
          <w:rFonts w:ascii="Times New Roman" w:eastAsia="Times New Roman" w:hAnsi="Times New Roman" w:cs="Times New Roman"/>
          <w:kern w:val="0"/>
          <w:sz w:val="28"/>
          <w:szCs w:val="28"/>
          <w:lang w:val="uk-UA" w:eastAsia="uk-UA"/>
          <w14:ligatures w14:val="none"/>
        </w:rPr>
        <w:t xml:space="preserve">, а також </w:t>
      </w:r>
      <w:r w:rsidRPr="001B0296">
        <w:rPr>
          <w:rFonts w:ascii="Times New Roman" w:eastAsia="Times New Roman" w:hAnsi="Times New Roman" w:cs="Times New Roman"/>
          <w:color w:val="000000"/>
          <w:kern w:val="0"/>
          <w:sz w:val="28"/>
          <w:szCs w:val="28"/>
          <w:lang w:val="uk-UA" w:eastAsia="uk-UA"/>
          <w14:ligatures w14:val="none"/>
        </w:rPr>
        <w:t xml:space="preserve">можливість </w:t>
      </w:r>
      <w:r w:rsidRPr="001B0296">
        <w:rPr>
          <w:rFonts w:ascii="Times New Roman" w:eastAsia="Times New Roman" w:hAnsi="Times New Roman" w:cs="Times New Roman"/>
          <w:kern w:val="0"/>
          <w:sz w:val="28"/>
          <w:szCs w:val="28"/>
          <w:lang w:val="uk-UA" w:eastAsia="uk-UA"/>
          <w14:ligatures w14:val="none"/>
        </w:rPr>
        <w:t xml:space="preserve">прогнозування освітньої діяльності у військових навчальних закладах регіонах країни на основі статистики повітряних тривог з подальшим об’єднанням в єдину систему для автоматизації освітнього процесу та надання рекомендацій щодо проведення занять у визначений час. </w:t>
      </w:r>
    </w:p>
    <w:p w14:paraId="53148B36" w14:textId="77777777" w:rsidR="0023456B" w:rsidRPr="0023456B" w:rsidRDefault="0023456B" w:rsidP="00023291">
      <w:pPr>
        <w:shd w:val="clear" w:color="auto" w:fill="FFFFFF"/>
        <w:tabs>
          <w:tab w:val="left" w:pos="1134"/>
          <w:tab w:val="left" w:pos="9638"/>
        </w:tabs>
        <w:adjustRightInd w:val="0"/>
        <w:snapToGrid w:val="0"/>
        <w:spacing w:after="0" w:line="240" w:lineRule="auto"/>
        <w:jc w:val="center"/>
        <w:rPr>
          <w:rFonts w:ascii="Times New Roman" w:eastAsia="Times New Roman" w:hAnsi="Times New Roman" w:cs="Times New Roman"/>
          <w:b/>
          <w:kern w:val="0"/>
          <w:sz w:val="28"/>
          <w:szCs w:val="28"/>
          <w:lang w:val="uk-UA" w:eastAsia="uk-UA"/>
          <w14:ligatures w14:val="none"/>
        </w:rPr>
      </w:pPr>
    </w:p>
    <w:p w14:paraId="562D710E" w14:textId="77777777" w:rsidR="0023456B" w:rsidRPr="00F95D69" w:rsidRDefault="0023456B" w:rsidP="00023291">
      <w:pPr>
        <w:shd w:val="clear" w:color="auto" w:fill="FFFFFF"/>
        <w:tabs>
          <w:tab w:val="left" w:pos="1134"/>
          <w:tab w:val="left" w:pos="9638"/>
        </w:tabs>
        <w:adjustRightInd w:val="0"/>
        <w:snapToGrid w:val="0"/>
        <w:spacing w:after="0" w:line="240" w:lineRule="auto"/>
        <w:jc w:val="center"/>
        <w:rPr>
          <w:rFonts w:ascii="Times New Roman" w:eastAsia="Times New Roman" w:hAnsi="Times New Roman" w:cs="Times New Roman"/>
          <w:b/>
          <w:kern w:val="0"/>
          <w:sz w:val="24"/>
          <w:szCs w:val="24"/>
          <w:lang w:val="uk-UA" w:eastAsia="uk-UA"/>
          <w14:ligatures w14:val="none"/>
        </w:rPr>
      </w:pPr>
      <w:r w:rsidRPr="00F95D69">
        <w:rPr>
          <w:rFonts w:ascii="Times New Roman" w:eastAsia="Times New Roman" w:hAnsi="Times New Roman" w:cs="Times New Roman"/>
          <w:b/>
          <w:kern w:val="0"/>
          <w:sz w:val="24"/>
          <w:szCs w:val="24"/>
          <w:lang w:val="uk-UA" w:eastAsia="uk-UA"/>
          <w14:ligatures w14:val="none"/>
        </w:rPr>
        <w:t>ЛІТЕРАТУРА</w:t>
      </w:r>
    </w:p>
    <w:p w14:paraId="28570925" w14:textId="77777777" w:rsidR="0023456B" w:rsidRPr="00F95D69" w:rsidRDefault="0023456B" w:rsidP="007741E5">
      <w:pPr>
        <w:numPr>
          <w:ilvl w:val="1"/>
          <w:numId w:val="26"/>
        </w:numPr>
        <w:tabs>
          <w:tab w:val="left" w:pos="1134"/>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4"/>
          <w:szCs w:val="24"/>
          <w:lang w:val="uk-UA"/>
          <w14:ligatures w14:val="none"/>
        </w:rPr>
      </w:pPr>
      <w:r w:rsidRPr="00F95D69">
        <w:rPr>
          <w:rFonts w:ascii="Times New Roman" w:eastAsia="Times New Roman" w:hAnsi="Times New Roman" w:cs="Times New Roman"/>
          <w:kern w:val="0"/>
          <w:sz w:val="24"/>
          <w:szCs w:val="24"/>
          <w:lang w:val="uk-UA"/>
          <w14:ligatures w14:val="none"/>
        </w:rPr>
        <w:t xml:space="preserve">Бочарніков В., Свешніков С. (2023). </w:t>
      </w:r>
      <w:r w:rsidRPr="00F95D69">
        <w:rPr>
          <w:rFonts w:ascii="Times New Roman" w:eastAsia="Times New Roman" w:hAnsi="Times New Roman" w:cs="Times New Roman"/>
          <w:kern w:val="0"/>
          <w:sz w:val="24"/>
          <w:szCs w:val="24"/>
          <w:lang w:val="ru-RU" w:eastAsia="uk-UA"/>
          <w14:ligatures w14:val="none"/>
        </w:rPr>
        <w:t>Використання методів</w:t>
      </w:r>
      <w:r w:rsidRPr="00F95D69">
        <w:rPr>
          <w:rFonts w:ascii="Times New Roman" w:eastAsia="Times New Roman" w:hAnsi="Times New Roman" w:cs="Times New Roman"/>
          <w:kern w:val="0"/>
          <w:sz w:val="24"/>
          <w:szCs w:val="24"/>
          <w:lang w:val="uk-UA" w:eastAsia="uk-UA"/>
          <w14:ligatures w14:val="none"/>
        </w:rPr>
        <w:t xml:space="preserve"> </w:t>
      </w:r>
      <w:r w:rsidRPr="00F95D69">
        <w:rPr>
          <w:rFonts w:ascii="Times New Roman" w:eastAsia="Times New Roman" w:hAnsi="Times New Roman" w:cs="Times New Roman"/>
          <w:kern w:val="0"/>
          <w:sz w:val="24"/>
          <w:szCs w:val="24"/>
          <w:lang w:val="ru-RU" w:eastAsia="uk-UA"/>
          <w14:ligatures w14:val="none"/>
        </w:rPr>
        <w:t>штучного інтелекту для розв’язання наукових</w:t>
      </w:r>
      <w:r w:rsidRPr="00F95D69">
        <w:rPr>
          <w:rFonts w:ascii="Times New Roman" w:eastAsia="Times New Roman" w:hAnsi="Times New Roman" w:cs="Times New Roman"/>
          <w:kern w:val="0"/>
          <w:sz w:val="24"/>
          <w:szCs w:val="24"/>
          <w:lang w:val="uk-UA" w:eastAsia="uk-UA"/>
          <w14:ligatures w14:val="none"/>
        </w:rPr>
        <w:t xml:space="preserve"> </w:t>
      </w:r>
      <w:r w:rsidRPr="00F95D69">
        <w:rPr>
          <w:rFonts w:ascii="Times New Roman" w:eastAsia="Times New Roman" w:hAnsi="Times New Roman" w:cs="Times New Roman"/>
          <w:kern w:val="0"/>
          <w:sz w:val="24"/>
          <w:szCs w:val="24"/>
          <w:lang w:val="ru-RU" w:eastAsia="uk-UA"/>
          <w14:ligatures w14:val="none"/>
        </w:rPr>
        <w:t>задач у сфері оборони</w:t>
      </w:r>
      <w:r w:rsidRPr="00F95D69">
        <w:rPr>
          <w:rFonts w:ascii="Times New Roman" w:eastAsia="Times New Roman" w:hAnsi="Times New Roman" w:cs="Times New Roman"/>
          <w:kern w:val="0"/>
          <w:sz w:val="24"/>
          <w:szCs w:val="24"/>
          <w:lang w:val="uk-UA" w:eastAsia="uk-UA"/>
          <w14:ligatures w14:val="none"/>
        </w:rPr>
        <w:t xml:space="preserve"> </w:t>
      </w:r>
      <w:r w:rsidRPr="00F95D69">
        <w:rPr>
          <w:rFonts w:ascii="Times New Roman" w:eastAsia="Times New Roman" w:hAnsi="Times New Roman" w:cs="Times New Roman"/>
          <w:kern w:val="0"/>
          <w:sz w:val="24"/>
          <w:szCs w:val="24"/>
          <w:lang w:val="ru-RU" w:eastAsia="uk-UA"/>
          <w14:ligatures w14:val="none"/>
        </w:rPr>
        <w:t>Національна безпека та оборона: методичний аспект</w:t>
      </w:r>
      <w:r w:rsidRPr="00F95D69">
        <w:rPr>
          <w:rFonts w:ascii="Times New Roman" w:eastAsia="Times New Roman" w:hAnsi="Times New Roman" w:cs="Times New Roman"/>
          <w:kern w:val="0"/>
          <w:sz w:val="24"/>
          <w:szCs w:val="24"/>
          <w:lang w:val="uk-UA" w:eastAsia="uk-UA"/>
          <w14:ligatures w14:val="none"/>
        </w:rPr>
        <w:t xml:space="preserve"> К. Наука і оборона, № 4 2023. С. 29 - 40. </w:t>
      </w:r>
      <w:r w:rsidRPr="00F95D69">
        <w:rPr>
          <w:rFonts w:ascii="Times New Roman" w:eastAsia="Times New Roman" w:hAnsi="Times New Roman" w:cs="Times New Roman"/>
          <w:kern w:val="0"/>
          <w:sz w:val="24"/>
          <w:szCs w:val="24"/>
          <w:lang w:val="uk-UA"/>
          <w14:ligatures w14:val="none"/>
        </w:rPr>
        <w:t xml:space="preserve">DOI: </w:t>
      </w:r>
      <w:r w:rsidRPr="00F95D69">
        <w:rPr>
          <w:rFonts w:ascii="Times New Roman" w:eastAsia="Times New Roman" w:hAnsi="Times New Roman" w:cs="Times New Roman"/>
          <w:kern w:val="0"/>
          <w:sz w:val="24"/>
          <w:szCs w:val="24"/>
          <w:lang w:eastAsia="uk-UA"/>
          <w14:ligatures w14:val="none"/>
        </w:rPr>
        <w:t>https://doi.org/10.33099/2618-1614-2023-23-4-29-40</w:t>
      </w:r>
      <w:r w:rsidRPr="00F95D69">
        <w:rPr>
          <w:rFonts w:ascii="Times New Roman" w:eastAsia="Times New Roman" w:hAnsi="Times New Roman" w:cs="Times New Roman"/>
          <w:kern w:val="0"/>
          <w:sz w:val="24"/>
          <w:szCs w:val="24"/>
          <w:lang w:val="uk-UA" w:eastAsia="uk-UA"/>
          <w14:ligatures w14:val="none"/>
        </w:rPr>
        <w:t xml:space="preserve">. </w:t>
      </w:r>
    </w:p>
    <w:p w14:paraId="2E0688DD" w14:textId="77777777" w:rsidR="0023456B" w:rsidRPr="00F95D69" w:rsidRDefault="0023456B" w:rsidP="007741E5">
      <w:pPr>
        <w:numPr>
          <w:ilvl w:val="1"/>
          <w:numId w:val="26"/>
        </w:numPr>
        <w:tabs>
          <w:tab w:val="left" w:pos="1134"/>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4"/>
          <w:szCs w:val="24"/>
          <w:lang w:val="uk-UA"/>
          <w14:ligatures w14:val="none"/>
        </w:rPr>
      </w:pPr>
      <w:r w:rsidRPr="00F95D69">
        <w:rPr>
          <w:rFonts w:ascii="Times New Roman" w:eastAsia="Times New Roman" w:hAnsi="Times New Roman" w:cs="Times New Roman"/>
          <w:kern w:val="0"/>
          <w:sz w:val="24"/>
          <w:szCs w:val="24"/>
          <w:lang w:val="uk-UA"/>
          <w14:ligatures w14:val="none"/>
        </w:rPr>
        <w:t>Зельницький А., Заболотний О., Васильєв О., Шабатіна Н. Теоретико-методологічні засади управління змінами в системі військової освіти : монография. – К. : НУОУ, 2022. – 312 с.</w:t>
      </w:r>
    </w:p>
    <w:p w14:paraId="4BBD5782" w14:textId="77777777" w:rsidR="0023456B" w:rsidRPr="00F95D69" w:rsidRDefault="0023456B" w:rsidP="007741E5">
      <w:pPr>
        <w:numPr>
          <w:ilvl w:val="1"/>
          <w:numId w:val="26"/>
        </w:numPr>
        <w:tabs>
          <w:tab w:val="left" w:pos="1134"/>
          <w:tab w:val="left" w:pos="9638"/>
        </w:tabs>
        <w:adjustRightInd w:val="0"/>
        <w:snapToGrid w:val="0"/>
        <w:spacing w:after="0" w:line="240" w:lineRule="auto"/>
        <w:ind w:left="0" w:firstLine="709"/>
        <w:contextualSpacing/>
        <w:jc w:val="both"/>
        <w:rPr>
          <w:rFonts w:ascii="Times New Roman" w:eastAsia="Times New Roman" w:hAnsi="Times New Roman" w:cs="Times New Roman"/>
          <w:color w:val="000000"/>
          <w:kern w:val="0"/>
          <w:sz w:val="24"/>
          <w:szCs w:val="24"/>
          <w:lang w:val="uk-UA"/>
          <w14:ligatures w14:val="none"/>
        </w:rPr>
      </w:pPr>
      <w:r w:rsidRPr="00F95D69">
        <w:rPr>
          <w:rFonts w:ascii="Times New Roman" w:eastAsia="Times New Roman" w:hAnsi="Times New Roman" w:cs="Times New Roman"/>
          <w:color w:val="000000"/>
          <w:kern w:val="0"/>
          <w:sz w:val="24"/>
          <w:szCs w:val="24"/>
          <w:lang w:val="uk-UA" w:eastAsia="uk-UA"/>
          <w14:ligatures w14:val="none"/>
        </w:rPr>
        <w:t xml:space="preserve">Павлишенко Д., Павлишенко Б. (2024). Predictive Analytics of Air Alerts in the Russian-Ukrainian War, arXiv:2411.14625v1 [cs.LG] 21 Nov 2024. С. 1-21 </w:t>
      </w:r>
      <w:r w:rsidRPr="00F95D69">
        <w:rPr>
          <w:rFonts w:ascii="Times New Roman" w:eastAsia="Times New Roman" w:hAnsi="Times New Roman" w:cs="Times New Roman"/>
          <w:kern w:val="0"/>
          <w:sz w:val="24"/>
          <w:szCs w:val="24"/>
          <w:lang w:val="uk-UA"/>
          <w14:ligatures w14:val="none"/>
        </w:rPr>
        <w:t xml:space="preserve">DOI: </w:t>
      </w:r>
      <w:hyperlink r:id="rId328" w:history="1">
        <w:r w:rsidRPr="00F95D69">
          <w:rPr>
            <w:rFonts w:ascii="Times New Roman" w:eastAsia="Times New Roman" w:hAnsi="Times New Roman" w:cs="Times New Roman"/>
            <w:color w:val="000000"/>
            <w:kern w:val="0"/>
            <w:sz w:val="24"/>
            <w:szCs w:val="24"/>
            <w:u w:val="single"/>
            <w:lang w:val="uk-UA" w:eastAsia="uk-UA"/>
            <w14:ligatures w14:val="none"/>
          </w:rPr>
          <w:t>https://doi.org/10.48550/arXiv.2411.14625</w:t>
        </w:r>
      </w:hyperlink>
    </w:p>
    <w:p w14:paraId="39D2EC2C" w14:textId="77777777" w:rsidR="0023456B" w:rsidRPr="00F95D69" w:rsidRDefault="0023456B" w:rsidP="007741E5">
      <w:pPr>
        <w:numPr>
          <w:ilvl w:val="1"/>
          <w:numId w:val="26"/>
        </w:numPr>
        <w:tabs>
          <w:tab w:val="left" w:pos="1134"/>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4"/>
          <w:szCs w:val="24"/>
          <w:lang w:val="uk-UA"/>
          <w14:ligatures w14:val="none"/>
        </w:rPr>
      </w:pPr>
      <w:r w:rsidRPr="00F95D69">
        <w:rPr>
          <w:rFonts w:ascii="Times New Roman" w:eastAsia="Times New Roman" w:hAnsi="Times New Roman" w:cs="Times New Roman"/>
          <w:kern w:val="0"/>
          <w:sz w:val="24"/>
          <w:szCs w:val="24"/>
          <w:lang w:val="uk-UA"/>
          <w14:ligatures w14:val="none"/>
        </w:rPr>
        <w:t xml:space="preserve">Савченко С., Луцька Н., Власенко Л., Томенко Н. (2025). Аналіз ефективності виявлення аномалій межевого трафіку на основі моделей машиннного навчання. – К.: Кібербезпека: освіта, наука, техніка, № 1 (29) 2025. С. 465 – 478. DOI: </w:t>
      </w:r>
      <w:hyperlink r:id="rId329" w:history="1">
        <w:r w:rsidRPr="00F95D69">
          <w:rPr>
            <w:rFonts w:ascii="Times New Roman" w:eastAsia="Times New Roman" w:hAnsi="Times New Roman" w:cs="Times New Roman"/>
            <w:color w:val="0000FF"/>
            <w:kern w:val="0"/>
            <w:sz w:val="24"/>
            <w:szCs w:val="24"/>
            <w:u w:val="single"/>
            <w:lang w:val="uk-UA"/>
            <w14:ligatures w14:val="none"/>
          </w:rPr>
          <w:t>https://doi.org/10.28925/2663-4023.2025.29.898</w:t>
        </w:r>
      </w:hyperlink>
    </w:p>
    <w:p w14:paraId="6BBB1492" w14:textId="77777777" w:rsidR="0023456B" w:rsidRPr="00F95D69" w:rsidRDefault="0023456B" w:rsidP="007741E5">
      <w:pPr>
        <w:numPr>
          <w:ilvl w:val="1"/>
          <w:numId w:val="26"/>
        </w:numPr>
        <w:tabs>
          <w:tab w:val="left" w:pos="1134"/>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4"/>
          <w:szCs w:val="24"/>
          <w:lang w:val="uk-UA"/>
          <w14:ligatures w14:val="none"/>
        </w:rPr>
      </w:pPr>
      <w:r w:rsidRPr="00F95D69">
        <w:rPr>
          <w:rFonts w:ascii="Times New Roman" w:eastAsia="Times New Roman" w:hAnsi="Times New Roman" w:cs="Times New Roman"/>
          <w:kern w:val="0"/>
          <w:sz w:val="24"/>
          <w:szCs w:val="24"/>
          <w:lang w:val="uk-UA"/>
          <w14:ligatures w14:val="none"/>
        </w:rPr>
        <w:t xml:space="preserve">Skladannyi P., Kostiuk Y., Rzaeva S., Samoilenko Y., Savchenko T. (2025). Development of modular neural networks for detecting different classes of network attacks. Cybersecurity: Education, Science, Technique, 3(27), 534–548. DOI: </w:t>
      </w:r>
      <w:hyperlink r:id="rId330" w:history="1">
        <w:r w:rsidRPr="00F95D69">
          <w:rPr>
            <w:rFonts w:ascii="Times New Roman" w:eastAsia="Times New Roman" w:hAnsi="Times New Roman" w:cs="Times New Roman"/>
            <w:color w:val="0000FF"/>
            <w:kern w:val="0"/>
            <w:sz w:val="24"/>
            <w:szCs w:val="24"/>
            <w:u w:val="single"/>
            <w:lang w:val="uk-UA"/>
            <w14:ligatures w14:val="none"/>
          </w:rPr>
          <w:t>https://doi.org/10.28925/2663-4023.2025.27.7722</w:t>
        </w:r>
      </w:hyperlink>
      <w:r w:rsidRPr="00F95D69">
        <w:rPr>
          <w:rFonts w:ascii="Times New Roman" w:eastAsia="Times New Roman" w:hAnsi="Times New Roman" w:cs="Times New Roman"/>
          <w:kern w:val="0"/>
          <w:sz w:val="24"/>
          <w:szCs w:val="24"/>
          <w:lang w:val="uk-UA"/>
          <w14:ligatures w14:val="none"/>
        </w:rPr>
        <w:t>.</w:t>
      </w:r>
    </w:p>
    <w:p w14:paraId="031114E9" w14:textId="77777777" w:rsidR="0023456B" w:rsidRPr="00F95D69" w:rsidRDefault="0023456B" w:rsidP="007741E5">
      <w:pPr>
        <w:numPr>
          <w:ilvl w:val="1"/>
          <w:numId w:val="26"/>
        </w:numPr>
        <w:tabs>
          <w:tab w:val="left" w:pos="1134"/>
          <w:tab w:val="left" w:pos="9638"/>
        </w:tabs>
        <w:adjustRightInd w:val="0"/>
        <w:snapToGrid w:val="0"/>
        <w:spacing w:after="0" w:line="240" w:lineRule="auto"/>
        <w:ind w:left="0" w:firstLine="709"/>
        <w:contextualSpacing/>
        <w:jc w:val="both"/>
        <w:rPr>
          <w:rFonts w:ascii="Times New Roman" w:eastAsia="Times New Roman" w:hAnsi="Times New Roman" w:cs="Times New Roman"/>
          <w:kern w:val="0"/>
          <w:sz w:val="24"/>
          <w:szCs w:val="24"/>
          <w:lang w:val="uk-UA"/>
          <w14:ligatures w14:val="none"/>
        </w:rPr>
      </w:pPr>
      <w:r w:rsidRPr="00F95D69">
        <w:rPr>
          <w:rFonts w:ascii="Times New Roman" w:eastAsia="Times New Roman" w:hAnsi="Times New Roman" w:cs="Times New Roman"/>
          <w:kern w:val="0"/>
          <w:sz w:val="24"/>
          <w:szCs w:val="24"/>
          <w:lang w:val="uk-UA"/>
          <w14:ligatures w14:val="none"/>
        </w:rPr>
        <w:t xml:space="preserve">Haidur H., Gakhov S., Bryhynets A. (2023). Detection of network anomalies with neural networks algorithms. Telecommunication and Information Technologies, 78(1). DOI:  </w:t>
      </w:r>
      <w:hyperlink r:id="rId331" w:history="1">
        <w:r w:rsidRPr="00F95D69">
          <w:rPr>
            <w:rFonts w:ascii="Times New Roman" w:eastAsia="Times New Roman" w:hAnsi="Times New Roman" w:cs="Times New Roman"/>
            <w:color w:val="0000FF"/>
            <w:kern w:val="0"/>
            <w:sz w:val="24"/>
            <w:szCs w:val="24"/>
            <w:u w:val="single"/>
            <w:lang w:val="uk-UA"/>
            <w14:ligatures w14:val="none"/>
          </w:rPr>
          <w:t>https://doi.org/10.31673/2412-4338.2023.0161734</w:t>
        </w:r>
      </w:hyperlink>
      <w:r w:rsidRPr="00F95D69">
        <w:rPr>
          <w:rFonts w:ascii="Times New Roman" w:eastAsia="Times New Roman" w:hAnsi="Times New Roman" w:cs="Times New Roman"/>
          <w:kern w:val="0"/>
          <w:sz w:val="24"/>
          <w:szCs w:val="24"/>
          <w:lang w:val="uk-UA"/>
          <w14:ligatures w14:val="none"/>
        </w:rPr>
        <w:t>.</w:t>
      </w:r>
    </w:p>
    <w:p w14:paraId="415BE977" w14:textId="77777777" w:rsidR="0023456B" w:rsidRPr="00F95D69" w:rsidRDefault="0023456B" w:rsidP="00023291">
      <w:pPr>
        <w:widowControl w:val="0"/>
        <w:shd w:val="clear" w:color="auto" w:fill="FFFFFF"/>
        <w:tabs>
          <w:tab w:val="left" w:pos="710"/>
          <w:tab w:val="left" w:pos="1134"/>
          <w:tab w:val="left" w:pos="1276"/>
          <w:tab w:val="left" w:pos="9638"/>
        </w:tabs>
        <w:autoSpaceDE w:val="0"/>
        <w:autoSpaceDN w:val="0"/>
        <w:adjustRightInd w:val="0"/>
        <w:snapToGrid w:val="0"/>
        <w:spacing w:after="0" w:line="240" w:lineRule="auto"/>
        <w:ind w:firstLine="709"/>
        <w:jc w:val="center"/>
        <w:rPr>
          <w:rFonts w:ascii="Times New Roman" w:eastAsia="Times New Roman" w:hAnsi="Times New Roman" w:cs="Times New Roman"/>
          <w:b/>
          <w:spacing w:val="-4"/>
          <w:kern w:val="0"/>
          <w:sz w:val="24"/>
          <w:szCs w:val="24"/>
          <w:lang w:eastAsia="uk-UA"/>
          <w14:ligatures w14:val="none"/>
        </w:rPr>
      </w:pPr>
    </w:p>
    <w:p w14:paraId="7E184442" w14:textId="77777777" w:rsidR="0023456B" w:rsidRPr="00F95D69" w:rsidRDefault="0023456B" w:rsidP="00023291">
      <w:pPr>
        <w:widowControl w:val="0"/>
        <w:shd w:val="clear" w:color="auto" w:fill="FFFFFF"/>
        <w:tabs>
          <w:tab w:val="left" w:pos="710"/>
          <w:tab w:val="left" w:pos="1134"/>
          <w:tab w:val="left" w:pos="1276"/>
          <w:tab w:val="left" w:pos="9638"/>
        </w:tabs>
        <w:autoSpaceDE w:val="0"/>
        <w:autoSpaceDN w:val="0"/>
        <w:adjustRightInd w:val="0"/>
        <w:snapToGrid w:val="0"/>
        <w:spacing w:after="0" w:line="240" w:lineRule="auto"/>
        <w:jc w:val="center"/>
        <w:rPr>
          <w:rFonts w:ascii="Times New Roman" w:eastAsia="Times New Roman" w:hAnsi="Times New Roman" w:cs="Times New Roman"/>
          <w:b/>
          <w:spacing w:val="-4"/>
          <w:kern w:val="0"/>
          <w:sz w:val="24"/>
          <w:szCs w:val="24"/>
          <w:lang w:val="uk-UA" w:eastAsia="uk-UA"/>
          <w14:ligatures w14:val="none"/>
        </w:rPr>
      </w:pPr>
      <w:r w:rsidRPr="00F95D69">
        <w:rPr>
          <w:rFonts w:ascii="Times New Roman" w:eastAsia="Times New Roman" w:hAnsi="Times New Roman" w:cs="Times New Roman"/>
          <w:b/>
          <w:spacing w:val="-4"/>
          <w:kern w:val="0"/>
          <w:sz w:val="24"/>
          <w:szCs w:val="24"/>
          <w:lang w:val="uk-UA" w:eastAsia="uk-UA"/>
          <w14:ligatures w14:val="none"/>
        </w:rPr>
        <w:t>REFERENCES</w:t>
      </w:r>
    </w:p>
    <w:p w14:paraId="03FF9A81" w14:textId="77777777" w:rsidR="0023456B" w:rsidRPr="00F95D69" w:rsidRDefault="0023456B" w:rsidP="007741E5">
      <w:pPr>
        <w:widowControl w:val="0"/>
        <w:numPr>
          <w:ilvl w:val="0"/>
          <w:numId w:val="31"/>
        </w:numPr>
        <w:shd w:val="clear" w:color="auto" w:fill="FFFFFF"/>
        <w:tabs>
          <w:tab w:val="left" w:pos="1134"/>
          <w:tab w:val="left" w:pos="9638"/>
        </w:tabs>
        <w:autoSpaceDE w:val="0"/>
        <w:autoSpaceDN w:val="0"/>
        <w:adjustRightInd w:val="0"/>
        <w:snapToGrid w:val="0"/>
        <w:spacing w:after="0" w:line="240" w:lineRule="auto"/>
        <w:ind w:left="0" w:firstLine="709"/>
        <w:jc w:val="both"/>
        <w:rPr>
          <w:rFonts w:ascii="Times New Roman" w:eastAsia="Times New Roman" w:hAnsi="Times New Roman" w:cs="Times New Roman"/>
          <w:kern w:val="0"/>
          <w:sz w:val="24"/>
          <w:szCs w:val="24"/>
          <w:lang w:eastAsia="uk-UA"/>
          <w14:ligatures w14:val="none"/>
        </w:rPr>
      </w:pPr>
      <w:r w:rsidRPr="00F95D69">
        <w:rPr>
          <w:rFonts w:ascii="Times New Roman" w:eastAsia="Times New Roman" w:hAnsi="Times New Roman" w:cs="Times New Roman"/>
          <w:spacing w:val="-4"/>
          <w:kern w:val="0"/>
          <w:sz w:val="24"/>
          <w:szCs w:val="24"/>
          <w:lang w:eastAsia="uk-UA"/>
          <w14:ligatures w14:val="none"/>
        </w:rPr>
        <w:t>Bocharnikov</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V</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Sveshnikov</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S</w:t>
      </w:r>
      <w:r w:rsidRPr="00F95D69">
        <w:rPr>
          <w:rFonts w:ascii="Times New Roman" w:eastAsia="Times New Roman" w:hAnsi="Times New Roman" w:cs="Times New Roman"/>
          <w:spacing w:val="-4"/>
          <w:kern w:val="0"/>
          <w:sz w:val="24"/>
          <w:szCs w:val="24"/>
          <w:lang w:val="uk-UA" w:eastAsia="uk-UA"/>
          <w14:ligatures w14:val="none"/>
        </w:rPr>
        <w:t xml:space="preserve">. (2023). </w:t>
      </w:r>
      <w:r w:rsidRPr="00F95D69">
        <w:rPr>
          <w:rFonts w:ascii="Times New Roman" w:eastAsia="Times New Roman" w:hAnsi="Times New Roman" w:cs="Times New Roman"/>
          <w:spacing w:val="-4"/>
          <w:kern w:val="0"/>
          <w:sz w:val="24"/>
          <w:szCs w:val="24"/>
          <w:lang w:eastAsia="uk-UA"/>
          <w14:ligatures w14:val="none"/>
        </w:rPr>
        <w:t>Vykorystannia</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metodiv</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shtuchnoho</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intelektu</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dlia</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rozviazannia</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naukovykh</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zadach</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u</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sferi</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oborony</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Natsionalna</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bezpeka</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ta</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oborona</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metodychnyi</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aspekt</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K</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Nauka</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i</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spacing w:val="-4"/>
          <w:kern w:val="0"/>
          <w:sz w:val="24"/>
          <w:szCs w:val="24"/>
          <w:lang w:eastAsia="uk-UA"/>
          <w14:ligatures w14:val="none"/>
        </w:rPr>
        <w:t>oborona</w:t>
      </w:r>
      <w:r w:rsidRPr="00F95D69">
        <w:rPr>
          <w:rFonts w:ascii="Times New Roman" w:eastAsia="Times New Roman" w:hAnsi="Times New Roman" w:cs="Times New Roman"/>
          <w:spacing w:val="-4"/>
          <w:kern w:val="0"/>
          <w:sz w:val="24"/>
          <w:szCs w:val="24"/>
          <w:lang w:val="uk-UA" w:eastAsia="uk-UA"/>
          <w14:ligatures w14:val="none"/>
        </w:rPr>
        <w:t xml:space="preserve">, </w:t>
      </w:r>
      <w:r w:rsidRPr="00F95D69">
        <w:rPr>
          <w:rFonts w:ascii="Times New Roman" w:eastAsia="Times New Roman" w:hAnsi="Times New Roman" w:cs="Times New Roman"/>
          <w:kern w:val="0"/>
          <w:sz w:val="24"/>
          <w:szCs w:val="24"/>
          <w:lang w:val="uk-UA" w:eastAsia="uk-UA"/>
          <w14:ligatures w14:val="none"/>
        </w:rPr>
        <w:t xml:space="preserve">№ 4 2023. </w:t>
      </w:r>
      <w:r w:rsidRPr="00F95D69">
        <w:rPr>
          <w:rFonts w:ascii="Times New Roman" w:eastAsia="Times New Roman" w:hAnsi="Times New Roman" w:cs="Times New Roman"/>
          <w:kern w:val="0"/>
          <w:sz w:val="24"/>
          <w:szCs w:val="24"/>
          <w:lang w:eastAsia="uk-UA"/>
          <w14:ligatures w14:val="none"/>
        </w:rPr>
        <w:t>S</w:t>
      </w:r>
      <w:r w:rsidRPr="00F95D69">
        <w:rPr>
          <w:rFonts w:ascii="Times New Roman" w:eastAsia="Times New Roman" w:hAnsi="Times New Roman" w:cs="Times New Roman"/>
          <w:kern w:val="0"/>
          <w:sz w:val="24"/>
          <w:szCs w:val="24"/>
          <w:lang w:val="uk-UA" w:eastAsia="uk-UA"/>
          <w14:ligatures w14:val="none"/>
        </w:rPr>
        <w:t xml:space="preserve">. 29- 40. </w:t>
      </w:r>
      <w:r w:rsidRPr="00F95D69">
        <w:rPr>
          <w:rFonts w:ascii="Times New Roman" w:eastAsia="Times New Roman" w:hAnsi="Times New Roman" w:cs="Times New Roman"/>
          <w:kern w:val="0"/>
          <w:sz w:val="24"/>
          <w:szCs w:val="24"/>
          <w:lang w:val="uk-UA"/>
          <w14:ligatures w14:val="none"/>
        </w:rPr>
        <w:t xml:space="preserve">DOI: </w:t>
      </w:r>
      <w:hyperlink r:id="rId332" w:history="1">
        <w:r w:rsidRPr="00F95D69">
          <w:rPr>
            <w:rFonts w:ascii="Times New Roman" w:eastAsia="Times New Roman" w:hAnsi="Times New Roman" w:cs="Times New Roman"/>
            <w:color w:val="0000FF"/>
            <w:kern w:val="0"/>
            <w:sz w:val="24"/>
            <w:szCs w:val="24"/>
            <w:u w:val="single"/>
            <w:lang w:eastAsia="uk-UA"/>
            <w14:ligatures w14:val="none"/>
          </w:rPr>
          <w:t>https://doi.org/10.33099/2618-1614-2023-23-4-29-40</w:t>
        </w:r>
      </w:hyperlink>
      <w:r w:rsidRPr="00F95D69">
        <w:rPr>
          <w:rFonts w:ascii="Times New Roman" w:eastAsia="Times New Roman" w:hAnsi="Times New Roman" w:cs="Times New Roman"/>
          <w:kern w:val="0"/>
          <w:sz w:val="24"/>
          <w:szCs w:val="24"/>
          <w:lang w:val="uk-UA" w:eastAsia="uk-UA"/>
          <w14:ligatures w14:val="none"/>
        </w:rPr>
        <w:t xml:space="preserve"> </w:t>
      </w:r>
      <w:r w:rsidRPr="00F95D69">
        <w:rPr>
          <w:rFonts w:ascii="Times New Roman" w:eastAsia="Times New Roman" w:hAnsi="Times New Roman" w:cs="Times New Roman"/>
          <w:kern w:val="0"/>
          <w:sz w:val="24"/>
          <w:szCs w:val="24"/>
          <w:lang w:eastAsia="uk-UA"/>
          <w14:ligatures w14:val="none"/>
        </w:rPr>
        <w:t>[Using artificial intelligence methods to solve scientific problems in the field of defense National security and defense: methodological aspect] (in Ukrainian).</w:t>
      </w:r>
    </w:p>
    <w:p w14:paraId="7FD70A5F" w14:textId="77777777" w:rsidR="0023456B" w:rsidRPr="00F95D69" w:rsidRDefault="0023456B" w:rsidP="007741E5">
      <w:pPr>
        <w:widowControl w:val="0"/>
        <w:numPr>
          <w:ilvl w:val="0"/>
          <w:numId w:val="31"/>
        </w:numPr>
        <w:shd w:val="clear" w:color="auto" w:fill="FFFFFF"/>
        <w:tabs>
          <w:tab w:val="left" w:pos="1134"/>
          <w:tab w:val="left" w:pos="9638"/>
        </w:tabs>
        <w:autoSpaceDE w:val="0"/>
        <w:autoSpaceDN w:val="0"/>
        <w:adjustRightInd w:val="0"/>
        <w:snapToGrid w:val="0"/>
        <w:spacing w:after="0" w:line="240" w:lineRule="auto"/>
        <w:ind w:left="0" w:firstLine="709"/>
        <w:jc w:val="both"/>
        <w:rPr>
          <w:rFonts w:ascii="Times New Roman" w:eastAsia="Times New Roman" w:hAnsi="Times New Roman" w:cs="Times New Roman"/>
          <w:kern w:val="0"/>
          <w:sz w:val="24"/>
          <w:szCs w:val="24"/>
          <w:lang w:eastAsia="uk-UA"/>
          <w14:ligatures w14:val="none"/>
        </w:rPr>
      </w:pPr>
      <w:r w:rsidRPr="00F95D69">
        <w:rPr>
          <w:rFonts w:ascii="Times New Roman" w:eastAsia="Times New Roman" w:hAnsi="Times New Roman" w:cs="Times New Roman"/>
          <w:kern w:val="0"/>
          <w:sz w:val="24"/>
          <w:szCs w:val="24"/>
          <w:lang w:eastAsia="uk-UA"/>
          <w14:ligatures w14:val="none"/>
        </w:rPr>
        <w:t>Zelnytskyi A., Zabolotnyi O., Vasyliev O., Shabatina N. Teoretyko-metodolohichni zasady upravlinnia zminamy v systemi viiskovoi osvity : monohrafyia. – K. : NUOU, 2022. – 312 s. [Theoretical and methodological principles of change management in the military education system] (in Ukrainian)</w:t>
      </w:r>
      <w:r w:rsidRPr="00F95D69">
        <w:rPr>
          <w:rFonts w:ascii="Times New Roman" w:eastAsia="Times New Roman" w:hAnsi="Times New Roman" w:cs="Times New Roman"/>
          <w:kern w:val="0"/>
          <w:sz w:val="24"/>
          <w:szCs w:val="24"/>
          <w:lang w:val="uk-UA" w:eastAsia="uk-UA"/>
          <w14:ligatures w14:val="none"/>
        </w:rPr>
        <w:t xml:space="preserve">. </w:t>
      </w:r>
    </w:p>
    <w:p w14:paraId="77B5D199" w14:textId="77777777" w:rsidR="0023456B" w:rsidRPr="00F95D69" w:rsidRDefault="0023456B" w:rsidP="007741E5">
      <w:pPr>
        <w:widowControl w:val="0"/>
        <w:numPr>
          <w:ilvl w:val="0"/>
          <w:numId w:val="31"/>
        </w:numPr>
        <w:shd w:val="clear" w:color="auto" w:fill="FFFFFF"/>
        <w:tabs>
          <w:tab w:val="left" w:pos="1134"/>
          <w:tab w:val="left" w:pos="9638"/>
        </w:tabs>
        <w:autoSpaceDE w:val="0"/>
        <w:autoSpaceDN w:val="0"/>
        <w:adjustRightInd w:val="0"/>
        <w:snapToGrid w:val="0"/>
        <w:spacing w:after="0" w:line="240" w:lineRule="auto"/>
        <w:ind w:left="0" w:firstLine="709"/>
        <w:jc w:val="both"/>
        <w:rPr>
          <w:rFonts w:ascii="Times New Roman" w:eastAsia="Times New Roman" w:hAnsi="Times New Roman" w:cs="Times New Roman"/>
          <w:kern w:val="0"/>
          <w:sz w:val="24"/>
          <w:szCs w:val="24"/>
          <w:lang w:val="uk-UA" w:eastAsia="uk-UA"/>
          <w14:ligatures w14:val="none"/>
        </w:rPr>
      </w:pPr>
      <w:r w:rsidRPr="00F95D69">
        <w:rPr>
          <w:rFonts w:ascii="Times New Roman" w:eastAsia="Times New Roman" w:hAnsi="Times New Roman" w:cs="Times New Roman"/>
          <w:kern w:val="0"/>
          <w:sz w:val="24"/>
          <w:szCs w:val="24"/>
          <w:lang w:eastAsia="uk-UA"/>
          <w14:ligatures w14:val="none"/>
        </w:rPr>
        <w:t xml:space="preserve">Pavlyshenko D., Pavlyshenko B. </w:t>
      </w:r>
      <w:r w:rsidRPr="00F95D69">
        <w:rPr>
          <w:rFonts w:ascii="Times New Roman" w:eastAsia="Times New Roman" w:hAnsi="Times New Roman" w:cs="Times New Roman"/>
          <w:color w:val="000000"/>
          <w:kern w:val="0"/>
          <w:sz w:val="24"/>
          <w:szCs w:val="24"/>
          <w:lang w:val="uk-UA" w:eastAsia="uk-UA"/>
          <w14:ligatures w14:val="none"/>
        </w:rPr>
        <w:t xml:space="preserve">(2024). Predictive Analytics of Air Alerts in the Russian-Ukrainian War, arXiv:2411.14625v1 [cs.LG] 21 Nov 2024. </w:t>
      </w:r>
      <w:r w:rsidRPr="00F95D69">
        <w:rPr>
          <w:rFonts w:ascii="Times New Roman" w:eastAsia="Times New Roman" w:hAnsi="Times New Roman" w:cs="Times New Roman"/>
          <w:color w:val="000000"/>
          <w:kern w:val="0"/>
          <w:sz w:val="24"/>
          <w:szCs w:val="24"/>
          <w:lang w:eastAsia="uk-UA"/>
          <w14:ligatures w14:val="none"/>
        </w:rPr>
        <w:t>S</w:t>
      </w:r>
      <w:r w:rsidRPr="00F95D69">
        <w:rPr>
          <w:rFonts w:ascii="Times New Roman" w:eastAsia="Times New Roman" w:hAnsi="Times New Roman" w:cs="Times New Roman"/>
          <w:color w:val="000000"/>
          <w:kern w:val="0"/>
          <w:sz w:val="24"/>
          <w:szCs w:val="24"/>
          <w:lang w:val="uk-UA" w:eastAsia="uk-UA"/>
          <w14:ligatures w14:val="none"/>
        </w:rPr>
        <w:t xml:space="preserve">. 1-21 </w:t>
      </w:r>
      <w:r w:rsidRPr="00F95D69">
        <w:rPr>
          <w:rFonts w:ascii="Times New Roman" w:eastAsia="Times New Roman" w:hAnsi="Times New Roman" w:cs="Times New Roman"/>
          <w:kern w:val="0"/>
          <w:sz w:val="24"/>
          <w:szCs w:val="24"/>
          <w:lang w:val="uk-UA"/>
          <w14:ligatures w14:val="none"/>
        </w:rPr>
        <w:t xml:space="preserve">DOI: </w:t>
      </w:r>
      <w:hyperlink r:id="rId333" w:history="1">
        <w:r w:rsidRPr="00F95D69">
          <w:rPr>
            <w:rFonts w:ascii="Times New Roman" w:eastAsia="Times New Roman" w:hAnsi="Times New Roman" w:cs="Times New Roman"/>
            <w:color w:val="000000"/>
            <w:kern w:val="0"/>
            <w:sz w:val="24"/>
            <w:szCs w:val="24"/>
            <w:u w:val="single"/>
            <w:lang w:val="uk-UA" w:eastAsia="uk-UA"/>
            <w14:ligatures w14:val="none"/>
          </w:rPr>
          <w:t>https://doi.org/10.48550/arXiv.2411.14625</w:t>
        </w:r>
      </w:hyperlink>
      <w:r w:rsidRPr="00F95D69">
        <w:rPr>
          <w:rFonts w:ascii="Times New Roman" w:eastAsia="Times New Roman" w:hAnsi="Times New Roman" w:cs="Times New Roman"/>
          <w:color w:val="000000"/>
          <w:kern w:val="0"/>
          <w:sz w:val="24"/>
          <w:szCs w:val="24"/>
          <w:lang w:eastAsia="uk-UA"/>
          <w14:ligatures w14:val="none"/>
        </w:rPr>
        <w:t xml:space="preserve"> </w:t>
      </w:r>
      <w:r w:rsidRPr="00F95D69">
        <w:rPr>
          <w:rFonts w:ascii="Times New Roman" w:eastAsia="Times New Roman" w:hAnsi="Times New Roman" w:cs="Times New Roman"/>
          <w:kern w:val="0"/>
          <w:sz w:val="24"/>
          <w:szCs w:val="24"/>
          <w:lang w:eastAsia="uk-UA"/>
          <w14:ligatures w14:val="none"/>
        </w:rPr>
        <w:t xml:space="preserve">(in Ukrainian). </w:t>
      </w:r>
    </w:p>
    <w:p w14:paraId="1536DACA" w14:textId="77777777" w:rsidR="0023456B" w:rsidRPr="00F95D69" w:rsidRDefault="0023456B" w:rsidP="007741E5">
      <w:pPr>
        <w:widowControl w:val="0"/>
        <w:numPr>
          <w:ilvl w:val="0"/>
          <w:numId w:val="31"/>
        </w:numPr>
        <w:shd w:val="clear" w:color="auto" w:fill="FFFFFF"/>
        <w:tabs>
          <w:tab w:val="left" w:pos="1134"/>
          <w:tab w:val="left" w:pos="9638"/>
        </w:tabs>
        <w:autoSpaceDE w:val="0"/>
        <w:autoSpaceDN w:val="0"/>
        <w:adjustRightInd w:val="0"/>
        <w:snapToGrid w:val="0"/>
        <w:spacing w:after="0" w:line="240" w:lineRule="auto"/>
        <w:ind w:left="0" w:firstLine="709"/>
        <w:jc w:val="both"/>
        <w:rPr>
          <w:rFonts w:ascii="Times New Roman" w:eastAsia="Times New Roman" w:hAnsi="Times New Roman" w:cs="Times New Roman"/>
          <w:kern w:val="0"/>
          <w:sz w:val="24"/>
          <w:szCs w:val="24"/>
          <w:lang w:val="uk-UA" w:eastAsia="uk-UA"/>
          <w14:ligatures w14:val="none"/>
        </w:rPr>
      </w:pPr>
      <w:r w:rsidRPr="00F95D69">
        <w:rPr>
          <w:rFonts w:ascii="Times New Roman" w:eastAsia="Times New Roman" w:hAnsi="Times New Roman" w:cs="Times New Roman"/>
          <w:spacing w:val="-4"/>
          <w:kern w:val="0"/>
          <w:sz w:val="24"/>
          <w:szCs w:val="24"/>
          <w:lang w:eastAsia="uk-UA"/>
          <w14:ligatures w14:val="none"/>
        </w:rPr>
        <w:t xml:space="preserve">Savchenko S., Lutska N., Vlasenko L., Tomenko N. (2025). Analiz efektyvnosti vyiavlennia anomalii mezhevoho trafiku na osnovi modelei mashynnnoho navchannia. – K.: Kiberbezpeka: osvita, nauka, tekhnika, </w:t>
      </w:r>
      <w:r w:rsidRPr="00F95D69">
        <w:rPr>
          <w:rFonts w:ascii="Times New Roman" w:eastAsia="Times New Roman" w:hAnsi="Times New Roman" w:cs="Times New Roman"/>
          <w:kern w:val="0"/>
          <w:sz w:val="24"/>
          <w:szCs w:val="24"/>
          <w:lang w:val="uk-UA"/>
          <w14:ligatures w14:val="none"/>
        </w:rPr>
        <w:t xml:space="preserve">№ 1 (29) 2025. </w:t>
      </w:r>
      <w:r w:rsidRPr="00F95D69">
        <w:rPr>
          <w:rFonts w:ascii="Times New Roman" w:eastAsia="Times New Roman" w:hAnsi="Times New Roman" w:cs="Times New Roman"/>
          <w:kern w:val="0"/>
          <w:sz w:val="24"/>
          <w:szCs w:val="24"/>
          <w14:ligatures w14:val="none"/>
        </w:rPr>
        <w:t>S</w:t>
      </w:r>
      <w:r w:rsidRPr="00F95D69">
        <w:rPr>
          <w:rFonts w:ascii="Times New Roman" w:eastAsia="Times New Roman" w:hAnsi="Times New Roman" w:cs="Times New Roman"/>
          <w:kern w:val="0"/>
          <w:sz w:val="24"/>
          <w:szCs w:val="24"/>
          <w:lang w:val="uk-UA"/>
          <w14:ligatures w14:val="none"/>
        </w:rPr>
        <w:t xml:space="preserve">. 465 – 478. DOI: </w:t>
      </w:r>
      <w:hyperlink r:id="rId334" w:history="1">
        <w:r w:rsidRPr="00F95D69">
          <w:rPr>
            <w:rFonts w:ascii="Times New Roman" w:eastAsia="Times New Roman" w:hAnsi="Times New Roman" w:cs="Times New Roman"/>
            <w:color w:val="0000FF"/>
            <w:kern w:val="0"/>
            <w:sz w:val="24"/>
            <w:szCs w:val="24"/>
            <w:u w:val="single"/>
            <w:lang w:val="uk-UA"/>
            <w14:ligatures w14:val="none"/>
          </w:rPr>
          <w:t>https://doi.org/10.28925/2663-4023.2025.29.898</w:t>
        </w:r>
      </w:hyperlink>
      <w:r w:rsidRPr="00F95D69">
        <w:rPr>
          <w:rFonts w:ascii="Times New Roman" w:eastAsia="Times New Roman" w:hAnsi="Times New Roman" w:cs="Times New Roman"/>
          <w:kern w:val="0"/>
          <w:sz w:val="24"/>
          <w:szCs w:val="24"/>
          <w:lang w:eastAsia="uk-UA"/>
          <w14:ligatures w14:val="none"/>
        </w:rPr>
        <w:t xml:space="preserve"> </w:t>
      </w:r>
      <w:r w:rsidRPr="00F95D69">
        <w:rPr>
          <w:rFonts w:ascii="Times New Roman" w:eastAsia="Times New Roman" w:hAnsi="Times New Roman" w:cs="Times New Roman"/>
          <w:kern w:val="0"/>
          <w:sz w:val="24"/>
          <w:szCs w:val="24"/>
          <w:lang w:eastAsia="uk-UA"/>
          <w14:ligatures w14:val="none"/>
        </w:rPr>
        <w:lastRenderedPageBreak/>
        <w:t>[Analysis of the effectiveness of detecting border traffic anomalies based on machine learning models ]</w:t>
      </w:r>
      <w:r w:rsidRPr="00F95D69">
        <w:rPr>
          <w:rFonts w:ascii="Calibri" w:eastAsia="Times New Roman" w:hAnsi="Calibri" w:cs="Times New Roman"/>
          <w:kern w:val="0"/>
          <w:sz w:val="24"/>
          <w:szCs w:val="24"/>
          <w:lang w:eastAsia="uk-UA"/>
          <w14:ligatures w14:val="none"/>
        </w:rPr>
        <w:t xml:space="preserve"> </w:t>
      </w:r>
      <w:r w:rsidRPr="00F95D69">
        <w:rPr>
          <w:rFonts w:ascii="Times New Roman" w:eastAsia="Times New Roman" w:hAnsi="Times New Roman" w:cs="Times New Roman"/>
          <w:kern w:val="0"/>
          <w:sz w:val="24"/>
          <w:szCs w:val="24"/>
          <w:lang w:eastAsia="uk-UA"/>
          <w14:ligatures w14:val="none"/>
        </w:rPr>
        <w:t>(in Ukrainian).</w:t>
      </w:r>
    </w:p>
    <w:p w14:paraId="747422C3" w14:textId="77777777" w:rsidR="0023456B" w:rsidRPr="00F95D69" w:rsidRDefault="0023456B" w:rsidP="007741E5">
      <w:pPr>
        <w:widowControl w:val="0"/>
        <w:numPr>
          <w:ilvl w:val="0"/>
          <w:numId w:val="31"/>
        </w:numPr>
        <w:shd w:val="clear" w:color="auto" w:fill="FFFFFF"/>
        <w:tabs>
          <w:tab w:val="left" w:pos="1134"/>
          <w:tab w:val="left" w:pos="9638"/>
        </w:tabs>
        <w:autoSpaceDE w:val="0"/>
        <w:autoSpaceDN w:val="0"/>
        <w:adjustRightInd w:val="0"/>
        <w:snapToGrid w:val="0"/>
        <w:spacing w:after="0" w:line="240" w:lineRule="auto"/>
        <w:ind w:left="0" w:firstLine="709"/>
        <w:jc w:val="both"/>
        <w:rPr>
          <w:rFonts w:ascii="Times New Roman" w:eastAsia="Times New Roman" w:hAnsi="Times New Roman" w:cs="Times New Roman"/>
          <w:kern w:val="0"/>
          <w:sz w:val="24"/>
          <w:szCs w:val="24"/>
          <w:lang w:val="uk-UA" w:eastAsia="uk-UA"/>
          <w14:ligatures w14:val="none"/>
        </w:rPr>
      </w:pPr>
      <w:r w:rsidRPr="00F95D69">
        <w:rPr>
          <w:rFonts w:ascii="Times New Roman" w:eastAsia="Times New Roman" w:hAnsi="Times New Roman" w:cs="Times New Roman"/>
          <w:kern w:val="0"/>
          <w:sz w:val="24"/>
          <w:szCs w:val="24"/>
          <w:lang w:val="uk-UA"/>
          <w14:ligatures w14:val="none"/>
        </w:rPr>
        <w:t xml:space="preserve">Skladannyi P., Kostiuk Y., Rzaeva S., Samoilenko Y., Savchenko T. (2025). Development of modular neural networks for detecting different classes of network attacks. Cybersecurity: Education, Science, Technique, 3(27), 534–548. DOI: </w:t>
      </w:r>
      <w:hyperlink r:id="rId335" w:history="1">
        <w:r w:rsidRPr="00F95D69">
          <w:rPr>
            <w:rFonts w:ascii="Times New Roman" w:eastAsia="Times New Roman" w:hAnsi="Times New Roman" w:cs="Times New Roman"/>
            <w:color w:val="0000FF"/>
            <w:kern w:val="0"/>
            <w:sz w:val="24"/>
            <w:szCs w:val="24"/>
            <w:u w:val="single"/>
            <w:lang w:val="uk-UA"/>
            <w14:ligatures w14:val="none"/>
          </w:rPr>
          <w:t>https://doi.org/10.28925/2663-4023.2025.27.7722</w:t>
        </w:r>
      </w:hyperlink>
      <w:r w:rsidRPr="00F95D69">
        <w:rPr>
          <w:rFonts w:ascii="Times New Roman" w:eastAsia="Times New Roman" w:hAnsi="Times New Roman" w:cs="Times New Roman"/>
          <w:kern w:val="0"/>
          <w:sz w:val="24"/>
          <w:szCs w:val="24"/>
          <w:lang w:val="uk-UA"/>
          <w14:ligatures w14:val="none"/>
        </w:rPr>
        <w:t xml:space="preserve"> </w:t>
      </w:r>
      <w:r w:rsidRPr="00F95D69">
        <w:rPr>
          <w:rFonts w:ascii="Times New Roman" w:eastAsia="Times New Roman" w:hAnsi="Times New Roman" w:cs="Times New Roman"/>
          <w:kern w:val="0"/>
          <w:sz w:val="24"/>
          <w:szCs w:val="24"/>
          <w:lang w:eastAsia="uk-UA"/>
          <w14:ligatures w14:val="none"/>
        </w:rPr>
        <w:t>(in Ukrainian)</w:t>
      </w:r>
      <w:r w:rsidRPr="00F95D69">
        <w:rPr>
          <w:rFonts w:ascii="Times New Roman" w:eastAsia="Times New Roman" w:hAnsi="Times New Roman" w:cs="Times New Roman"/>
          <w:kern w:val="0"/>
          <w:sz w:val="24"/>
          <w:szCs w:val="24"/>
          <w:lang w:val="uk-UA"/>
          <w14:ligatures w14:val="none"/>
        </w:rPr>
        <w:t>.</w:t>
      </w:r>
    </w:p>
    <w:p w14:paraId="26669990" w14:textId="77777777" w:rsidR="0023456B" w:rsidRPr="00F95D69" w:rsidRDefault="0023456B" w:rsidP="007741E5">
      <w:pPr>
        <w:widowControl w:val="0"/>
        <w:numPr>
          <w:ilvl w:val="0"/>
          <w:numId w:val="31"/>
        </w:numPr>
        <w:shd w:val="clear" w:color="auto" w:fill="FFFFFF"/>
        <w:tabs>
          <w:tab w:val="left" w:pos="1134"/>
          <w:tab w:val="left" w:pos="9638"/>
        </w:tabs>
        <w:autoSpaceDE w:val="0"/>
        <w:autoSpaceDN w:val="0"/>
        <w:adjustRightInd w:val="0"/>
        <w:snapToGrid w:val="0"/>
        <w:spacing w:after="0" w:line="240" w:lineRule="auto"/>
        <w:ind w:left="0" w:firstLine="709"/>
        <w:jc w:val="both"/>
        <w:rPr>
          <w:rFonts w:ascii="Times New Roman" w:eastAsia="Times New Roman" w:hAnsi="Times New Roman" w:cs="Times New Roman"/>
          <w:kern w:val="0"/>
          <w:sz w:val="24"/>
          <w:szCs w:val="24"/>
          <w:lang w:val="uk-UA" w:eastAsia="uk-UA"/>
          <w14:ligatures w14:val="none"/>
        </w:rPr>
      </w:pPr>
      <w:r w:rsidRPr="00F95D69">
        <w:rPr>
          <w:rFonts w:ascii="Times New Roman" w:eastAsia="Times New Roman" w:hAnsi="Times New Roman" w:cs="Times New Roman"/>
          <w:kern w:val="0"/>
          <w:sz w:val="24"/>
          <w:szCs w:val="24"/>
          <w:lang w:val="uk-UA"/>
          <w14:ligatures w14:val="none"/>
        </w:rPr>
        <w:t xml:space="preserve">Haidur H., Gakhov S., Bryhynets A. (2023). Detection of network anomalies with neural networks algorithms. Telecommunication and Information Technologies, 78(1). DOI:  </w:t>
      </w:r>
      <w:hyperlink r:id="rId336" w:history="1">
        <w:r w:rsidRPr="00F95D69">
          <w:rPr>
            <w:rFonts w:ascii="Times New Roman" w:eastAsia="Times New Roman" w:hAnsi="Times New Roman" w:cs="Times New Roman"/>
            <w:color w:val="0000FF"/>
            <w:kern w:val="0"/>
            <w:sz w:val="24"/>
            <w:szCs w:val="24"/>
            <w:u w:val="single"/>
            <w:lang w:val="uk-UA"/>
            <w14:ligatures w14:val="none"/>
          </w:rPr>
          <w:t>https://doi.org/10.31673/2412-4338.2023.0161734</w:t>
        </w:r>
      </w:hyperlink>
      <w:r w:rsidRPr="00F95D69">
        <w:rPr>
          <w:rFonts w:ascii="Times New Roman" w:eastAsia="Times New Roman" w:hAnsi="Times New Roman" w:cs="Times New Roman"/>
          <w:kern w:val="0"/>
          <w:sz w:val="24"/>
          <w:szCs w:val="24"/>
          <w:lang w:val="uk-UA"/>
          <w14:ligatures w14:val="none"/>
        </w:rPr>
        <w:t xml:space="preserve"> </w:t>
      </w:r>
      <w:r w:rsidRPr="00F95D69">
        <w:rPr>
          <w:rFonts w:ascii="Times New Roman" w:eastAsia="Times New Roman" w:hAnsi="Times New Roman" w:cs="Times New Roman"/>
          <w:kern w:val="0"/>
          <w:sz w:val="24"/>
          <w:szCs w:val="24"/>
          <w:lang w:eastAsia="uk-UA"/>
          <w14:ligatures w14:val="none"/>
        </w:rPr>
        <w:t>(in Ukrainian).</w:t>
      </w:r>
    </w:p>
    <w:p w14:paraId="491DF36B" w14:textId="77777777" w:rsidR="0023456B" w:rsidRPr="00F95D69" w:rsidRDefault="0023456B" w:rsidP="00023291">
      <w:pPr>
        <w:widowControl w:val="0"/>
        <w:shd w:val="clear" w:color="auto" w:fill="FFFFFF"/>
        <w:tabs>
          <w:tab w:val="left" w:pos="1134"/>
          <w:tab w:val="left" w:pos="9638"/>
        </w:tabs>
        <w:autoSpaceDE w:val="0"/>
        <w:autoSpaceDN w:val="0"/>
        <w:adjustRightInd w:val="0"/>
        <w:snapToGrid w:val="0"/>
        <w:spacing w:after="0" w:line="240" w:lineRule="auto"/>
        <w:jc w:val="both"/>
        <w:rPr>
          <w:rFonts w:ascii="Times New Roman" w:eastAsia="Times New Roman" w:hAnsi="Times New Roman" w:cs="Times New Roman"/>
          <w:spacing w:val="-4"/>
          <w:kern w:val="0"/>
          <w:sz w:val="24"/>
          <w:szCs w:val="24"/>
          <w:lang w:val="uk-UA" w:eastAsia="uk-UA"/>
          <w14:ligatures w14:val="none"/>
        </w:rPr>
      </w:pPr>
    </w:p>
    <w:p w14:paraId="1D101C00" w14:textId="77777777" w:rsidR="0023456B" w:rsidRPr="00F95D69" w:rsidRDefault="0023456B" w:rsidP="00023291">
      <w:pPr>
        <w:tabs>
          <w:tab w:val="left" w:pos="9638"/>
        </w:tabs>
        <w:adjustRightInd w:val="0"/>
        <w:snapToGrid w:val="0"/>
        <w:spacing w:after="0" w:line="240" w:lineRule="auto"/>
        <w:jc w:val="center"/>
        <w:rPr>
          <w:rFonts w:ascii="Times New Roman" w:eastAsia="Times New Roman" w:hAnsi="Times New Roman" w:cs="Times New Roman"/>
          <w:b/>
          <w:kern w:val="0"/>
          <w:sz w:val="24"/>
          <w:szCs w:val="24"/>
          <w:lang w:val="uk-UA" w:eastAsia="uk-UA"/>
          <w14:ligatures w14:val="none"/>
        </w:rPr>
      </w:pPr>
      <w:r w:rsidRPr="00F95D69">
        <w:rPr>
          <w:rFonts w:ascii="Times New Roman" w:eastAsia="Times New Roman" w:hAnsi="Times New Roman" w:cs="Times New Roman"/>
          <w:b/>
          <w:kern w:val="0"/>
          <w:sz w:val="24"/>
          <w:szCs w:val="24"/>
          <w:lang w:val="uk-UA" w:eastAsia="uk-UA"/>
          <w14:ligatures w14:val="none"/>
        </w:rPr>
        <w:t>SUMMARY</w:t>
      </w:r>
    </w:p>
    <w:p w14:paraId="0E0EF476" w14:textId="58E193EF" w:rsidR="0023456B" w:rsidRPr="00F95D69" w:rsidRDefault="008721F1" w:rsidP="00023291">
      <w:pPr>
        <w:tabs>
          <w:tab w:val="left" w:pos="9638"/>
        </w:tabs>
        <w:adjustRightInd w:val="0"/>
        <w:snapToGrid w:val="0"/>
        <w:spacing w:after="0" w:line="240" w:lineRule="auto"/>
        <w:ind w:firstLine="709"/>
        <w:jc w:val="right"/>
        <w:rPr>
          <w:rFonts w:ascii="Times New Roman" w:eastAsia="Times New Roman" w:hAnsi="Times New Roman" w:cs="Times New Roman"/>
          <w:b/>
          <w:kern w:val="0"/>
          <w:sz w:val="24"/>
          <w:szCs w:val="24"/>
          <w:lang w:eastAsia="uk-UA"/>
          <w14:ligatures w14:val="none"/>
        </w:rPr>
      </w:pPr>
      <w:r w:rsidRPr="00F95D69">
        <w:rPr>
          <w:rFonts w:ascii="Times New Roman" w:eastAsia="Times New Roman" w:hAnsi="Times New Roman" w:cs="Times New Roman"/>
          <w:b/>
          <w:kern w:val="0"/>
          <w:sz w:val="24"/>
          <w:szCs w:val="24"/>
          <w:lang w:eastAsia="uk-UA"/>
          <w14:ligatures w14:val="none"/>
        </w:rPr>
        <w:t>Vitalii</w:t>
      </w:r>
      <w:r w:rsidR="0023456B" w:rsidRPr="00F95D69">
        <w:rPr>
          <w:rFonts w:ascii="Times New Roman" w:eastAsia="Times New Roman" w:hAnsi="Times New Roman" w:cs="Times New Roman"/>
          <w:b/>
          <w:kern w:val="0"/>
          <w:sz w:val="24"/>
          <w:szCs w:val="24"/>
          <w:lang w:eastAsia="uk-UA"/>
          <w14:ligatures w14:val="none"/>
        </w:rPr>
        <w:t xml:space="preserve"> Rakhmanov, </w:t>
      </w:r>
    </w:p>
    <w:p w14:paraId="6EC4F8C7" w14:textId="77777777" w:rsidR="0023456B" w:rsidRPr="00F95D69" w:rsidRDefault="0023456B" w:rsidP="00023291">
      <w:pPr>
        <w:tabs>
          <w:tab w:val="left" w:pos="9638"/>
        </w:tabs>
        <w:adjustRightInd w:val="0"/>
        <w:snapToGrid w:val="0"/>
        <w:spacing w:after="0" w:line="240" w:lineRule="auto"/>
        <w:ind w:firstLine="709"/>
        <w:jc w:val="right"/>
        <w:rPr>
          <w:rFonts w:ascii="Times New Roman" w:eastAsia="Times New Roman" w:hAnsi="Times New Roman" w:cs="Times New Roman"/>
          <w:b/>
          <w:kern w:val="0"/>
          <w:sz w:val="24"/>
          <w:szCs w:val="24"/>
          <w:lang w:eastAsia="uk-UA"/>
          <w14:ligatures w14:val="none"/>
        </w:rPr>
      </w:pPr>
      <w:r w:rsidRPr="00F95D69">
        <w:rPr>
          <w:rFonts w:ascii="Times New Roman" w:eastAsia="Times New Roman" w:hAnsi="Times New Roman" w:cs="Times New Roman"/>
          <w:b/>
          <w:kern w:val="0"/>
          <w:sz w:val="24"/>
          <w:szCs w:val="24"/>
          <w:lang w:eastAsia="uk-UA"/>
          <w14:ligatures w14:val="none"/>
        </w:rPr>
        <w:t>Dr. (Pedagogical Sciences), professor</w:t>
      </w:r>
    </w:p>
    <w:p w14:paraId="1588E70D" w14:textId="77777777" w:rsidR="0023456B" w:rsidRPr="00F95D69" w:rsidRDefault="0023456B" w:rsidP="00023291">
      <w:pPr>
        <w:tabs>
          <w:tab w:val="left" w:pos="9638"/>
        </w:tabs>
        <w:adjustRightInd w:val="0"/>
        <w:snapToGrid w:val="0"/>
        <w:spacing w:after="0" w:line="240" w:lineRule="auto"/>
        <w:ind w:firstLine="709"/>
        <w:jc w:val="right"/>
        <w:rPr>
          <w:rFonts w:ascii="Times New Roman" w:eastAsia="Times New Roman" w:hAnsi="Times New Roman" w:cs="Times New Roman"/>
          <w:kern w:val="0"/>
          <w:sz w:val="24"/>
          <w:szCs w:val="24"/>
          <w:lang w:eastAsia="uk-UA"/>
          <w14:ligatures w14:val="none"/>
        </w:rPr>
      </w:pPr>
      <w:r w:rsidRPr="00F95D69">
        <w:rPr>
          <w:rFonts w:ascii="Times New Roman" w:eastAsia="Times New Roman" w:hAnsi="Times New Roman" w:cs="Times New Roman"/>
          <w:kern w:val="0"/>
          <w:sz w:val="24"/>
          <w:szCs w:val="24"/>
          <w:lang w:eastAsia="uk-UA"/>
          <w14:ligatures w14:val="none"/>
        </w:rPr>
        <w:t xml:space="preserve">National Defense University of Ukraine </w:t>
      </w:r>
    </w:p>
    <w:p w14:paraId="4014A1D5" w14:textId="77777777" w:rsidR="0023456B" w:rsidRPr="00F95D69" w:rsidRDefault="0023456B" w:rsidP="00023291">
      <w:pPr>
        <w:widowControl w:val="0"/>
        <w:shd w:val="clear" w:color="auto" w:fill="FFFFFF"/>
        <w:tabs>
          <w:tab w:val="left" w:pos="710"/>
          <w:tab w:val="left" w:pos="1134"/>
          <w:tab w:val="left" w:pos="1276"/>
          <w:tab w:val="left" w:pos="9638"/>
        </w:tabs>
        <w:autoSpaceDE w:val="0"/>
        <w:autoSpaceDN w:val="0"/>
        <w:adjustRightInd w:val="0"/>
        <w:snapToGrid w:val="0"/>
        <w:spacing w:after="0" w:line="240" w:lineRule="auto"/>
        <w:ind w:firstLine="709"/>
        <w:jc w:val="right"/>
        <w:rPr>
          <w:rFonts w:ascii="Times New Roman" w:eastAsia="Times New Roman" w:hAnsi="Times New Roman" w:cs="Times New Roman"/>
          <w:kern w:val="0"/>
          <w:sz w:val="24"/>
          <w:szCs w:val="24"/>
          <w:lang w:eastAsia="uk-UA"/>
          <w14:ligatures w14:val="none"/>
        </w:rPr>
      </w:pPr>
    </w:p>
    <w:p w14:paraId="7291467C" w14:textId="02BD597B" w:rsidR="0023456B" w:rsidRPr="00F95D69" w:rsidRDefault="0023456B" w:rsidP="00023291">
      <w:pPr>
        <w:widowControl w:val="0"/>
        <w:shd w:val="clear" w:color="auto" w:fill="FFFFFF"/>
        <w:tabs>
          <w:tab w:val="left" w:pos="710"/>
          <w:tab w:val="left" w:pos="1134"/>
          <w:tab w:val="left" w:pos="1276"/>
          <w:tab w:val="left" w:pos="9638"/>
        </w:tabs>
        <w:autoSpaceDE w:val="0"/>
        <w:autoSpaceDN w:val="0"/>
        <w:adjustRightInd w:val="0"/>
        <w:snapToGrid w:val="0"/>
        <w:spacing w:after="0" w:line="240" w:lineRule="auto"/>
        <w:ind w:firstLine="709"/>
        <w:jc w:val="center"/>
        <w:rPr>
          <w:rFonts w:ascii="Times New Roman" w:eastAsia="Times New Roman" w:hAnsi="Times New Roman" w:cs="Times New Roman"/>
          <w:b/>
          <w:kern w:val="0"/>
          <w:sz w:val="24"/>
          <w:szCs w:val="24"/>
          <w:lang w:eastAsia="uk-UA"/>
          <w14:ligatures w14:val="none"/>
        </w:rPr>
      </w:pPr>
      <w:r w:rsidRPr="00F95D69">
        <w:rPr>
          <w:rFonts w:ascii="Times New Roman" w:eastAsia="Times New Roman" w:hAnsi="Times New Roman" w:cs="Times New Roman"/>
          <w:b/>
          <w:kern w:val="0"/>
          <w:sz w:val="24"/>
          <w:szCs w:val="24"/>
          <w:lang w:eastAsia="uk-UA"/>
          <w14:ligatures w14:val="none"/>
        </w:rPr>
        <w:t xml:space="preserve">Forecasting of </w:t>
      </w:r>
      <w:r w:rsidR="00E967C0" w:rsidRPr="00F95D69">
        <w:rPr>
          <w:rFonts w:ascii="Times New Roman" w:eastAsia="Times New Roman" w:hAnsi="Times New Roman" w:cs="Times New Roman"/>
          <w:b/>
          <w:kern w:val="0"/>
          <w:sz w:val="24"/>
          <w:szCs w:val="24"/>
          <w:lang w:eastAsia="uk-UA"/>
          <w14:ligatures w14:val="none"/>
        </w:rPr>
        <w:t>educational activities in a higher military educational institution using artificial intelligence based on statistical analysis of air alarms</w:t>
      </w:r>
    </w:p>
    <w:p w14:paraId="11F4B13F" w14:textId="77777777" w:rsidR="008721F1" w:rsidRPr="00F95D69" w:rsidRDefault="008721F1" w:rsidP="00023291">
      <w:pPr>
        <w:widowControl w:val="0"/>
        <w:shd w:val="clear" w:color="auto" w:fill="FFFFFF"/>
        <w:tabs>
          <w:tab w:val="left" w:pos="710"/>
          <w:tab w:val="left" w:pos="1134"/>
          <w:tab w:val="left" w:pos="1276"/>
          <w:tab w:val="left" w:pos="9638"/>
        </w:tabs>
        <w:autoSpaceDE w:val="0"/>
        <w:autoSpaceDN w:val="0"/>
        <w:adjustRightInd w:val="0"/>
        <w:snapToGrid w:val="0"/>
        <w:spacing w:after="0" w:line="240" w:lineRule="auto"/>
        <w:ind w:firstLine="709"/>
        <w:jc w:val="center"/>
        <w:rPr>
          <w:rFonts w:ascii="Times New Roman" w:eastAsia="Times New Roman" w:hAnsi="Times New Roman" w:cs="Times New Roman"/>
          <w:b/>
          <w:kern w:val="0"/>
          <w:sz w:val="24"/>
          <w:szCs w:val="24"/>
          <w:lang w:val="uk-UA" w:eastAsia="uk-UA"/>
          <w14:ligatures w14:val="none"/>
        </w:rPr>
      </w:pPr>
    </w:p>
    <w:p w14:paraId="153A76B0" w14:textId="77777777" w:rsidR="0023456B" w:rsidRPr="00F95D69" w:rsidRDefault="0023456B" w:rsidP="00023291">
      <w:pPr>
        <w:widowControl w:val="0"/>
        <w:shd w:val="clear" w:color="auto" w:fill="FFFFFF"/>
        <w:tabs>
          <w:tab w:val="left" w:pos="710"/>
          <w:tab w:val="left" w:pos="1134"/>
          <w:tab w:val="left" w:pos="1276"/>
          <w:tab w:val="left" w:pos="9638"/>
        </w:tabs>
        <w:autoSpaceDE w:val="0"/>
        <w:autoSpaceDN w:val="0"/>
        <w:adjustRightInd w:val="0"/>
        <w:snapToGrid w:val="0"/>
        <w:spacing w:after="0" w:line="240" w:lineRule="auto"/>
        <w:ind w:firstLine="709"/>
        <w:jc w:val="both"/>
        <w:rPr>
          <w:rFonts w:ascii="Times New Roman" w:eastAsia="Times New Roman" w:hAnsi="Times New Roman" w:cs="Times New Roman"/>
          <w:i/>
          <w:kern w:val="0"/>
          <w:sz w:val="24"/>
          <w:szCs w:val="24"/>
          <w:lang w:eastAsia="uk-UA"/>
          <w14:ligatures w14:val="none"/>
        </w:rPr>
      </w:pPr>
      <w:r w:rsidRPr="00F95D69">
        <w:rPr>
          <w:rFonts w:ascii="Times New Roman" w:eastAsia="Times New Roman" w:hAnsi="Times New Roman" w:cs="Times New Roman"/>
          <w:b/>
          <w:bCs/>
          <w:i/>
          <w:kern w:val="0"/>
          <w:sz w:val="24"/>
          <w:szCs w:val="24"/>
          <w:lang w:eastAsia="uk-UA"/>
          <w14:ligatures w14:val="none"/>
        </w:rPr>
        <w:t xml:space="preserve">Introduction. </w:t>
      </w:r>
      <w:r w:rsidRPr="00F95D69">
        <w:rPr>
          <w:rFonts w:ascii="Times New Roman" w:eastAsia="Times New Roman" w:hAnsi="Times New Roman" w:cs="Times New Roman"/>
          <w:i/>
          <w:kern w:val="0"/>
          <w:sz w:val="24"/>
          <w:szCs w:val="24"/>
          <w:lang w:eastAsia="uk-UA"/>
          <w14:ligatures w14:val="none"/>
        </w:rPr>
        <w:t xml:space="preserve">The article examines the features of forecasting educational activities at the National Defense University of Ukraine under martial law based on air raid statistics. The relevance of using statistical data to increase the efficiency of organizing the educational process in conditions of constant security threats is substantiated. The impact of air raids on the duration, continuity and quality of educational classes is analyzed. The main indicators of statistical analysis are determined, in particular, the frequency, duration and time structure of air raids. </w:t>
      </w:r>
    </w:p>
    <w:p w14:paraId="7EE8021E" w14:textId="77777777" w:rsidR="0023456B" w:rsidRPr="00F95D69" w:rsidRDefault="0023456B" w:rsidP="00023291">
      <w:pPr>
        <w:widowControl w:val="0"/>
        <w:shd w:val="clear" w:color="auto" w:fill="FFFFFF"/>
        <w:tabs>
          <w:tab w:val="left" w:pos="710"/>
          <w:tab w:val="left" w:pos="1134"/>
          <w:tab w:val="left" w:pos="1276"/>
          <w:tab w:val="left" w:pos="9638"/>
        </w:tabs>
        <w:autoSpaceDE w:val="0"/>
        <w:autoSpaceDN w:val="0"/>
        <w:adjustRightInd w:val="0"/>
        <w:snapToGrid w:val="0"/>
        <w:spacing w:after="0" w:line="240" w:lineRule="auto"/>
        <w:ind w:firstLine="709"/>
        <w:jc w:val="both"/>
        <w:rPr>
          <w:rFonts w:ascii="Times New Roman" w:eastAsia="Times New Roman" w:hAnsi="Times New Roman" w:cs="Times New Roman"/>
          <w:i/>
          <w:kern w:val="0"/>
          <w:sz w:val="24"/>
          <w:szCs w:val="24"/>
          <w:lang w:eastAsia="uk-UA"/>
          <w14:ligatures w14:val="none"/>
        </w:rPr>
      </w:pPr>
      <w:r w:rsidRPr="00F95D69">
        <w:rPr>
          <w:rFonts w:ascii="Times New Roman" w:eastAsia="Times New Roman" w:hAnsi="Times New Roman" w:cs="Times New Roman"/>
          <w:b/>
          <w:bCs/>
          <w:i/>
          <w:kern w:val="0"/>
          <w:sz w:val="24"/>
          <w:szCs w:val="24"/>
          <w:lang w:eastAsia="uk-UA"/>
          <w14:ligatures w14:val="none"/>
        </w:rPr>
        <w:t xml:space="preserve">Purpose. </w:t>
      </w:r>
      <w:r w:rsidRPr="00F95D69">
        <w:rPr>
          <w:rFonts w:ascii="Times New Roman" w:eastAsia="Times New Roman" w:hAnsi="Times New Roman" w:cs="Times New Roman"/>
          <w:i/>
          <w:kern w:val="0"/>
          <w:sz w:val="24"/>
          <w:szCs w:val="24"/>
          <w:lang w:eastAsia="uk-UA"/>
          <w14:ligatures w14:val="none"/>
        </w:rPr>
        <w:t>The purpose of the article is to substantiate the possibilities of using statistical data on air alarms to predict and optimize the educational process at the National Defense University of Ukraine, as well as to predict the probability, duration, and time indicators of alarms to optimize the schedule, transition to blended, online, or predict safe indicators for practical classes.</w:t>
      </w:r>
    </w:p>
    <w:p w14:paraId="25A64458" w14:textId="77777777" w:rsidR="0023456B" w:rsidRPr="00F95D69" w:rsidRDefault="0023456B" w:rsidP="00023291">
      <w:pPr>
        <w:widowControl w:val="0"/>
        <w:shd w:val="clear" w:color="auto" w:fill="FFFFFF"/>
        <w:tabs>
          <w:tab w:val="left" w:pos="710"/>
          <w:tab w:val="left" w:pos="1134"/>
          <w:tab w:val="left" w:pos="1276"/>
          <w:tab w:val="left" w:pos="9638"/>
        </w:tabs>
        <w:autoSpaceDE w:val="0"/>
        <w:autoSpaceDN w:val="0"/>
        <w:adjustRightInd w:val="0"/>
        <w:snapToGrid w:val="0"/>
        <w:spacing w:after="0" w:line="240" w:lineRule="auto"/>
        <w:ind w:firstLine="709"/>
        <w:jc w:val="both"/>
        <w:rPr>
          <w:rFonts w:ascii="Times New Roman" w:eastAsia="Times New Roman" w:hAnsi="Times New Roman" w:cs="Times New Roman"/>
          <w:i/>
          <w:kern w:val="0"/>
          <w:sz w:val="24"/>
          <w:szCs w:val="24"/>
          <w:lang w:eastAsia="uk-UA"/>
          <w14:ligatures w14:val="none"/>
        </w:rPr>
      </w:pPr>
      <w:r w:rsidRPr="00F95D69">
        <w:rPr>
          <w:rFonts w:ascii="Times New Roman" w:eastAsia="Times New Roman" w:hAnsi="Times New Roman" w:cs="Times New Roman"/>
          <w:b/>
          <w:bCs/>
          <w:i/>
          <w:kern w:val="0"/>
          <w:sz w:val="24"/>
          <w:szCs w:val="24"/>
          <w:lang w:eastAsia="uk-UA"/>
          <w14:ligatures w14:val="none"/>
        </w:rPr>
        <w:t>Result.</w:t>
      </w:r>
      <w:r w:rsidRPr="00F95D69">
        <w:rPr>
          <w:rFonts w:ascii="Times New Roman" w:eastAsia="Times New Roman" w:hAnsi="Times New Roman" w:cs="Times New Roman"/>
          <w:i/>
          <w:kern w:val="0"/>
          <w:sz w:val="24"/>
          <w:szCs w:val="24"/>
          <w:lang w:eastAsia="uk-UA"/>
          <w14:ligatures w14:val="none"/>
        </w:rPr>
        <w:t xml:space="preserve"> The forecast of the average daily/average weekly duration of alarms allows you to reserve time in the schedule, dynamically adjust the schedule of classes (transferring pairs, switching to online), form the distribution of study groups to avoid overcrowding of shelters. This makes it possible to calculate the effective (reliable) study time taking into account the statistics of air alarms during study hours, and also makes it possible to take into account the time for moving to shelters depending on the building. This will allow you to move from immediate response to active management, which will allow you to plan training sessions in advance during periods when there are no alarms, increase the amount of independent work or online lectures during risky hours.</w:t>
      </w:r>
    </w:p>
    <w:p w14:paraId="769898CA" w14:textId="77777777" w:rsidR="0023456B" w:rsidRPr="00F95D69" w:rsidRDefault="0023456B" w:rsidP="00023291">
      <w:pPr>
        <w:widowControl w:val="0"/>
        <w:shd w:val="clear" w:color="auto" w:fill="FFFFFF"/>
        <w:tabs>
          <w:tab w:val="left" w:pos="710"/>
          <w:tab w:val="left" w:pos="1134"/>
          <w:tab w:val="left" w:pos="1276"/>
          <w:tab w:val="left" w:pos="9638"/>
        </w:tabs>
        <w:autoSpaceDE w:val="0"/>
        <w:autoSpaceDN w:val="0"/>
        <w:adjustRightInd w:val="0"/>
        <w:snapToGrid w:val="0"/>
        <w:spacing w:after="0" w:line="240" w:lineRule="auto"/>
        <w:ind w:firstLine="709"/>
        <w:jc w:val="both"/>
        <w:rPr>
          <w:rFonts w:ascii="Times New Roman" w:eastAsia="Times New Roman" w:hAnsi="Times New Roman" w:cs="Times New Roman"/>
          <w:i/>
          <w:kern w:val="0"/>
          <w:sz w:val="24"/>
          <w:szCs w:val="24"/>
          <w:lang w:eastAsia="uk-UA"/>
          <w14:ligatures w14:val="none"/>
        </w:rPr>
      </w:pPr>
      <w:r w:rsidRPr="00F95D69">
        <w:rPr>
          <w:rFonts w:ascii="Times New Roman" w:eastAsia="Times New Roman" w:hAnsi="Times New Roman" w:cs="Times New Roman"/>
          <w:b/>
          <w:bCs/>
          <w:i/>
          <w:kern w:val="0"/>
          <w:sz w:val="24"/>
          <w:szCs w:val="24"/>
          <w:lang w:eastAsia="uk-UA"/>
          <w14:ligatures w14:val="none"/>
        </w:rPr>
        <w:t xml:space="preserve">Originality. </w:t>
      </w:r>
      <w:r w:rsidRPr="00F95D69">
        <w:rPr>
          <w:rFonts w:ascii="Times New Roman" w:eastAsia="Times New Roman" w:hAnsi="Times New Roman" w:cs="Times New Roman"/>
          <w:i/>
          <w:kern w:val="0"/>
          <w:sz w:val="24"/>
          <w:szCs w:val="24"/>
          <w:lang w:eastAsia="uk-UA"/>
          <w14:ligatures w14:val="none"/>
        </w:rPr>
        <w:t>The possibilities of using artificial intelligence to determine the risky time intervals are considered. Approaches to adapting the educational process through flexible schedule planning, the use of blended learning forms and reserving educational time are proposed. It is concluded that the implementation of forecasting systems based on air raid statistics will contribute to increasing the stability and adaptability of the military education system, ensuring the continuity of education and more effective management of the educational process.</w:t>
      </w:r>
    </w:p>
    <w:p w14:paraId="572A7FC2" w14:textId="77777777" w:rsidR="0023456B" w:rsidRPr="00F95D69" w:rsidRDefault="0023456B" w:rsidP="00023291">
      <w:pPr>
        <w:widowControl w:val="0"/>
        <w:shd w:val="clear" w:color="auto" w:fill="FFFFFF"/>
        <w:tabs>
          <w:tab w:val="left" w:pos="710"/>
          <w:tab w:val="left" w:pos="1134"/>
          <w:tab w:val="left" w:pos="1276"/>
          <w:tab w:val="left" w:pos="9638"/>
        </w:tabs>
        <w:autoSpaceDE w:val="0"/>
        <w:autoSpaceDN w:val="0"/>
        <w:adjustRightInd w:val="0"/>
        <w:snapToGrid w:val="0"/>
        <w:spacing w:after="0" w:line="240" w:lineRule="auto"/>
        <w:ind w:firstLine="709"/>
        <w:jc w:val="both"/>
        <w:rPr>
          <w:rFonts w:ascii="Times New Roman" w:eastAsia="Times New Roman" w:hAnsi="Times New Roman" w:cs="Times New Roman"/>
          <w:i/>
          <w:kern w:val="0"/>
          <w:sz w:val="24"/>
          <w:szCs w:val="24"/>
          <w:lang w:val="uk-UA" w:eastAsia="uk-UA"/>
          <w14:ligatures w14:val="none"/>
        </w:rPr>
      </w:pPr>
      <w:r w:rsidRPr="00F95D69">
        <w:rPr>
          <w:rFonts w:ascii="Times New Roman" w:eastAsia="Times New Roman" w:hAnsi="Times New Roman" w:cs="Times New Roman"/>
          <w:b/>
          <w:bCs/>
          <w:i/>
          <w:kern w:val="0"/>
          <w:sz w:val="24"/>
          <w:szCs w:val="24"/>
          <w:lang w:eastAsia="uk-UA"/>
          <w14:ligatures w14:val="none"/>
        </w:rPr>
        <w:t xml:space="preserve">Conclusion. </w:t>
      </w:r>
      <w:r w:rsidRPr="00F95D69">
        <w:rPr>
          <w:rFonts w:ascii="Times New Roman" w:eastAsia="Times New Roman" w:hAnsi="Times New Roman" w:cs="Times New Roman"/>
          <w:i/>
          <w:kern w:val="0"/>
          <w:sz w:val="24"/>
          <w:szCs w:val="24"/>
          <w:lang w:eastAsia="uk-UA"/>
          <w14:ligatures w14:val="none"/>
        </w:rPr>
        <w:t>The use of airstrike statistics as a forecasting tool is a promising direction for improving the educational process in martial law conditions. The introduction of artificial intelligence allows to increase the efficiency of organizing classes, ensure their flexibility and resistance to external threats. Forecasting based on airstrike statistics transforms passive response into proactive management of the educational process.</w:t>
      </w:r>
      <w:r w:rsidRPr="00F95D69">
        <w:rPr>
          <w:rFonts w:ascii="Calibri" w:eastAsia="Times New Roman" w:hAnsi="Calibri" w:cs="Times New Roman"/>
          <w:kern w:val="0"/>
          <w:sz w:val="24"/>
          <w:szCs w:val="24"/>
          <w:lang w:eastAsia="uk-UA"/>
          <w14:ligatures w14:val="none"/>
        </w:rPr>
        <w:t xml:space="preserve"> </w:t>
      </w:r>
      <w:r w:rsidRPr="00F95D69">
        <w:rPr>
          <w:rFonts w:ascii="Times New Roman" w:eastAsia="Times New Roman" w:hAnsi="Times New Roman" w:cs="Times New Roman"/>
          <w:i/>
          <w:kern w:val="0"/>
          <w:sz w:val="24"/>
          <w:szCs w:val="24"/>
          <w:lang w:eastAsia="uk-UA"/>
          <w14:ligatures w14:val="none"/>
        </w:rPr>
        <w:t xml:space="preserve">The use of airstrike statistics as a forecasting tool is a promising direction for improving the educational process in martial law conditions. The introduction of artificial intelligence allows to increase the efficiency of organizing classes, ensure their flexibility and resistance to external threats. Forecasting based on airstrike statistics transforms </w:t>
      </w:r>
      <w:r w:rsidRPr="00F95D69">
        <w:rPr>
          <w:rFonts w:ascii="Times New Roman" w:eastAsia="Times New Roman" w:hAnsi="Times New Roman" w:cs="Times New Roman"/>
          <w:i/>
          <w:kern w:val="0"/>
          <w:sz w:val="24"/>
          <w:szCs w:val="24"/>
          <w:lang w:eastAsia="uk-UA"/>
          <w14:ligatures w14:val="none"/>
        </w:rPr>
        <w:lastRenderedPageBreak/>
        <w:t>passive response into proactive management of the educational process.</w:t>
      </w:r>
    </w:p>
    <w:p w14:paraId="1474116B" w14:textId="77777777" w:rsidR="0023456B" w:rsidRPr="00F95D69" w:rsidRDefault="0023456B" w:rsidP="00023291">
      <w:pPr>
        <w:widowControl w:val="0"/>
        <w:shd w:val="clear" w:color="auto" w:fill="FFFFFF"/>
        <w:tabs>
          <w:tab w:val="left" w:pos="710"/>
          <w:tab w:val="left" w:pos="1134"/>
          <w:tab w:val="left" w:pos="1276"/>
          <w:tab w:val="left" w:pos="9638"/>
        </w:tabs>
        <w:autoSpaceDE w:val="0"/>
        <w:autoSpaceDN w:val="0"/>
        <w:adjustRightInd w:val="0"/>
        <w:snapToGrid w:val="0"/>
        <w:spacing w:after="0" w:line="240" w:lineRule="auto"/>
        <w:ind w:firstLine="709"/>
        <w:jc w:val="both"/>
        <w:rPr>
          <w:rFonts w:ascii="Times New Roman" w:eastAsia="Times New Roman" w:hAnsi="Times New Roman" w:cs="Times New Roman"/>
          <w:i/>
          <w:kern w:val="0"/>
          <w:sz w:val="24"/>
          <w:szCs w:val="24"/>
          <w:lang w:eastAsia="uk-UA"/>
          <w14:ligatures w14:val="none"/>
        </w:rPr>
      </w:pPr>
      <w:r w:rsidRPr="00F95D69">
        <w:rPr>
          <w:rFonts w:ascii="Times New Roman" w:eastAsia="Times New Roman" w:hAnsi="Times New Roman" w:cs="Times New Roman"/>
          <w:b/>
          <w:bCs/>
          <w:i/>
          <w:kern w:val="0"/>
          <w:sz w:val="24"/>
          <w:szCs w:val="24"/>
          <w:lang w:eastAsia="uk-UA"/>
          <w14:ligatures w14:val="none"/>
        </w:rPr>
        <w:t>Key words:</w:t>
      </w:r>
      <w:r w:rsidRPr="00F95D69">
        <w:rPr>
          <w:rFonts w:ascii="Times New Roman" w:eastAsia="Times New Roman" w:hAnsi="Times New Roman" w:cs="Times New Roman"/>
          <w:i/>
          <w:kern w:val="0"/>
          <w:sz w:val="24"/>
          <w:szCs w:val="24"/>
          <w:lang w:eastAsia="uk-UA"/>
          <w14:ligatures w14:val="none"/>
        </w:rPr>
        <w:t xml:space="preserve"> air alerts; educational activities; military education, educational process, statistical analysis; martial law.</w:t>
      </w:r>
    </w:p>
    <w:p w14:paraId="43CCE47A" w14:textId="77777777" w:rsidR="0023456B" w:rsidRPr="0023456B" w:rsidRDefault="0023456B" w:rsidP="00023291">
      <w:pPr>
        <w:widowControl w:val="0"/>
        <w:shd w:val="clear" w:color="auto" w:fill="FFFFFF"/>
        <w:tabs>
          <w:tab w:val="left" w:pos="710"/>
          <w:tab w:val="left" w:pos="1134"/>
          <w:tab w:val="left" w:pos="1276"/>
          <w:tab w:val="left" w:pos="9638"/>
        </w:tabs>
        <w:autoSpaceDE w:val="0"/>
        <w:autoSpaceDN w:val="0"/>
        <w:adjustRightInd w:val="0"/>
        <w:snapToGrid w:val="0"/>
        <w:spacing w:after="0" w:line="240" w:lineRule="auto"/>
        <w:ind w:firstLine="709"/>
        <w:jc w:val="both"/>
        <w:rPr>
          <w:rFonts w:ascii="Times New Roman" w:eastAsia="Times New Roman" w:hAnsi="Times New Roman" w:cs="Times New Roman"/>
          <w:i/>
          <w:kern w:val="0"/>
          <w:sz w:val="28"/>
          <w:szCs w:val="28"/>
          <w:lang w:eastAsia="uk-UA"/>
          <w14:ligatures w14:val="none"/>
        </w:rPr>
      </w:pPr>
    </w:p>
    <w:p w14:paraId="007F837F" w14:textId="77777777" w:rsidR="00F95D69" w:rsidRPr="00B44B71" w:rsidRDefault="00F95D69" w:rsidP="00F95D69">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надійшов до редакції 01.04.2026</w:t>
      </w:r>
    </w:p>
    <w:p w14:paraId="36E45B3B" w14:textId="77777777" w:rsidR="00F95D69" w:rsidRPr="00B44B71" w:rsidRDefault="00F95D69" w:rsidP="00F95D69">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прийнято до друку після рецензування 21.04.2026</w:t>
      </w:r>
    </w:p>
    <w:p w14:paraId="718CB3D5" w14:textId="77777777" w:rsidR="00F95D69" w:rsidRDefault="00F95D69" w:rsidP="00F95D69">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Дата публікації 25.04.2026</w:t>
      </w:r>
    </w:p>
    <w:p w14:paraId="3DDBF009" w14:textId="77777777" w:rsidR="00F95D69" w:rsidRPr="003B5892" w:rsidRDefault="00F95D69" w:rsidP="00F95D69">
      <w:pPr>
        <w:tabs>
          <w:tab w:val="left" w:pos="993"/>
          <w:tab w:val="left" w:pos="9638"/>
        </w:tabs>
        <w:spacing w:after="0" w:line="240" w:lineRule="auto"/>
        <w:ind w:firstLine="567"/>
        <w:jc w:val="both"/>
        <w:rPr>
          <w:rFonts w:ascii="Times New Roman" w:eastAsia="Calibri" w:hAnsi="Times New Roman" w:cs="Times New Roman"/>
          <w:kern w:val="0"/>
          <w:sz w:val="24"/>
          <w:szCs w:val="24"/>
          <w14:ligatures w14:val="none"/>
        </w:rPr>
      </w:pPr>
    </w:p>
    <w:p w14:paraId="0442FDCD" w14:textId="44802A5C" w:rsidR="00B66A78" w:rsidRPr="00F95D69" w:rsidRDefault="00F95D69" w:rsidP="00F95D69">
      <w:pPr>
        <w:shd w:val="clear" w:color="auto" w:fill="FFFFFF"/>
        <w:tabs>
          <w:tab w:val="left" w:pos="1134"/>
          <w:tab w:val="left" w:pos="9638"/>
        </w:tabs>
        <w:adjustRightInd w:val="0"/>
        <w:snapToGrid w:val="0"/>
        <w:spacing w:after="0" w:line="240" w:lineRule="auto"/>
        <w:rPr>
          <w:rFonts w:ascii="Times New Roman" w:eastAsia="Times New Roman" w:hAnsi="Times New Roman" w:cs="Times New Roman"/>
          <w:kern w:val="0"/>
          <w:sz w:val="23"/>
          <w:szCs w:val="23"/>
          <w:lang w:val="uk-UA" w:eastAsia="ru-RU"/>
          <w14:ligatures w14:val="none"/>
        </w:rPr>
      </w:pPr>
      <w:r>
        <w:rPr>
          <w:rFonts w:ascii="Times New Roman" w:eastAsia="Times New Roman" w:hAnsi="Times New Roman" w:cs="Times New Roman"/>
          <w:b/>
          <w:bCs/>
          <w:color w:val="000000"/>
          <w:kern w:val="0"/>
          <w:sz w:val="24"/>
          <w:szCs w:val="24"/>
          <w:lang w:eastAsia="uk-UA"/>
          <w14:ligatures w14:val="none"/>
        </w:rPr>
        <w:br w:type="column"/>
      </w:r>
      <w:r w:rsidR="00462322" w:rsidRPr="00B44B71">
        <w:rPr>
          <w:rFonts w:ascii="Times New Roman" w:eastAsia="Times New Roman" w:hAnsi="Times New Roman" w:cs="Times New Roman"/>
          <w:kern w:val="0"/>
          <w:sz w:val="23"/>
          <w:szCs w:val="23"/>
          <w:lang w:val="uk-UA" w:eastAsia="ru-RU"/>
          <w14:ligatures w14:val="none"/>
        </w:rPr>
        <w:lastRenderedPageBreak/>
        <w:t>ISSN:2617-1775</w:t>
      </w:r>
      <w:r w:rsidR="00462322" w:rsidRPr="00E4040F">
        <w:rPr>
          <w:rFonts w:ascii="Times New Roman" w:eastAsia="Calibri" w:hAnsi="Times New Roman" w:cs="Times New Roman"/>
          <w:b/>
          <w:kern w:val="0"/>
          <w:sz w:val="24"/>
          <w:szCs w:val="24"/>
          <w:lang w:val="uk-UA"/>
          <w14:ligatures w14:val="none"/>
        </w:rPr>
        <w:t xml:space="preserve"> </w:t>
      </w:r>
      <w:r w:rsidR="00462322" w:rsidRPr="00740AAF">
        <w:rPr>
          <w:rFonts w:ascii="Times New Roman" w:eastAsia="Calibri" w:hAnsi="Times New Roman" w:cs="Times New Roman"/>
          <w:b/>
          <w:kern w:val="0"/>
          <w:sz w:val="24"/>
          <w:szCs w:val="24"/>
          <w:lang w:val="uk-UA"/>
          <w14:ligatures w14:val="none"/>
        </w:rPr>
        <w:t xml:space="preserve">                                                               </w:t>
      </w:r>
      <w:r w:rsidR="00462322">
        <w:rPr>
          <w:rFonts w:ascii="Times New Roman" w:eastAsia="Calibri" w:hAnsi="Times New Roman" w:cs="Times New Roman"/>
          <w:b/>
          <w:kern w:val="0"/>
          <w:sz w:val="24"/>
          <w:szCs w:val="24"/>
          <w:lang w:val="uk-UA"/>
          <w14:ligatures w14:val="none"/>
        </w:rPr>
        <w:t xml:space="preserve">  </w:t>
      </w:r>
      <w:r w:rsidR="00306B98">
        <w:rPr>
          <w:rFonts w:ascii="Times New Roman" w:eastAsia="Calibri" w:hAnsi="Times New Roman" w:cs="Times New Roman"/>
          <w:b/>
          <w:kern w:val="0"/>
          <w:sz w:val="24"/>
          <w:szCs w:val="24"/>
          <w:lang w:val="uk-UA"/>
          <w14:ligatures w14:val="none"/>
        </w:rPr>
        <w:t xml:space="preserve">                       </w:t>
      </w:r>
      <w:r w:rsidR="00462322" w:rsidRPr="0023456B">
        <w:rPr>
          <w:rFonts w:ascii="Times New Roman" w:eastAsia="Times New Roman" w:hAnsi="Times New Roman" w:cs="Times New Roman"/>
          <w:b/>
          <w:bCs/>
          <w:color w:val="000000"/>
          <w:kern w:val="0"/>
          <w:sz w:val="28"/>
          <w:szCs w:val="28"/>
          <w:lang w:val="uk-UA" w:eastAsia="uk-UA"/>
          <w14:ligatures w14:val="none"/>
        </w:rPr>
        <w:t xml:space="preserve">УДК </w:t>
      </w:r>
      <w:r w:rsidR="00B66A78" w:rsidRPr="00B44B71">
        <w:rPr>
          <w:rFonts w:ascii="Times New Roman" w:eastAsia="Times New Roman" w:hAnsi="Times New Roman" w:cs="Times New Roman"/>
          <w:b/>
          <w:kern w:val="0"/>
          <w:sz w:val="24"/>
          <w:szCs w:val="24"/>
          <w:lang w:val="uk-UA" w:eastAsia="ru-RU"/>
          <w14:ligatures w14:val="none"/>
        </w:rPr>
        <w:t>378.6:355.41:351.861</w:t>
      </w:r>
    </w:p>
    <w:p w14:paraId="4C272970" w14:textId="2530A882" w:rsidR="00462322" w:rsidRDefault="00462322" w:rsidP="00462322">
      <w:pPr>
        <w:tabs>
          <w:tab w:val="left" w:pos="9638"/>
        </w:tabs>
        <w:spacing w:after="0" w:line="240" w:lineRule="auto"/>
        <w:rPr>
          <w:rFonts w:ascii="Times New Roman" w:eastAsia="Times New Roman" w:hAnsi="Times New Roman" w:cs="Times New Roman"/>
          <w:bCs/>
          <w:smallCaps/>
          <w:color w:val="000000"/>
          <w:kern w:val="0"/>
          <w:sz w:val="24"/>
          <w:szCs w:val="24"/>
          <w:lang w:val="uk-UA" w:eastAsia="ru-RU"/>
          <w14:ligatures w14:val="none"/>
        </w:rPr>
      </w:pPr>
      <w:r w:rsidRPr="00B44B71">
        <w:rPr>
          <w:rFonts w:ascii="Times New Roman" w:eastAsia="Times New Roman" w:hAnsi="Times New Roman" w:cs="Times New Roman"/>
          <w:kern w:val="0"/>
          <w:sz w:val="23"/>
          <w:szCs w:val="23"/>
          <w:lang w:val="uk-UA" w:eastAsia="ru-RU"/>
          <w14:ligatures w14:val="none"/>
        </w:rPr>
        <w:t>ISSN: 2617-1783 (online)</w:t>
      </w:r>
      <w:r w:rsidRPr="00740AAF">
        <w:rPr>
          <w:rFonts w:ascii="Times New Roman" w:eastAsia="Times New Roman" w:hAnsi="Times New Roman" w:cs="Times New Roman"/>
          <w:kern w:val="0"/>
          <w:sz w:val="23"/>
          <w:szCs w:val="23"/>
          <w:lang w:val="uk-UA" w:eastAsia="ru-RU"/>
          <w14:ligatures w14:val="none"/>
        </w:rPr>
        <w:t xml:space="preserve">                                             </w:t>
      </w:r>
      <w:r>
        <w:rPr>
          <w:rFonts w:ascii="Times New Roman" w:eastAsia="Times New Roman" w:hAnsi="Times New Roman" w:cs="Times New Roman"/>
          <w:kern w:val="0"/>
          <w:sz w:val="23"/>
          <w:szCs w:val="23"/>
          <w:lang w:val="uk-UA" w:eastAsia="ru-RU"/>
          <w14:ligatures w14:val="none"/>
        </w:rPr>
        <w:t xml:space="preserve">       </w:t>
      </w:r>
      <w:r w:rsidR="00306B98">
        <w:rPr>
          <w:rFonts w:ascii="Times New Roman" w:eastAsia="Times New Roman" w:hAnsi="Times New Roman" w:cs="Times New Roman"/>
          <w:kern w:val="0"/>
          <w:sz w:val="23"/>
          <w:szCs w:val="23"/>
          <w:lang w:eastAsia="ru-RU"/>
          <w14:ligatures w14:val="none"/>
        </w:rPr>
        <w:t xml:space="preserve">  D</w:t>
      </w:r>
      <w:r w:rsidRPr="00F96118">
        <w:rPr>
          <w:rFonts w:ascii="Times New Roman" w:eastAsia="Times New Roman" w:hAnsi="Times New Roman" w:cs="Times New Roman"/>
          <w:bCs/>
          <w:smallCaps/>
          <w:color w:val="000000"/>
          <w:kern w:val="0"/>
          <w:sz w:val="24"/>
          <w:szCs w:val="24"/>
          <w:lang w:eastAsia="ru-RU"/>
          <w14:ligatures w14:val="none"/>
        </w:rPr>
        <w:t>OI</w:t>
      </w:r>
      <w:r w:rsidRPr="00F96118">
        <w:rPr>
          <w:rFonts w:ascii="Times New Roman" w:eastAsia="Times New Roman" w:hAnsi="Times New Roman" w:cs="Times New Roman"/>
          <w:bCs/>
          <w:smallCaps/>
          <w:color w:val="000000"/>
          <w:kern w:val="0"/>
          <w:sz w:val="24"/>
          <w:szCs w:val="24"/>
          <w:lang w:val="uk-UA" w:eastAsia="ru-RU"/>
          <w14:ligatures w14:val="none"/>
        </w:rPr>
        <w:t>: 10.33099/2617-1775/202</w:t>
      </w:r>
      <w:r>
        <w:rPr>
          <w:rFonts w:ascii="Times New Roman" w:eastAsia="Times New Roman" w:hAnsi="Times New Roman" w:cs="Times New Roman"/>
          <w:bCs/>
          <w:smallCaps/>
          <w:color w:val="000000"/>
          <w:kern w:val="0"/>
          <w:sz w:val="24"/>
          <w:szCs w:val="24"/>
          <w:lang w:val="uk-UA" w:eastAsia="ru-RU"/>
          <w14:ligatures w14:val="none"/>
        </w:rPr>
        <w:t>6</w:t>
      </w:r>
      <w:r w:rsidRPr="00F96118">
        <w:rPr>
          <w:rFonts w:ascii="Times New Roman" w:eastAsia="Times New Roman" w:hAnsi="Times New Roman" w:cs="Times New Roman"/>
          <w:bCs/>
          <w:smallCaps/>
          <w:color w:val="000000"/>
          <w:kern w:val="0"/>
          <w:sz w:val="24"/>
          <w:szCs w:val="24"/>
          <w:lang w:val="uk-UA" w:eastAsia="ru-RU"/>
          <w14:ligatures w14:val="none"/>
        </w:rPr>
        <w:t>-0</w:t>
      </w:r>
      <w:r>
        <w:rPr>
          <w:rFonts w:ascii="Times New Roman" w:eastAsia="Times New Roman" w:hAnsi="Times New Roman" w:cs="Times New Roman"/>
          <w:bCs/>
          <w:smallCaps/>
          <w:color w:val="000000"/>
          <w:kern w:val="0"/>
          <w:sz w:val="24"/>
          <w:szCs w:val="24"/>
          <w:lang w:val="uk-UA" w:eastAsia="ru-RU"/>
          <w14:ligatures w14:val="none"/>
        </w:rPr>
        <w:t>1</w:t>
      </w:r>
      <w:r w:rsidRPr="00F96118">
        <w:rPr>
          <w:rFonts w:ascii="Times New Roman" w:eastAsia="Times New Roman" w:hAnsi="Times New Roman" w:cs="Times New Roman"/>
          <w:bCs/>
          <w:smallCaps/>
          <w:color w:val="000000"/>
          <w:kern w:val="0"/>
          <w:sz w:val="24"/>
          <w:szCs w:val="24"/>
          <w:lang w:val="uk-UA" w:eastAsia="ru-RU"/>
          <w14:ligatures w14:val="none"/>
        </w:rPr>
        <w:t>/</w:t>
      </w:r>
      <w:r w:rsidR="00306B98">
        <w:rPr>
          <w:rFonts w:ascii="Times New Roman" w:eastAsia="Times New Roman" w:hAnsi="Times New Roman" w:cs="Times New Roman"/>
          <w:bCs/>
          <w:smallCaps/>
          <w:color w:val="000000"/>
          <w:kern w:val="0"/>
          <w:sz w:val="24"/>
          <w:szCs w:val="24"/>
          <w:lang w:val="uk-UA" w:eastAsia="ru-RU"/>
          <w14:ligatures w14:val="none"/>
        </w:rPr>
        <w:t>257-275</w:t>
      </w:r>
    </w:p>
    <w:p w14:paraId="1DF4D34B" w14:textId="77777777" w:rsidR="00B66A78" w:rsidRDefault="00B66A78" w:rsidP="00462322">
      <w:pPr>
        <w:tabs>
          <w:tab w:val="left" w:pos="9638"/>
        </w:tabs>
        <w:spacing w:after="0" w:line="240" w:lineRule="auto"/>
        <w:rPr>
          <w:rFonts w:ascii="Times New Roman" w:eastAsia="Times New Roman" w:hAnsi="Times New Roman" w:cs="Times New Roman"/>
          <w:bCs/>
          <w:smallCaps/>
          <w:color w:val="000000"/>
          <w:kern w:val="0"/>
          <w:sz w:val="24"/>
          <w:szCs w:val="24"/>
          <w:lang w:val="uk-UA" w:eastAsia="ru-RU"/>
          <w14:ligatures w14:val="none"/>
        </w:rPr>
      </w:pPr>
    </w:p>
    <w:p w14:paraId="6BC6ACA3" w14:textId="0DBB5EA7" w:rsidR="00B44B71" w:rsidRPr="00B44B71" w:rsidRDefault="00B44B71" w:rsidP="00023291">
      <w:pPr>
        <w:widowControl w:val="0"/>
        <w:shd w:val="clear" w:color="auto" w:fill="FFFFFF"/>
        <w:tabs>
          <w:tab w:val="left" w:pos="9638"/>
        </w:tabs>
        <w:spacing w:after="0" w:line="240" w:lineRule="auto"/>
        <w:ind w:left="2977"/>
        <w:jc w:val="right"/>
        <w:rPr>
          <w:rFonts w:ascii="Times New Roman" w:eastAsia="Times New Roman" w:hAnsi="Times New Roman" w:cs="Times New Roman"/>
          <w:b/>
          <w:kern w:val="0"/>
          <w:sz w:val="24"/>
          <w:szCs w:val="24"/>
          <w:lang w:val="uk-UA" w:eastAsia="ru-RU"/>
          <w14:ligatures w14:val="none"/>
        </w:rPr>
      </w:pPr>
      <w:r w:rsidRPr="00B44B71">
        <w:rPr>
          <w:rFonts w:ascii="Times New Roman" w:eastAsia="Times New Roman" w:hAnsi="Times New Roman" w:cs="Times New Roman"/>
          <w:b/>
          <w:kern w:val="0"/>
          <w:sz w:val="24"/>
          <w:szCs w:val="24"/>
          <w:lang w:val="uk-UA" w:eastAsia="ru-RU"/>
          <w14:ligatures w14:val="none"/>
        </w:rPr>
        <w:t>Віталій САГАН</w:t>
      </w:r>
      <w:r w:rsidR="00B15B58">
        <w:rPr>
          <w:rFonts w:ascii="Times New Roman" w:eastAsia="Times New Roman" w:hAnsi="Times New Roman" w:cs="Times New Roman"/>
          <w:b/>
          <w:kern w:val="0"/>
          <w:sz w:val="24"/>
          <w:szCs w:val="24"/>
          <w:lang w:val="uk-UA" w:eastAsia="ru-RU"/>
          <w14:ligatures w14:val="none"/>
        </w:rPr>
        <w:t>,</w:t>
      </w:r>
      <w:r w:rsidRPr="00B44B71">
        <w:rPr>
          <w:rFonts w:ascii="Times New Roman" w:eastAsia="Times New Roman" w:hAnsi="Times New Roman" w:cs="Times New Roman"/>
          <w:b/>
          <w:kern w:val="0"/>
          <w:sz w:val="24"/>
          <w:szCs w:val="24"/>
          <w:lang w:val="uk-UA" w:eastAsia="ru-RU"/>
          <w14:ligatures w14:val="none"/>
        </w:rPr>
        <w:t xml:space="preserve"> </w:t>
      </w:r>
    </w:p>
    <w:p w14:paraId="3FD9DFD4" w14:textId="4EF1681B" w:rsidR="00B44B71" w:rsidRPr="00B44B71" w:rsidRDefault="00B15B58" w:rsidP="00023291">
      <w:pPr>
        <w:widowControl w:val="0"/>
        <w:shd w:val="clear" w:color="auto" w:fill="FFFFFF"/>
        <w:tabs>
          <w:tab w:val="left" w:pos="9638"/>
        </w:tabs>
        <w:spacing w:after="0" w:line="240" w:lineRule="auto"/>
        <w:ind w:left="2977"/>
        <w:jc w:val="right"/>
        <w:rPr>
          <w:rFonts w:ascii="Times New Roman" w:eastAsia="Times New Roman" w:hAnsi="Times New Roman" w:cs="Times New Roman"/>
          <w:kern w:val="0"/>
          <w:sz w:val="24"/>
          <w:szCs w:val="24"/>
          <w:lang w:val="uk-UA" w:eastAsia="ru-RU"/>
          <w14:ligatures w14:val="none"/>
        </w:rPr>
      </w:pPr>
      <w:r>
        <w:rPr>
          <w:rFonts w:ascii="Times New Roman" w:eastAsia="Times New Roman" w:hAnsi="Times New Roman" w:cs="Times New Roman"/>
          <w:kern w:val="0"/>
          <w:sz w:val="24"/>
          <w:szCs w:val="24"/>
          <w:lang w:val="uk-UA" w:eastAsia="ru-RU"/>
          <w14:ligatures w14:val="none"/>
        </w:rPr>
        <w:t>доктор філософії</w:t>
      </w:r>
      <w:r w:rsidR="00B44B71" w:rsidRPr="00B44B71">
        <w:rPr>
          <w:rFonts w:ascii="Times New Roman" w:eastAsia="Times New Roman" w:hAnsi="Times New Roman" w:cs="Times New Roman"/>
          <w:kern w:val="0"/>
          <w:sz w:val="24"/>
          <w:szCs w:val="24"/>
          <w:lang w:val="uk-UA" w:eastAsia="ru-RU"/>
          <w14:ligatures w14:val="none"/>
        </w:rPr>
        <w:t xml:space="preserve"> </w:t>
      </w:r>
    </w:p>
    <w:p w14:paraId="246C902C" w14:textId="77777777" w:rsidR="00B44B71" w:rsidRPr="00B44B71" w:rsidRDefault="00B44B71" w:rsidP="00023291">
      <w:pPr>
        <w:widowControl w:val="0"/>
        <w:shd w:val="clear" w:color="auto" w:fill="FFFFFF"/>
        <w:tabs>
          <w:tab w:val="left" w:pos="9638"/>
        </w:tabs>
        <w:spacing w:after="0" w:line="240" w:lineRule="auto"/>
        <w:ind w:left="2977"/>
        <w:jc w:val="right"/>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 xml:space="preserve">Національна академія Державної прикордонної служби України імені Богдана Хмельницького, м. Хмельницький </w:t>
      </w:r>
    </w:p>
    <w:p w14:paraId="73E3BEC0" w14:textId="77777777" w:rsidR="00B44B71" w:rsidRDefault="00B44B71" w:rsidP="00023291">
      <w:pPr>
        <w:widowControl w:val="0"/>
        <w:shd w:val="clear" w:color="auto" w:fill="FFFFFF"/>
        <w:tabs>
          <w:tab w:val="left" w:pos="9638"/>
        </w:tabs>
        <w:spacing w:after="0" w:line="240" w:lineRule="auto"/>
        <w:ind w:left="2977"/>
        <w:jc w:val="right"/>
        <w:rPr>
          <w:lang w:val="uk-UA"/>
        </w:rPr>
      </w:pPr>
      <w:hyperlink r:id="rId337" w:history="1">
        <w:r w:rsidRPr="00B44B71">
          <w:rPr>
            <w:rFonts w:ascii="Times New Roman" w:eastAsia="Times New Roman" w:hAnsi="Times New Roman" w:cs="Times New Roman"/>
            <w:color w:val="0000FF"/>
            <w:kern w:val="0"/>
            <w:sz w:val="24"/>
            <w:szCs w:val="24"/>
            <w:u w:val="single"/>
            <w:lang w:eastAsia="ru-RU"/>
            <w14:ligatures w14:val="none"/>
          </w:rPr>
          <w:t>https</w:t>
        </w:r>
        <w:r w:rsidRPr="00B44B71">
          <w:rPr>
            <w:rFonts w:ascii="Times New Roman" w:eastAsia="Times New Roman" w:hAnsi="Times New Roman" w:cs="Times New Roman"/>
            <w:color w:val="0000FF"/>
            <w:kern w:val="0"/>
            <w:sz w:val="24"/>
            <w:szCs w:val="24"/>
            <w:u w:val="single"/>
            <w:lang w:val="uk-UA" w:eastAsia="ru-RU"/>
            <w14:ligatures w14:val="none"/>
          </w:rPr>
          <w:t>://orcid.</w:t>
        </w:r>
        <w:r w:rsidRPr="00B44B71">
          <w:rPr>
            <w:rFonts w:ascii="Times New Roman" w:eastAsia="Times New Roman" w:hAnsi="Times New Roman" w:cs="Times New Roman"/>
            <w:color w:val="0000FF"/>
            <w:kern w:val="0"/>
            <w:sz w:val="24"/>
            <w:szCs w:val="24"/>
            <w:u w:val="single"/>
            <w:lang w:eastAsia="ru-RU"/>
            <w14:ligatures w14:val="none"/>
          </w:rPr>
          <w:t>org</w:t>
        </w:r>
        <w:r w:rsidRPr="00B44B71">
          <w:rPr>
            <w:rFonts w:ascii="Times New Roman" w:eastAsia="Times New Roman" w:hAnsi="Times New Roman" w:cs="Times New Roman"/>
            <w:color w:val="0000FF"/>
            <w:kern w:val="0"/>
            <w:sz w:val="24"/>
            <w:szCs w:val="24"/>
            <w:u w:val="single"/>
            <w:lang w:val="uk-UA" w:eastAsia="ru-RU"/>
            <w14:ligatures w14:val="none"/>
          </w:rPr>
          <w:t>/0000-0003-1042-8353</w:t>
        </w:r>
      </w:hyperlink>
    </w:p>
    <w:p w14:paraId="0D2F97BA" w14:textId="77777777" w:rsidR="00B66A78" w:rsidRPr="00B66A78" w:rsidRDefault="00B66A78" w:rsidP="00023291">
      <w:pPr>
        <w:widowControl w:val="0"/>
        <w:shd w:val="clear" w:color="auto" w:fill="FFFFFF"/>
        <w:tabs>
          <w:tab w:val="left" w:pos="9638"/>
        </w:tabs>
        <w:spacing w:after="0" w:line="240" w:lineRule="auto"/>
        <w:ind w:left="2977"/>
        <w:jc w:val="right"/>
        <w:rPr>
          <w:lang w:val="uk-UA"/>
        </w:rPr>
      </w:pPr>
    </w:p>
    <w:p w14:paraId="0BE68D1A" w14:textId="77777777" w:rsidR="00B44B71" w:rsidRPr="00E967C0" w:rsidRDefault="00B44B71" w:rsidP="00023291">
      <w:pPr>
        <w:widowControl w:val="0"/>
        <w:tabs>
          <w:tab w:val="left" w:pos="9638"/>
        </w:tabs>
        <w:spacing w:after="0" w:line="240" w:lineRule="auto"/>
        <w:jc w:val="center"/>
        <w:rPr>
          <w:rFonts w:ascii="Times New Roman" w:eastAsia="Times New Roman" w:hAnsi="Times New Roman" w:cs="Times New Roman"/>
          <w:b/>
          <w:kern w:val="0"/>
          <w:sz w:val="24"/>
          <w:szCs w:val="24"/>
          <w:lang w:val="uk-UA" w:eastAsia="ru-RU"/>
          <w14:ligatures w14:val="none"/>
        </w:rPr>
      </w:pPr>
      <w:r w:rsidRPr="00E967C0">
        <w:rPr>
          <w:rFonts w:ascii="Times New Roman" w:eastAsia="Times New Roman" w:hAnsi="Times New Roman" w:cs="Times New Roman"/>
          <w:b/>
          <w:kern w:val="0"/>
          <w:sz w:val="24"/>
          <w:szCs w:val="24"/>
          <w:lang w:val="uk-UA" w:eastAsia="ru-RU"/>
          <w14:ligatures w14:val="none"/>
        </w:rPr>
        <w:t>ПІДГОТОВКА ОФІЦЕРІВ ЛОГІСТИКИ ДЕРЖАВНОЇ ПРИКОРДОННОЇ СЛУЖБИ УКРАЇНИ В СУЧАСНИХ УМОВАХ ВЕДЕННЯ БОЙОВИХ ДІЙ</w:t>
      </w:r>
    </w:p>
    <w:p w14:paraId="26BFE448" w14:textId="77777777" w:rsidR="00B44B71" w:rsidRPr="00B44B71" w:rsidRDefault="00B44B71" w:rsidP="00023291">
      <w:pPr>
        <w:widowControl w:val="0"/>
        <w:tabs>
          <w:tab w:val="left" w:pos="9638"/>
        </w:tabs>
        <w:spacing w:after="0" w:line="240" w:lineRule="auto"/>
        <w:jc w:val="center"/>
        <w:rPr>
          <w:rFonts w:ascii="Times New Roman" w:eastAsia="Times New Roman" w:hAnsi="Times New Roman" w:cs="Times New Roman"/>
          <w:b/>
          <w:kern w:val="0"/>
          <w:sz w:val="28"/>
          <w:szCs w:val="28"/>
          <w:lang w:val="uk-UA" w:eastAsia="ru-RU"/>
          <w14:ligatures w14:val="none"/>
        </w:rPr>
      </w:pPr>
      <w:r w:rsidRPr="00B44B71">
        <w:rPr>
          <w:rFonts w:ascii="Times New Roman" w:eastAsia="Times New Roman" w:hAnsi="Times New Roman" w:cs="Times New Roman"/>
          <w:b/>
          <w:kern w:val="0"/>
          <w:sz w:val="28"/>
          <w:szCs w:val="28"/>
          <w:lang w:val="uk-UA" w:eastAsia="ru-RU"/>
          <w14:ligatures w14:val="none"/>
        </w:rPr>
        <w:t xml:space="preserve"> </w:t>
      </w:r>
    </w:p>
    <w:p w14:paraId="2AA573B7" w14:textId="77777777" w:rsidR="00B44B71" w:rsidRPr="00B44B71" w:rsidRDefault="00B44B71" w:rsidP="00023291">
      <w:pPr>
        <w:tabs>
          <w:tab w:val="left" w:pos="9638"/>
        </w:tabs>
        <w:spacing w:after="0" w:line="240" w:lineRule="auto"/>
        <w:ind w:right="-2" w:firstLine="709"/>
        <w:jc w:val="both"/>
        <w:rPr>
          <w:rFonts w:ascii="Times New Roman" w:eastAsia="Times New Roman" w:hAnsi="Times New Roman" w:cs="Times New Roman"/>
          <w:i/>
          <w:kern w:val="0"/>
          <w:sz w:val="24"/>
          <w:szCs w:val="24"/>
          <w:lang w:val="uk-UA" w:eastAsia="uk-UA"/>
          <w14:ligatures w14:val="none"/>
        </w:rPr>
      </w:pPr>
      <w:r w:rsidRPr="00B44B71">
        <w:rPr>
          <w:rFonts w:ascii="Times New Roman" w:eastAsia="Times New Roman" w:hAnsi="Times New Roman" w:cs="Times New Roman"/>
          <w:i/>
          <w:kern w:val="0"/>
          <w:sz w:val="24"/>
          <w:szCs w:val="24"/>
          <w:lang w:val="uk-UA" w:eastAsia="ru-RU"/>
          <w14:ligatures w14:val="none"/>
        </w:rPr>
        <w:t>У статті досліджено актуальні питання трансформації системи підготовки офіцерів логістики Державної прикордонної служби України в умовах повномасштабної збройної агресії та інтеграції підрозділів у систему спільних дій із Збройними Силами України. Обґрунтовано необхідність переходу від традиційної моделі тилового забезпечення до сучасної системи логістичного забезпечення, орієнтованої на стандарти НАТО та принципи інтегрованого управління ресурсами.</w:t>
      </w:r>
    </w:p>
    <w:p w14:paraId="28550EB5" w14:textId="77777777" w:rsidR="00B44B71" w:rsidRPr="00B44B71" w:rsidRDefault="00B44B71" w:rsidP="00023291">
      <w:pPr>
        <w:tabs>
          <w:tab w:val="left" w:pos="9638"/>
        </w:tabs>
        <w:spacing w:after="0" w:line="240" w:lineRule="auto"/>
        <w:ind w:right="-2" w:firstLine="709"/>
        <w:jc w:val="both"/>
        <w:rPr>
          <w:rFonts w:ascii="Times New Roman" w:eastAsia="Times New Roman" w:hAnsi="Times New Roman" w:cs="Times New Roman"/>
          <w:i/>
          <w:kern w:val="0"/>
          <w:sz w:val="24"/>
          <w:szCs w:val="24"/>
          <w:lang w:val="uk-UA" w:eastAsia="ru-RU"/>
          <w14:ligatures w14:val="none"/>
        </w:rPr>
      </w:pPr>
      <w:r w:rsidRPr="00B44B71">
        <w:rPr>
          <w:rFonts w:ascii="Times New Roman" w:eastAsia="Times New Roman" w:hAnsi="Times New Roman" w:cs="Times New Roman"/>
          <w:i/>
          <w:kern w:val="0"/>
          <w:sz w:val="24"/>
          <w:szCs w:val="24"/>
          <w:lang w:val="uk-UA" w:eastAsia="ru-RU"/>
          <w14:ligatures w14:val="none"/>
        </w:rPr>
        <w:t>Проаналізовано досвід виконання бойових (спеціальних) завдань підрозділами ДПСУ, а також результати наукових досліджень, що дозволило визначити ключові вимоги до підготовки офіцера логістики нового покоління. Встановлено, що сучасний офіцер логістики має володіти компетентностями щодо управління логістичними процесами в умовах динамічної бойової обстановки, забезпечення міжвідомчої взаємодії, використання автоматизованих систем управління та прийняття рішень в умовах невизначеності.</w:t>
      </w:r>
    </w:p>
    <w:p w14:paraId="62220211" w14:textId="77777777" w:rsidR="00B44B71" w:rsidRPr="00B44B71" w:rsidRDefault="00B44B71" w:rsidP="00023291">
      <w:pPr>
        <w:tabs>
          <w:tab w:val="left" w:pos="9638"/>
        </w:tabs>
        <w:spacing w:after="0" w:line="240" w:lineRule="auto"/>
        <w:ind w:right="-2" w:firstLine="709"/>
        <w:jc w:val="both"/>
        <w:rPr>
          <w:rFonts w:ascii="Times New Roman" w:eastAsia="Times New Roman" w:hAnsi="Times New Roman" w:cs="Times New Roman"/>
          <w:i/>
          <w:kern w:val="0"/>
          <w:sz w:val="24"/>
          <w:szCs w:val="24"/>
          <w:lang w:val="uk-UA" w:eastAsia="ru-RU"/>
          <w14:ligatures w14:val="none"/>
        </w:rPr>
      </w:pPr>
      <w:r w:rsidRPr="00B44B71">
        <w:rPr>
          <w:rFonts w:ascii="Times New Roman" w:eastAsia="Times New Roman" w:hAnsi="Times New Roman" w:cs="Times New Roman"/>
          <w:i/>
          <w:kern w:val="0"/>
          <w:sz w:val="24"/>
          <w:szCs w:val="24"/>
          <w:lang w:val="uk-UA" w:eastAsia="ru-RU"/>
          <w14:ligatures w14:val="none"/>
        </w:rPr>
        <w:t>Запропоновано напрями удосконалення освітнього процесу в Національній академії Державної прикордонної служби України, зокрема впровадження практикоорієнтованих методів навчання, імітаційного моделювання, цифрових логістичних систем та роботизованих технологій. Визначено доцільність формування підготовки за кластерним підходом, що охоплює управлінсько-технологічний, оперативно-тактичний та інформаційно-аналітичний компоненти.</w:t>
      </w:r>
    </w:p>
    <w:p w14:paraId="4DB6333C" w14:textId="77777777" w:rsidR="00B44B71" w:rsidRPr="00B44B71" w:rsidRDefault="00B44B71" w:rsidP="00023291">
      <w:pPr>
        <w:tabs>
          <w:tab w:val="left" w:pos="9638"/>
        </w:tabs>
        <w:spacing w:after="0" w:line="240" w:lineRule="auto"/>
        <w:ind w:right="-2" w:firstLine="709"/>
        <w:jc w:val="both"/>
        <w:rPr>
          <w:rFonts w:ascii="Times New Roman" w:eastAsia="Times New Roman" w:hAnsi="Times New Roman" w:cs="Times New Roman"/>
          <w:i/>
          <w:kern w:val="0"/>
          <w:sz w:val="24"/>
          <w:szCs w:val="24"/>
          <w:lang w:val="uk-UA" w:eastAsia="ru-RU"/>
          <w14:ligatures w14:val="none"/>
        </w:rPr>
      </w:pPr>
      <w:r w:rsidRPr="00B44B71">
        <w:rPr>
          <w:rFonts w:ascii="Times New Roman" w:eastAsia="Times New Roman" w:hAnsi="Times New Roman" w:cs="Times New Roman"/>
          <w:i/>
          <w:kern w:val="0"/>
          <w:sz w:val="24"/>
          <w:szCs w:val="24"/>
          <w:lang w:val="uk-UA" w:eastAsia="ru-RU"/>
          <w14:ligatures w14:val="none"/>
        </w:rPr>
        <w:t>Доведено, що модернізація змісту освітньо-професійних програм є необхідною умовою підвищення ефективності логістичного забезпечення підрозділів ДПСУ та їх здатності діяти в єдиному логістичному просторі Сил оборони України.</w:t>
      </w:r>
    </w:p>
    <w:p w14:paraId="61D859EA" w14:textId="77777777" w:rsidR="00B44B71" w:rsidRPr="00B44B71" w:rsidRDefault="00B44B71" w:rsidP="00023291">
      <w:pPr>
        <w:tabs>
          <w:tab w:val="left" w:pos="9638"/>
        </w:tabs>
        <w:spacing w:after="0" w:line="240" w:lineRule="auto"/>
        <w:ind w:right="-2" w:firstLine="709"/>
        <w:jc w:val="both"/>
        <w:rPr>
          <w:rFonts w:ascii="Times New Roman" w:eastAsia="Times New Roman" w:hAnsi="Times New Roman" w:cs="Times New Roman"/>
          <w:i/>
          <w:kern w:val="0"/>
          <w:sz w:val="24"/>
          <w:szCs w:val="24"/>
          <w:lang w:val="uk-UA" w:eastAsia="ru-RU"/>
          <w14:ligatures w14:val="none"/>
        </w:rPr>
      </w:pPr>
      <w:r w:rsidRPr="00B44B71">
        <w:rPr>
          <w:rFonts w:ascii="Times New Roman" w:eastAsia="Times New Roman" w:hAnsi="Times New Roman" w:cs="Times New Roman"/>
          <w:b/>
          <w:bCs/>
          <w:i/>
          <w:kern w:val="0"/>
          <w:sz w:val="24"/>
          <w:szCs w:val="24"/>
          <w:lang w:val="uk-UA" w:eastAsia="ru-RU"/>
          <w14:ligatures w14:val="none"/>
        </w:rPr>
        <w:t>Ключові слова:</w:t>
      </w:r>
      <w:r w:rsidRPr="00B44B71">
        <w:rPr>
          <w:rFonts w:ascii="Times New Roman" w:eastAsia="Times New Roman" w:hAnsi="Times New Roman" w:cs="Times New Roman"/>
          <w:i/>
          <w:kern w:val="0"/>
          <w:sz w:val="24"/>
          <w:szCs w:val="24"/>
          <w:lang w:val="uk-UA" w:eastAsia="ru-RU"/>
          <w14:ligatures w14:val="none"/>
        </w:rPr>
        <w:t xml:space="preserve"> здобувачі вищої освіти; Національна академія Державної прикордонної служби України; освітньо-професійна програма; підготовка; логістика; тилове забезпечення; бойові дії.</w:t>
      </w:r>
    </w:p>
    <w:p w14:paraId="43FE4D09" w14:textId="77777777" w:rsidR="00B44B71" w:rsidRPr="00B44B71" w:rsidRDefault="00B44B71" w:rsidP="00023291">
      <w:pPr>
        <w:widowControl w:val="0"/>
        <w:tabs>
          <w:tab w:val="left" w:pos="9638"/>
        </w:tabs>
        <w:spacing w:after="0" w:line="240" w:lineRule="auto"/>
        <w:ind w:right="-2" w:firstLine="709"/>
        <w:jc w:val="both"/>
        <w:rPr>
          <w:rFonts w:ascii="Times New Roman" w:eastAsia="Times New Roman" w:hAnsi="Times New Roman" w:cs="Times New Roman"/>
          <w:b/>
          <w:kern w:val="0"/>
          <w:sz w:val="28"/>
          <w:szCs w:val="28"/>
          <w:lang w:val="uk-UA" w:eastAsia="ru-RU"/>
          <w14:ligatures w14:val="none"/>
        </w:rPr>
      </w:pPr>
    </w:p>
    <w:p w14:paraId="0DDE22BF" w14:textId="77777777" w:rsidR="00B44B71" w:rsidRPr="00B44B71" w:rsidRDefault="00B44B71" w:rsidP="00023291">
      <w:pPr>
        <w:tabs>
          <w:tab w:val="left" w:pos="9638"/>
        </w:tabs>
        <w:spacing w:after="0" w:line="240" w:lineRule="auto"/>
        <w:ind w:right="-2" w:firstLine="709"/>
        <w:jc w:val="both"/>
        <w:outlineLvl w:val="2"/>
        <w:rPr>
          <w:rFonts w:ascii="Times New Roman" w:eastAsia="Times New Roman" w:hAnsi="Times New Roman" w:cs="Times New Roman"/>
          <w:b/>
          <w:bCs/>
          <w:kern w:val="0"/>
          <w:sz w:val="28"/>
          <w:szCs w:val="28"/>
          <w:lang w:val="uk-UA" w:eastAsia="ru-RU"/>
          <w14:ligatures w14:val="none"/>
        </w:rPr>
      </w:pPr>
      <w:r w:rsidRPr="00B44B71">
        <w:rPr>
          <w:rFonts w:ascii="Times New Roman" w:eastAsia="Times New Roman" w:hAnsi="Times New Roman" w:cs="Times New Roman"/>
          <w:b/>
          <w:bCs/>
          <w:kern w:val="0"/>
          <w:sz w:val="28"/>
          <w:szCs w:val="28"/>
          <w:lang w:val="uk-UA" w:eastAsia="ru-RU"/>
          <w14:ligatures w14:val="none"/>
        </w:rPr>
        <w:t xml:space="preserve">Постановка проблеми. </w:t>
      </w:r>
      <w:r w:rsidRPr="00B44B71">
        <w:rPr>
          <w:rFonts w:ascii="Times New Roman" w:eastAsia="Times New Roman" w:hAnsi="Times New Roman" w:cs="Times New Roman"/>
          <w:kern w:val="0"/>
          <w:sz w:val="28"/>
          <w:szCs w:val="28"/>
          <w:lang w:val="uk-UA" w:eastAsia="ru-RU"/>
          <w14:ligatures w14:val="none"/>
        </w:rPr>
        <w:t xml:space="preserve">Сучасні умови ведення бойових дій та інтеграція України до системи колективної безпеки НАТО зумовлюють необхідність трансформації підходів до управління ресурсами у секторі безпеки і оборони. У цих умовах особливого значення набуває підготовка офіцерів логістики, здатних виконувати функції організаторів та координаторів логістичних процесів. При цьому слід зазначити, що з початком проведення антитерористичної операції (АТО), операції Об’єднаних сил (ООС), а також у період повномасштабного вторгнення суттєво трансформувалися як функції офіцерів матеріального забезпечення, так і завдання, що покладаються на служби забезпечення щодо забезпечення підрозділів Державної прикордонної служби України (далі – ДПСУ) матеріальними засобами, а також умови їх виконання. З цією метою </w:t>
      </w:r>
      <w:r w:rsidRPr="00B44B71">
        <w:rPr>
          <w:rFonts w:ascii="Times New Roman" w:eastAsia="Times New Roman" w:hAnsi="Times New Roman" w:cs="Times New Roman"/>
          <w:kern w:val="0"/>
          <w:sz w:val="28"/>
          <w:szCs w:val="28"/>
          <w:lang w:val="uk-UA" w:eastAsia="ru-RU"/>
          <w14:ligatures w14:val="none"/>
        </w:rPr>
        <w:lastRenderedPageBreak/>
        <w:t xml:space="preserve">державою ініційовано низку нормативно-правових документів щодо логістичного забезпечення. </w:t>
      </w:r>
      <w:r w:rsidRPr="00B44B71">
        <w:rPr>
          <w:rFonts w:ascii="Times New Roman" w:eastAsia="Times New Roman" w:hAnsi="Times New Roman" w:cs="Times New Roman"/>
          <w:bCs/>
          <w:kern w:val="0"/>
          <w:sz w:val="28"/>
          <w:szCs w:val="28"/>
          <w:lang w:val="uk-UA" w:eastAsia="ru-RU"/>
          <w14:ligatures w14:val="none"/>
        </w:rPr>
        <w:t>Логістичне забезпечення передбачає:</w:t>
      </w:r>
      <w:r w:rsidRPr="00B44B71">
        <w:rPr>
          <w:rFonts w:ascii="Times New Roman" w:eastAsia="Times New Roman" w:hAnsi="Times New Roman" w:cs="Times New Roman"/>
          <w:kern w:val="0"/>
          <w:sz w:val="28"/>
          <w:szCs w:val="28"/>
          <w:lang w:val="uk-UA" w:eastAsia="ru-RU"/>
          <w14:ligatures w14:val="none"/>
        </w:rPr>
        <w:t xml:space="preserve"> системну інтеграцію процесів планування, формування запасів та їх ешелонування, а також безпосереднє постачання матеріальних засобів за </w:t>
      </w:r>
      <w:r w:rsidRPr="00B44B71">
        <w:rPr>
          <w:rFonts w:ascii="Times New Roman" w:eastAsia="Times New Roman" w:hAnsi="Times New Roman" w:cs="Times New Roman"/>
          <w:bCs/>
          <w:kern w:val="0"/>
          <w:sz w:val="28"/>
          <w:szCs w:val="28"/>
          <w:lang w:val="uk-UA" w:eastAsia="ru-RU"/>
          <w14:ligatures w14:val="none"/>
        </w:rPr>
        <w:t>класами постачання</w:t>
      </w:r>
      <w:r w:rsidRPr="00B44B71">
        <w:rPr>
          <w:rFonts w:ascii="Times New Roman" w:eastAsia="Times New Roman" w:hAnsi="Times New Roman" w:cs="Times New Roman"/>
          <w:kern w:val="0"/>
          <w:sz w:val="28"/>
          <w:szCs w:val="28"/>
          <w:lang w:val="uk-UA" w:eastAsia="ru-RU"/>
          <w14:ligatures w14:val="none"/>
        </w:rPr>
        <w:t xml:space="preserve">. Воно базується на принципах безперервності, гнучкості та достатності ресурсів для сил оборони як під час їх підготовки, так і під час оперативно-тактичного застосування. </w:t>
      </w:r>
    </w:p>
    <w:p w14:paraId="1DE7B003"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ru-RU"/>
          <w14:ligatures w14:val="none"/>
        </w:rPr>
        <w:t>Відповідно до постанови Кабінету Міністрів України «</w:t>
      </w:r>
      <w:r w:rsidRPr="00B44B71">
        <w:rPr>
          <w:rFonts w:ascii="Times New Roman" w:eastAsia="Times New Roman" w:hAnsi="Times New Roman" w:cs="Times New Roman"/>
          <w:bCs/>
          <w:kern w:val="0"/>
          <w:sz w:val="28"/>
          <w:szCs w:val="28"/>
          <w:shd w:val="clear" w:color="auto" w:fill="FFFFFF"/>
          <w:lang w:val="uk-UA" w:eastAsia="ru-RU"/>
          <w14:ligatures w14:val="none"/>
        </w:rPr>
        <w:t>Про затвердження Порядку логістичного забезпечення сил оборони під час виконання завдань з оборони держави, захисту її суверенітету, територіальної цілісності та недоторканності» [1]</w:t>
      </w:r>
      <w:r w:rsidRPr="00B44B71">
        <w:rPr>
          <w:rFonts w:ascii="Times New Roman" w:eastAsia="Times New Roman" w:hAnsi="Times New Roman" w:cs="Times New Roman"/>
          <w:kern w:val="0"/>
          <w:sz w:val="28"/>
          <w:szCs w:val="28"/>
          <w:lang w:val="uk-UA" w:eastAsia="ru-RU"/>
          <w14:ligatures w14:val="none"/>
        </w:rPr>
        <w:t xml:space="preserve"> та</w:t>
      </w:r>
      <w:r w:rsidRPr="00B44B71">
        <w:rPr>
          <w:rFonts w:ascii="Times New Roman" w:eastAsia="Times New Roman" w:hAnsi="Times New Roman" w:cs="Times New Roman"/>
          <w:kern w:val="0"/>
          <w:sz w:val="28"/>
          <w:szCs w:val="28"/>
          <w:shd w:val="clear" w:color="auto" w:fill="FFFFFF"/>
          <w:lang w:val="uk-UA" w:eastAsia="ru-RU"/>
          <w14:ligatures w14:val="none"/>
        </w:rPr>
        <w:t xml:space="preserve"> Доктрини «Об’єднана логістика» Головного управління логістики Генерального штабу Збройних Сил України </w:t>
      </w:r>
      <w:r w:rsidRPr="00B44B71">
        <w:rPr>
          <w:rFonts w:ascii="Times New Roman" w:eastAsia="Times New Roman" w:hAnsi="Times New Roman" w:cs="Times New Roman"/>
          <w:kern w:val="0"/>
          <w:sz w:val="28"/>
          <w:szCs w:val="28"/>
          <w:lang w:val="uk-UA" w:eastAsia="ru-RU"/>
          <w14:ligatures w14:val="none"/>
        </w:rPr>
        <w:t xml:space="preserve">[2] термін «тилове забезпечення» фактично трансформовано у складну систему </w:t>
      </w:r>
      <w:r w:rsidRPr="00B44B71">
        <w:rPr>
          <w:rFonts w:ascii="Times New Roman" w:eastAsia="Times New Roman" w:hAnsi="Times New Roman" w:cs="Times New Roman"/>
          <w:bCs/>
          <w:kern w:val="0"/>
          <w:sz w:val="28"/>
          <w:szCs w:val="28"/>
          <w:lang w:val="uk-UA" w:eastAsia="ru-RU"/>
          <w14:ligatures w14:val="none"/>
        </w:rPr>
        <w:t>логістичного забезпечення</w:t>
      </w:r>
      <w:r w:rsidRPr="00B44B71">
        <w:rPr>
          <w:rFonts w:ascii="Times New Roman" w:eastAsia="Times New Roman" w:hAnsi="Times New Roman" w:cs="Times New Roman"/>
          <w:kern w:val="0"/>
          <w:sz w:val="28"/>
          <w:szCs w:val="28"/>
          <w:lang w:val="uk-UA" w:eastAsia="ru-RU"/>
          <w14:ligatures w14:val="none"/>
        </w:rPr>
        <w:t xml:space="preserve">. </w:t>
      </w:r>
    </w:p>
    <w:p w14:paraId="5C582686"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Попри нормативне врегулювання, аналіз поточної ситуації свідчить про певний розрив між теоретичними моделями підготовки фахівців тилового забезпечення ДПСУ та реальними викликами бойової обстановки. У контексті взаємодії підрозділів ДПСУ, які залучені до виконання бойових діях, з органами військового управління Збройних Сил України (далі - ЗСУ) критичного значення набувають такі: </w:t>
      </w:r>
      <w:r w:rsidRPr="00B44B71">
        <w:rPr>
          <w:rFonts w:ascii="Times New Roman" w:eastAsia="Times New Roman" w:hAnsi="Times New Roman" w:cs="Times New Roman"/>
          <w:bCs/>
          <w:kern w:val="0"/>
          <w:sz w:val="28"/>
          <w:szCs w:val="28"/>
          <w:lang w:val="uk-UA" w:eastAsia="ru-RU"/>
          <w14:ligatures w14:val="none"/>
        </w:rPr>
        <w:t>технологічна адаптація (</w:t>
      </w:r>
      <w:r w:rsidRPr="00B44B71">
        <w:rPr>
          <w:rFonts w:ascii="Times New Roman" w:eastAsia="Times New Roman" w:hAnsi="Times New Roman" w:cs="Times New Roman"/>
          <w:kern w:val="0"/>
          <w:sz w:val="28"/>
          <w:szCs w:val="28"/>
          <w:lang w:val="uk-UA" w:eastAsia="ru-RU"/>
          <w14:ligatures w14:val="none"/>
        </w:rPr>
        <w:t xml:space="preserve">необхідність опанування фахівцями новітніх  технологій автономного енергозабезпечення для енергонезалежності підрозділів на «нулі»); </w:t>
      </w:r>
      <w:r w:rsidRPr="00B44B71">
        <w:rPr>
          <w:rFonts w:ascii="Times New Roman" w:eastAsia="Times New Roman" w:hAnsi="Times New Roman" w:cs="Times New Roman"/>
          <w:bCs/>
          <w:kern w:val="0"/>
          <w:sz w:val="28"/>
          <w:szCs w:val="28"/>
          <w:lang w:val="uk-UA" w:eastAsia="ru-RU"/>
          <w14:ligatures w14:val="none"/>
        </w:rPr>
        <w:t>інноваційна доставка (</w:t>
      </w:r>
      <w:r w:rsidRPr="00B44B71">
        <w:rPr>
          <w:rFonts w:ascii="Times New Roman" w:eastAsia="Times New Roman" w:hAnsi="Times New Roman" w:cs="Times New Roman"/>
          <w:kern w:val="0"/>
          <w:sz w:val="28"/>
          <w:szCs w:val="28"/>
          <w:lang w:val="uk-UA" w:eastAsia="ru-RU"/>
          <w14:ligatures w14:val="none"/>
        </w:rPr>
        <w:t>упровадження наземних роботизованих систем (далі</w:t>
      </w:r>
      <w:r w:rsidRPr="00B44B71">
        <w:rPr>
          <w:rFonts w:ascii="Times New Roman" w:eastAsia="Times New Roman" w:hAnsi="Times New Roman" w:cs="Times New Roman"/>
          <w:kern w:val="0"/>
          <w:sz w:val="28"/>
          <w:szCs w:val="28"/>
          <w:lang w:val="ru-RU" w:eastAsia="ru-RU"/>
          <w14:ligatures w14:val="none"/>
        </w:rPr>
        <w:t> </w:t>
      </w:r>
      <w:r w:rsidRPr="00B44B71">
        <w:rPr>
          <w:rFonts w:ascii="Times New Roman" w:eastAsia="Times New Roman" w:hAnsi="Times New Roman" w:cs="Times New Roman"/>
          <w:kern w:val="0"/>
          <w:sz w:val="28"/>
          <w:szCs w:val="28"/>
          <w:lang w:val="uk-UA" w:eastAsia="ru-RU"/>
          <w14:ligatures w14:val="none"/>
        </w:rPr>
        <w:t xml:space="preserve">- НРС) для доставки матеріальних засобів (боєприпасів, продовольства, медикаментів, пального) у зони високого вогневого впливу, що мінімізує ризики для особового складу); </w:t>
      </w:r>
      <w:r w:rsidRPr="00B44B71">
        <w:rPr>
          <w:rFonts w:ascii="Times New Roman" w:eastAsia="Times New Roman" w:hAnsi="Times New Roman" w:cs="Times New Roman"/>
          <w:bCs/>
          <w:kern w:val="0"/>
          <w:sz w:val="28"/>
          <w:szCs w:val="28"/>
          <w:lang w:val="uk-UA" w:eastAsia="ru-RU"/>
          <w14:ligatures w14:val="none"/>
        </w:rPr>
        <w:t>цифровізація обліку (</w:t>
      </w:r>
      <w:r w:rsidRPr="00B44B71">
        <w:rPr>
          <w:rFonts w:ascii="Times New Roman" w:eastAsia="Times New Roman" w:hAnsi="Times New Roman" w:cs="Times New Roman"/>
          <w:kern w:val="0"/>
          <w:sz w:val="28"/>
          <w:szCs w:val="28"/>
          <w:lang w:val="uk-UA" w:eastAsia="ru-RU"/>
          <w14:ligatures w14:val="none"/>
        </w:rPr>
        <w:t xml:space="preserve">перехід від паперової системи обліку до автоматизованих систем управління (наприклад, </w:t>
      </w:r>
      <w:r w:rsidRPr="00B44B71">
        <w:rPr>
          <w:rFonts w:ascii="Times New Roman" w:eastAsia="Times New Roman" w:hAnsi="Times New Roman" w:cs="Times New Roman"/>
          <w:bCs/>
          <w:kern w:val="0"/>
          <w:sz w:val="28"/>
          <w:szCs w:val="28"/>
          <w:lang w:val="uk-UA" w:eastAsia="ru-RU"/>
          <w14:ligatures w14:val="none"/>
        </w:rPr>
        <w:t>SAP</w:t>
      </w:r>
      <w:r w:rsidRPr="00B44B71">
        <w:rPr>
          <w:rFonts w:ascii="Times New Roman" w:eastAsia="Times New Roman" w:hAnsi="Times New Roman" w:cs="Times New Roman"/>
          <w:kern w:val="0"/>
          <w:sz w:val="28"/>
          <w:szCs w:val="28"/>
          <w:lang w:val="uk-UA" w:eastAsia="ru-RU"/>
          <w14:ligatures w14:val="none"/>
        </w:rPr>
        <w:t xml:space="preserve">, </w:t>
      </w:r>
      <w:r w:rsidRPr="00B44B71">
        <w:rPr>
          <w:rFonts w:ascii="Times New Roman" w:eastAsia="Times New Roman" w:hAnsi="Times New Roman" w:cs="Times New Roman"/>
          <w:bCs/>
          <w:kern w:val="0"/>
          <w:sz w:val="28"/>
          <w:szCs w:val="28"/>
          <w:lang w:val="uk-UA" w:eastAsia="ru-RU"/>
          <w14:ligatures w14:val="none"/>
        </w:rPr>
        <w:t>LOGFAS</w:t>
      </w:r>
      <w:r w:rsidRPr="00B44B71">
        <w:rPr>
          <w:rFonts w:ascii="Times New Roman" w:eastAsia="Times New Roman" w:hAnsi="Times New Roman" w:cs="Times New Roman"/>
          <w:kern w:val="0"/>
          <w:sz w:val="28"/>
          <w:szCs w:val="28"/>
          <w:lang w:val="uk-UA" w:eastAsia="ru-RU"/>
          <w14:ligatures w14:val="none"/>
        </w:rPr>
        <w:t>), що є особливо важливим у питаннях обліку та списання майна, втраченого (знищеного) під час бойових дій).</w:t>
      </w:r>
    </w:p>
    <w:p w14:paraId="3CCACECD"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Отже, розрив між підготовкою кадрів і вимогами сучасної війни полягає не лише в технічних навичках, а й у вмінні оперувати категоріями «логістичного забезпечення» та «класів постачання» в умовах єдиного інформаційного простору Сил оборони. </w:t>
      </w:r>
    </w:p>
    <w:p w14:paraId="4B6C6C6F"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У зв’язку з цим особливої актуальності набуває питання підготовки офіцера логістики ДПСУ як фахівця, здатного забезпечувати функціонування логістичних процесів у складі міжвідомчих угруповань сил оборони в умовах ведення бойових дій. Практика виконання підрозділами ДПСУ бойових і спеціальних завдань у період 2022–2026 років засвідчила необхідність формування у майбутніх офіцерів логістики нових професійних компетентностей, пов’язаних із організацією забезпечення підрозділів у складній оперативній обстановці, використанням автоматизованих систем управління ресурсами та забезпеченням взаємодії з логістичними структурами ЗСУ.</w:t>
      </w:r>
    </w:p>
    <w:p w14:paraId="1988AFA0"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ru-RU"/>
          <w14:ligatures w14:val="none"/>
        </w:rPr>
        <w:t xml:space="preserve">Окремої уваги потребує вирішення суперечності, що виникає в процесі спільного виконання завдань підрозділами ДПСУ та ЗСУ. На сьогодні </w:t>
      </w:r>
      <w:r w:rsidRPr="00B44B71">
        <w:rPr>
          <w:rFonts w:ascii="Times New Roman" w:eastAsia="Times New Roman" w:hAnsi="Times New Roman" w:cs="Times New Roman"/>
          <w:kern w:val="0"/>
          <w:sz w:val="28"/>
          <w:szCs w:val="28"/>
          <w:lang w:val="uk-UA" w:eastAsia="ru-RU"/>
          <w14:ligatures w14:val="none"/>
        </w:rPr>
        <w:lastRenderedPageBreak/>
        <w:t>спостерігається інституційна неузгодженість структурно-функціональних моделей забезпечення.</w:t>
      </w:r>
    </w:p>
    <w:p w14:paraId="2BC643AD"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У той час як </w:t>
      </w:r>
      <w:r w:rsidRPr="00B44B71">
        <w:rPr>
          <w:rFonts w:ascii="Times New Roman" w:eastAsia="Times New Roman" w:hAnsi="Times New Roman" w:cs="Times New Roman"/>
          <w:bCs/>
          <w:kern w:val="0"/>
          <w:sz w:val="28"/>
          <w:szCs w:val="28"/>
          <w:lang w:val="uk-UA" w:eastAsia="ru-RU"/>
          <w14:ligatures w14:val="none"/>
        </w:rPr>
        <w:t>ДПСУ</w:t>
      </w:r>
      <w:r w:rsidRPr="00B44B71">
        <w:rPr>
          <w:rFonts w:ascii="Times New Roman" w:eastAsia="Times New Roman" w:hAnsi="Times New Roman" w:cs="Times New Roman"/>
          <w:kern w:val="0"/>
          <w:sz w:val="28"/>
          <w:szCs w:val="28"/>
          <w:lang w:val="uk-UA" w:eastAsia="ru-RU"/>
          <w14:ligatures w14:val="none"/>
        </w:rPr>
        <w:t xml:space="preserve"> продовжує функціонувати в межах вертикалі </w:t>
      </w:r>
      <w:r w:rsidRPr="00B44B71">
        <w:rPr>
          <w:rFonts w:ascii="Times New Roman" w:eastAsia="Times New Roman" w:hAnsi="Times New Roman" w:cs="Times New Roman"/>
          <w:bCs/>
          <w:kern w:val="0"/>
          <w:sz w:val="28"/>
          <w:szCs w:val="28"/>
          <w:lang w:val="uk-UA" w:eastAsia="ru-RU"/>
          <w14:ligatures w14:val="none"/>
        </w:rPr>
        <w:t>тилового забезпечення</w:t>
      </w:r>
      <w:r w:rsidRPr="00B44B71">
        <w:rPr>
          <w:rFonts w:ascii="Times New Roman" w:eastAsia="Times New Roman" w:hAnsi="Times New Roman" w:cs="Times New Roman"/>
          <w:kern w:val="0"/>
          <w:sz w:val="28"/>
          <w:szCs w:val="28"/>
          <w:lang w:val="uk-UA" w:eastAsia="ru-RU"/>
          <w14:ligatures w14:val="none"/>
        </w:rPr>
        <w:t xml:space="preserve"> (базуючись на роботі Департаменту матеріального та технічного забезпечення), </w:t>
      </w:r>
      <w:r w:rsidRPr="00B44B71">
        <w:rPr>
          <w:rFonts w:ascii="Times New Roman" w:eastAsia="Times New Roman" w:hAnsi="Times New Roman" w:cs="Times New Roman"/>
          <w:bCs/>
          <w:kern w:val="0"/>
          <w:sz w:val="28"/>
          <w:szCs w:val="28"/>
          <w:lang w:val="uk-UA" w:eastAsia="ru-RU"/>
          <w14:ligatures w14:val="none"/>
        </w:rPr>
        <w:t>ЗСУ</w:t>
      </w:r>
      <w:r w:rsidRPr="00B44B71">
        <w:rPr>
          <w:rFonts w:ascii="Times New Roman" w:eastAsia="Times New Roman" w:hAnsi="Times New Roman" w:cs="Times New Roman"/>
          <w:kern w:val="0"/>
          <w:sz w:val="28"/>
          <w:szCs w:val="28"/>
          <w:lang w:val="uk-UA" w:eastAsia="ru-RU"/>
          <w14:ligatures w14:val="none"/>
        </w:rPr>
        <w:t xml:space="preserve">, Національна гвардія України вже перейшли на стандартизовану модель </w:t>
      </w:r>
      <w:r w:rsidRPr="00B44B71">
        <w:rPr>
          <w:rFonts w:ascii="Times New Roman" w:eastAsia="Times New Roman" w:hAnsi="Times New Roman" w:cs="Times New Roman"/>
          <w:bCs/>
          <w:kern w:val="0"/>
          <w:sz w:val="28"/>
          <w:szCs w:val="28"/>
          <w:lang w:val="uk-UA" w:eastAsia="ru-RU"/>
          <w14:ligatures w14:val="none"/>
        </w:rPr>
        <w:t>логістичного забезпечення</w:t>
      </w:r>
      <w:r w:rsidRPr="00B44B71">
        <w:rPr>
          <w:rFonts w:ascii="Times New Roman" w:eastAsia="Times New Roman" w:hAnsi="Times New Roman" w:cs="Times New Roman"/>
          <w:kern w:val="0"/>
          <w:sz w:val="28"/>
          <w:szCs w:val="28"/>
          <w:lang w:val="uk-UA" w:eastAsia="ru-RU"/>
          <w14:ligatures w14:val="none"/>
        </w:rPr>
        <w:t>, яка оперує іншими принципами управління, звітності та класифікації ресурсів. Ця розбіжність створює суттєві перешкоди під час спільного ресурсного планування. Зокрема, виникає складність у «горизонтальній» взаємодії на рівні тактичних підрозділів, де термінологічна різниця між «видами тилового забезпечення» та «класами постачання» уповільнює процеси отримання майна, обліку втрат та інтеграції в єдину цифрову систему управління логістикою Сил оборони. Таким чином, окреслені виклики та суперечності обумовлюють необхідність системного перегляду й удосконалення змісту навчального контенту кафедри логістики Національної академії ДПСУ імені Богдана Хмельницького (далі – НАДПСУ), з урахуванням сучасних тенденцій розвитку військової логістики, стандартів НАТО, цифровізації облікових процесів та потреб практичної діяльності підрозділів у бойових умовах.</w:t>
      </w:r>
    </w:p>
    <w:p w14:paraId="701F0050" w14:textId="77777777" w:rsidR="00B44B71" w:rsidRPr="00B44B71" w:rsidRDefault="00B44B71" w:rsidP="00023291">
      <w:pPr>
        <w:tabs>
          <w:tab w:val="left" w:pos="9638"/>
        </w:tabs>
        <w:spacing w:after="0" w:line="240" w:lineRule="auto"/>
        <w:ind w:firstLine="567"/>
        <w:jc w:val="both"/>
        <w:outlineLvl w:val="2"/>
        <w:rPr>
          <w:rFonts w:ascii="Times New Roman" w:eastAsia="Times New Roman" w:hAnsi="Times New Roman" w:cs="Times New Roman"/>
          <w:b/>
          <w:bCs/>
          <w:kern w:val="0"/>
          <w:sz w:val="28"/>
          <w:szCs w:val="28"/>
          <w:lang w:val="uk-UA" w:eastAsia="ru-RU"/>
          <w14:ligatures w14:val="none"/>
        </w:rPr>
      </w:pPr>
      <w:r w:rsidRPr="00B44B71">
        <w:rPr>
          <w:rFonts w:ascii="Times New Roman" w:eastAsia="Times New Roman" w:hAnsi="Times New Roman" w:cs="Times New Roman"/>
          <w:b/>
          <w:bCs/>
          <w:kern w:val="0"/>
          <w:sz w:val="28"/>
          <w:szCs w:val="28"/>
          <w:lang w:val="uk-UA" w:eastAsia="ru-RU"/>
          <w14:ligatures w14:val="none"/>
        </w:rPr>
        <w:t>Аналіз останніх досліджень і публікацій</w:t>
      </w:r>
    </w:p>
    <w:p w14:paraId="705BED4D" w14:textId="77777777" w:rsidR="00B44B71" w:rsidRPr="00B44B71" w:rsidRDefault="00B44B71" w:rsidP="00023291">
      <w:pPr>
        <w:tabs>
          <w:tab w:val="left" w:pos="9638"/>
        </w:tabs>
        <w:spacing w:after="0" w:line="240" w:lineRule="auto"/>
        <w:ind w:firstLine="567"/>
        <w:jc w:val="both"/>
        <w:outlineLvl w:val="2"/>
        <w:rPr>
          <w:rFonts w:ascii="Times New Roman" w:eastAsia="Times New Roman" w:hAnsi="Times New Roman" w:cs="Times New Roman"/>
          <w:bCs/>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У процесі реформування сектору безпеки і оборони України, зокрема в умовах наближення до стандартів НАТО, у ЗСУ було здійснено системну трансформацію підходів до забезпечення військ. Традиційно розділені підсистеми тилового забезпечення, озброєння та військової техніки були інтегровані в єдину систему логістичного забезпечення, що передбачає комплексне управління ресурсами на всіх рівнях – від стратегічного до тактичного. Зазначені трансформації викликали активну наукову дискусію, у межах якої дослідники по-різному оцінювали як доцільність впровадження нових підходів, так і проблемні аспекти їх реалізації, зокрема у частині термінології, організаційних структур та практичної ефективності.</w:t>
      </w:r>
    </w:p>
    <w:p w14:paraId="11ABA713" w14:textId="77777777" w:rsidR="00B44B71" w:rsidRPr="00B44B71" w:rsidRDefault="00B44B71" w:rsidP="00023291">
      <w:pPr>
        <w:tabs>
          <w:tab w:val="left" w:pos="9638"/>
        </w:tabs>
        <w:spacing w:after="0" w:line="240" w:lineRule="auto"/>
        <w:ind w:firstLine="567"/>
        <w:jc w:val="both"/>
        <w:outlineLvl w:val="2"/>
        <w:rPr>
          <w:rFonts w:ascii="Times New Roman" w:eastAsia="Times New Roman" w:hAnsi="Times New Roman" w:cs="Times New Roman"/>
          <w:bCs/>
          <w:kern w:val="0"/>
          <w:sz w:val="28"/>
          <w:szCs w:val="28"/>
          <w:lang w:val="uk-UA" w:eastAsia="ru-RU"/>
          <w14:ligatures w14:val="none"/>
        </w:rPr>
      </w:pPr>
      <w:r w:rsidRPr="00B44B71">
        <w:rPr>
          <w:rFonts w:ascii="Times New Roman" w:eastAsia="Times New Roman" w:hAnsi="Times New Roman" w:cs="Times New Roman"/>
          <w:bCs/>
          <w:kern w:val="0"/>
          <w:sz w:val="28"/>
          <w:szCs w:val="28"/>
          <w:lang w:val="uk-UA" w:eastAsia="ru-RU"/>
          <w14:ligatures w14:val="none"/>
        </w:rPr>
        <w:t xml:space="preserve">Геннадій Кривогуз у роботі [3] наголошує, що з метою наближення та сумісності таких військових структур, як ЗСУ та НАТО, було здійснено спроби впровадження терміну «логістика» та відповідних структур у систему управління військами й тилом. </w:t>
      </w:r>
    </w:p>
    <w:p w14:paraId="01354060" w14:textId="77777777" w:rsidR="00B44B71" w:rsidRPr="00B44B71" w:rsidRDefault="00B44B71" w:rsidP="00023291">
      <w:pPr>
        <w:tabs>
          <w:tab w:val="left" w:pos="9638"/>
        </w:tabs>
        <w:spacing w:after="0" w:line="240" w:lineRule="auto"/>
        <w:ind w:firstLine="567"/>
        <w:jc w:val="both"/>
        <w:outlineLvl w:val="2"/>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У контексті системної трансформації військової сфери В. О.</w:t>
      </w:r>
      <w:r w:rsidRPr="00B44B71">
        <w:rPr>
          <w:rFonts w:ascii="Times New Roman" w:eastAsia="Times New Roman" w:hAnsi="Times New Roman" w:cs="Times New Roman"/>
          <w:kern w:val="0"/>
          <w:sz w:val="28"/>
          <w:szCs w:val="28"/>
          <w:lang w:val="ru-RU" w:eastAsia="ru-RU"/>
          <w14:ligatures w14:val="none"/>
        </w:rPr>
        <w:t> </w:t>
      </w:r>
      <w:r w:rsidRPr="00B44B71">
        <w:rPr>
          <w:rFonts w:ascii="Times New Roman" w:eastAsia="Times New Roman" w:hAnsi="Times New Roman" w:cs="Times New Roman"/>
          <w:kern w:val="0"/>
          <w:sz w:val="28"/>
          <w:szCs w:val="28"/>
          <w:lang w:val="uk-UA" w:eastAsia="ru-RU"/>
          <w14:ligatures w14:val="none"/>
        </w:rPr>
        <w:t>Шуєнкін наголошує на специфічних вимогах до військової мови як засобу професійного спілкування. Автор зазначає, що будь-яка модернізація існуючої системи забезпечення повинна супроводжуватися виваженим підходом до апарату понять і термінів, оскільки штучне введення неологізмів часто лише створює ілюзію новизни (наукоподібність), не змінюючи суті процесів, апробованих практичним досвідом попередніх поколінь [4].</w:t>
      </w:r>
    </w:p>
    <w:p w14:paraId="72F34663" w14:textId="77777777" w:rsidR="00B44B71" w:rsidRPr="00B44B71" w:rsidRDefault="00B44B71" w:rsidP="00023291">
      <w:pPr>
        <w:tabs>
          <w:tab w:val="left" w:pos="9638"/>
        </w:tabs>
        <w:spacing w:after="0" w:line="240" w:lineRule="auto"/>
        <w:ind w:firstLine="567"/>
        <w:jc w:val="both"/>
        <w:outlineLvl w:val="2"/>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 Колектив авторів О.</w:t>
      </w:r>
      <w:r w:rsidRPr="00B44B71">
        <w:rPr>
          <w:rFonts w:ascii="Times New Roman" w:eastAsia="Times New Roman" w:hAnsi="Times New Roman" w:cs="Times New Roman"/>
          <w:kern w:val="0"/>
          <w:sz w:val="28"/>
          <w:szCs w:val="28"/>
          <w:lang w:val="ru-RU" w:eastAsia="ru-RU"/>
          <w14:ligatures w14:val="none"/>
        </w:rPr>
        <w:t> </w:t>
      </w:r>
      <w:r w:rsidRPr="00B44B71">
        <w:rPr>
          <w:rFonts w:ascii="Times New Roman" w:eastAsia="Times New Roman" w:hAnsi="Times New Roman" w:cs="Times New Roman"/>
          <w:kern w:val="0"/>
          <w:sz w:val="28"/>
          <w:szCs w:val="28"/>
          <w:lang w:val="uk-UA" w:eastAsia="ru-RU"/>
          <w14:ligatures w14:val="none"/>
        </w:rPr>
        <w:t>М. Воробйов, В.</w:t>
      </w:r>
      <w:r w:rsidRPr="00B44B71">
        <w:rPr>
          <w:rFonts w:ascii="Times New Roman" w:eastAsia="Times New Roman" w:hAnsi="Times New Roman" w:cs="Times New Roman"/>
          <w:kern w:val="0"/>
          <w:sz w:val="28"/>
          <w:szCs w:val="28"/>
          <w:lang w:val="ru-RU" w:eastAsia="ru-RU"/>
          <w14:ligatures w14:val="none"/>
        </w:rPr>
        <w:t> </w:t>
      </w:r>
      <w:r w:rsidRPr="00B44B71">
        <w:rPr>
          <w:rFonts w:ascii="Times New Roman" w:eastAsia="Times New Roman" w:hAnsi="Times New Roman" w:cs="Times New Roman"/>
          <w:kern w:val="0"/>
          <w:sz w:val="28"/>
          <w:szCs w:val="28"/>
          <w:lang w:val="uk-UA" w:eastAsia="ru-RU"/>
          <w14:ligatures w14:val="none"/>
        </w:rPr>
        <w:t>О. Воробйова , Н.</w:t>
      </w:r>
      <w:r w:rsidRPr="00B44B71">
        <w:rPr>
          <w:rFonts w:ascii="Times New Roman" w:eastAsia="Times New Roman" w:hAnsi="Times New Roman" w:cs="Times New Roman"/>
          <w:kern w:val="0"/>
          <w:sz w:val="28"/>
          <w:szCs w:val="28"/>
          <w:lang w:val="ru-RU" w:eastAsia="ru-RU"/>
          <w14:ligatures w14:val="none"/>
        </w:rPr>
        <w:t> </w:t>
      </w:r>
      <w:r w:rsidRPr="00B44B71">
        <w:rPr>
          <w:rFonts w:ascii="Times New Roman" w:eastAsia="Times New Roman" w:hAnsi="Times New Roman" w:cs="Times New Roman"/>
          <w:kern w:val="0"/>
          <w:sz w:val="28"/>
          <w:szCs w:val="28"/>
          <w:lang w:val="uk-UA" w:eastAsia="ru-RU"/>
          <w14:ligatures w14:val="none"/>
        </w:rPr>
        <w:t>К. Багдасарян, І.</w:t>
      </w:r>
      <w:r w:rsidRPr="00B44B71">
        <w:rPr>
          <w:rFonts w:ascii="Times New Roman" w:eastAsia="Times New Roman" w:hAnsi="Times New Roman" w:cs="Times New Roman"/>
          <w:kern w:val="0"/>
          <w:sz w:val="28"/>
          <w:szCs w:val="28"/>
          <w:lang w:val="ru-RU" w:eastAsia="ru-RU"/>
          <w14:ligatures w14:val="none"/>
        </w:rPr>
        <w:t> </w:t>
      </w:r>
      <w:r w:rsidRPr="00B44B71">
        <w:rPr>
          <w:rFonts w:ascii="Times New Roman" w:eastAsia="Times New Roman" w:hAnsi="Times New Roman" w:cs="Times New Roman"/>
          <w:kern w:val="0"/>
          <w:sz w:val="28"/>
          <w:szCs w:val="28"/>
          <w:lang w:val="uk-UA" w:eastAsia="ru-RU"/>
          <w14:ligatures w14:val="none"/>
        </w:rPr>
        <w:t>О. Власов</w:t>
      </w:r>
      <w:r w:rsidRPr="00B44B71">
        <w:rPr>
          <w:rFonts w:ascii="Times New Roman" w:eastAsia="Times New Roman" w:hAnsi="Times New Roman" w:cs="Times New Roman"/>
          <w:kern w:val="0"/>
          <w:sz w:val="28"/>
          <w:szCs w:val="28"/>
          <w:lang w:val="ru-RU" w:eastAsia="ru-RU"/>
          <w14:ligatures w14:val="none"/>
        </w:rPr>
        <w:t> </w:t>
      </w:r>
      <w:r w:rsidRPr="00B44B71">
        <w:rPr>
          <w:rFonts w:ascii="Times New Roman" w:eastAsia="Times New Roman" w:hAnsi="Times New Roman" w:cs="Times New Roman"/>
          <w:kern w:val="0"/>
          <w:sz w:val="28"/>
          <w:szCs w:val="28"/>
          <w:lang w:val="uk-UA" w:eastAsia="ru-RU"/>
          <w14:ligatures w14:val="none"/>
        </w:rPr>
        <w:t xml:space="preserve"> дослідили, що за сучасними вимогами бойових дій одного військовослужбовця мають забезпечувати не менше ніж сім осіб [5]. Також </w:t>
      </w:r>
      <w:r w:rsidRPr="00B44B71">
        <w:rPr>
          <w:rFonts w:ascii="Times New Roman" w:eastAsia="Times New Roman" w:hAnsi="Times New Roman" w:cs="Times New Roman"/>
          <w:kern w:val="0"/>
          <w:sz w:val="28"/>
          <w:szCs w:val="28"/>
          <w:lang w:val="uk-UA" w:eastAsia="ru-RU"/>
          <w14:ligatures w14:val="none"/>
        </w:rPr>
        <w:lastRenderedPageBreak/>
        <w:t xml:space="preserve">авторами зазначається, що розвиток логістики повинен здійснюватися паралельно з розвитком збройних сил і способів ведення збройної боротьби, ці фактори змушують виробляти більш сучасні форми організації тилу і способи тилового забезпечення. </w:t>
      </w:r>
    </w:p>
    <w:p w14:paraId="79E047E9" w14:textId="77777777" w:rsidR="00B44B71" w:rsidRPr="00B44B71" w:rsidRDefault="00B44B71" w:rsidP="00023291">
      <w:pPr>
        <w:tabs>
          <w:tab w:val="left" w:pos="9638"/>
        </w:tabs>
        <w:spacing w:after="0" w:line="240" w:lineRule="auto"/>
        <w:ind w:firstLine="567"/>
        <w:jc w:val="both"/>
        <w:outlineLvl w:val="2"/>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Науковці О. Г. Бондаренко</w:t>
      </w:r>
      <w:r w:rsidRPr="00B44B71">
        <w:rPr>
          <w:rFonts w:ascii="Times New Roman" w:eastAsia="Times New Roman" w:hAnsi="Times New Roman" w:cs="Times New Roman"/>
          <w:kern w:val="0"/>
          <w:sz w:val="28"/>
          <w:szCs w:val="28"/>
          <w:lang w:val="ru-RU" w:eastAsia="ru-RU"/>
          <w14:ligatures w14:val="none"/>
        </w:rPr>
        <w:t> </w:t>
      </w:r>
      <w:r w:rsidRPr="00B44B71">
        <w:rPr>
          <w:rFonts w:ascii="Times New Roman" w:eastAsia="Times New Roman" w:hAnsi="Times New Roman" w:cs="Times New Roman"/>
          <w:kern w:val="0"/>
          <w:sz w:val="28"/>
          <w:szCs w:val="28"/>
          <w:lang w:val="uk-UA" w:eastAsia="ru-RU"/>
          <w14:ligatures w14:val="none"/>
        </w:rPr>
        <w:t>, Л.</w:t>
      </w:r>
      <w:r w:rsidRPr="00B44B71">
        <w:rPr>
          <w:rFonts w:ascii="Times New Roman" w:eastAsia="Times New Roman" w:hAnsi="Times New Roman" w:cs="Times New Roman"/>
          <w:kern w:val="0"/>
          <w:sz w:val="28"/>
          <w:szCs w:val="28"/>
          <w:lang w:val="ru-RU" w:eastAsia="ru-RU"/>
          <w14:ligatures w14:val="none"/>
        </w:rPr>
        <w:t> </w:t>
      </w:r>
      <w:r w:rsidRPr="00B44B71">
        <w:rPr>
          <w:rFonts w:ascii="Times New Roman" w:eastAsia="Times New Roman" w:hAnsi="Times New Roman" w:cs="Times New Roman"/>
          <w:kern w:val="0"/>
          <w:sz w:val="28"/>
          <w:szCs w:val="28"/>
          <w:lang w:val="uk-UA" w:eastAsia="ru-RU"/>
          <w14:ligatures w14:val="none"/>
        </w:rPr>
        <w:t>Ф. Товма, Р.</w:t>
      </w:r>
      <w:r w:rsidRPr="00B44B71">
        <w:rPr>
          <w:rFonts w:ascii="Times New Roman" w:eastAsia="Times New Roman" w:hAnsi="Times New Roman" w:cs="Times New Roman"/>
          <w:kern w:val="0"/>
          <w:sz w:val="28"/>
          <w:szCs w:val="28"/>
          <w:lang w:val="ru-RU" w:eastAsia="ru-RU"/>
          <w14:ligatures w14:val="none"/>
        </w:rPr>
        <w:t> </w:t>
      </w:r>
      <w:r w:rsidRPr="00B44B71">
        <w:rPr>
          <w:rFonts w:ascii="Times New Roman" w:eastAsia="Times New Roman" w:hAnsi="Times New Roman" w:cs="Times New Roman"/>
          <w:kern w:val="0"/>
          <w:sz w:val="28"/>
          <w:szCs w:val="28"/>
          <w:lang w:val="uk-UA" w:eastAsia="ru-RU"/>
          <w14:ligatures w14:val="none"/>
        </w:rPr>
        <w:t>В. Нестеренко, О.</w:t>
      </w:r>
      <w:r w:rsidRPr="00B44B71">
        <w:rPr>
          <w:rFonts w:ascii="Times New Roman" w:eastAsia="Times New Roman" w:hAnsi="Times New Roman" w:cs="Times New Roman"/>
          <w:kern w:val="0"/>
          <w:sz w:val="28"/>
          <w:szCs w:val="28"/>
          <w:lang w:val="ru-RU" w:eastAsia="ru-RU"/>
          <w14:ligatures w14:val="none"/>
        </w:rPr>
        <w:t> </w:t>
      </w:r>
      <w:r w:rsidRPr="00B44B71">
        <w:rPr>
          <w:rFonts w:ascii="Times New Roman" w:eastAsia="Times New Roman" w:hAnsi="Times New Roman" w:cs="Times New Roman"/>
          <w:kern w:val="0"/>
          <w:sz w:val="28"/>
          <w:szCs w:val="28"/>
          <w:lang w:val="uk-UA" w:eastAsia="ru-RU"/>
          <w14:ligatures w14:val="none"/>
        </w:rPr>
        <w:t>Г. Касім</w:t>
      </w:r>
      <w:r w:rsidRPr="00B44B71">
        <w:rPr>
          <w:rFonts w:ascii="Times New Roman" w:eastAsia="Times New Roman" w:hAnsi="Times New Roman" w:cs="Times New Roman"/>
          <w:kern w:val="0"/>
          <w:sz w:val="28"/>
          <w:szCs w:val="28"/>
          <w:lang w:val="ru-RU" w:eastAsia="ru-RU"/>
          <w14:ligatures w14:val="none"/>
        </w:rPr>
        <w:t> </w:t>
      </w:r>
      <w:r w:rsidRPr="00B44B71">
        <w:rPr>
          <w:rFonts w:ascii="Times New Roman" w:eastAsia="Times New Roman" w:hAnsi="Times New Roman" w:cs="Times New Roman"/>
          <w:kern w:val="0"/>
          <w:sz w:val="28"/>
          <w:szCs w:val="28"/>
          <w:lang w:val="uk-UA" w:eastAsia="ru-RU"/>
          <w14:ligatures w14:val="none"/>
        </w:rPr>
        <w:t xml:space="preserve"> у дослідженні [6] піднімають питання удосконалення системи логістичного забезпечення як центральний елемент розвитку та реформування Національної гвардії України. Автори зазначають, що система логістичного забезпечення потребує наукового підґрунтя.  </w:t>
      </w:r>
    </w:p>
    <w:p w14:paraId="2C33BC71"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Окремі аспекти організації тилового та логістичного забезпечення органів і підрозділів ДПСУ розглядали у своїх наукових працях В. Коваль, О. Фаріон, А. Кочеулов та інші дослідники. У їхній роботі здійснено аналіз досвіду тилового забезпечення підрозділів під час виконання спеціальних (бойових) завдань та розроблено рекомендації щодо його організації з урахуванням сучасних умов ведення бойових дій [7]. </w:t>
      </w:r>
    </w:p>
    <w:p w14:paraId="57D10C32"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Олег Пономаренко у дослідженні підготовки офіцерських кадрів з логістичного забезпечення визначає необхідність залучення до освітнього процесу викладачів із практичним бойовим досвідом та впровадження курсів підвищення кваліфікації як складової безперервної професійної освіти офіцерів логістики [8].</w:t>
      </w:r>
    </w:p>
    <w:p w14:paraId="09CDCF81"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Водночас у дослідженні В. Сагана, О. Пономаренка, А. Кочеулова, М. П’яткова та В. Кравчука розглянуто особливості логістичного забезпечення прикордонних загонів, які виконують завдання у складі оперативно-тактичних угруповань Збройних Сил України. Автори підкреслюють необхідність використання сучасних логістичних підходів, зокрема системи постачання за класами, цифрових технологій управління ресурсами та роботизованих систем доставки [9]. </w:t>
      </w:r>
    </w:p>
    <w:p w14:paraId="379E4C93"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У дослідженні [10] щодо підготовки фахівців забезпечення пально-мастильними матеріалами доведено необхідність інтеграції бойового досвіду у зміст освітньо-професійної програми та формування ситуативних компетентностей офіцерів тилового забезпечення в умовах ведення бойових дій.</w:t>
      </w:r>
    </w:p>
    <w:p w14:paraId="4EEC6C88"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Питання удосконалення системи тилового забезпечення органів охорони державного кордону в умовах широкомасштабної збройної агресії також досліджували Ю. Шалімов, В. Саган, О. Пономаренко та інші науковці. У їхніх роботах проаналізовано проблемні аспекти функціонування системи забезпечення під час виконання бойових завдань і запропоновано напрями її вдосконалення [11].</w:t>
      </w:r>
    </w:p>
    <w:p w14:paraId="5F0C8209"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У дослідженні змісту підготовки здобувачів вищої освіти за освітньо-професійною програмою «Організація діяльності тилових підрозділів ДПСУ» за напрямом речового забезпечення встановлено необхідність удосконалення освітнього процесу шляхом посилення практичної складової підготовки та приведення змісту навчальних дисциплін у відповідність до умов ведення сучасних бойових дій [12].</w:t>
      </w:r>
    </w:p>
    <w:p w14:paraId="7DE56AEF"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lastRenderedPageBreak/>
        <w:t xml:space="preserve"> Олег Пономаренко у своєму дослідженні обґрунтовує систему фахових компетентностей спеціалізації освітньої програми «Організація діяльності тилових підрозділів ДПСУ», визначаючи їх як основу професійної готовності майбутніх офіцерів тилового забезпечення до виконання завдань в умовах повномасштабної збройної агресії та трансформації системи забезпечення відповідно до сучасних вимог бойових дій [13].</w:t>
      </w:r>
    </w:p>
    <w:p w14:paraId="65444098"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Таким чином, проведений аналіз наукових праць свідчить, що питання розвитку системи логістичного забезпечення у секторі безпеки і оборони України активно досліджується вітчизняними науковцями. Водночас проблематика підготовки офіцерів логістики ДПСУ з урахуванням досвіду сучасних бойових дій та впровадження стандартів НАТО залишається недостатньо розробленою, що й зумовлює актуальність даного дослідження.</w:t>
      </w:r>
    </w:p>
    <w:p w14:paraId="066EE51C" w14:textId="77777777" w:rsidR="00B44B71" w:rsidRPr="00B44B71" w:rsidRDefault="00B44B71" w:rsidP="00023291">
      <w:pPr>
        <w:tabs>
          <w:tab w:val="left" w:pos="9638"/>
        </w:tabs>
        <w:spacing w:after="0" w:line="240" w:lineRule="auto"/>
        <w:ind w:firstLine="567"/>
        <w:jc w:val="both"/>
        <w:outlineLvl w:val="2"/>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kern w:val="0"/>
          <w:sz w:val="28"/>
          <w:szCs w:val="28"/>
          <w:lang w:val="uk-UA" w:eastAsia="ru-RU"/>
          <w14:ligatures w14:val="none"/>
        </w:rPr>
        <w:t>Метою статті</w:t>
      </w:r>
      <w:r w:rsidRPr="00B44B71">
        <w:rPr>
          <w:rFonts w:ascii="Times New Roman" w:eastAsia="Times New Roman" w:hAnsi="Times New Roman" w:cs="Times New Roman"/>
          <w:kern w:val="0"/>
          <w:sz w:val="28"/>
          <w:szCs w:val="28"/>
          <w:lang w:val="uk-UA" w:eastAsia="ru-RU"/>
          <w14:ligatures w14:val="none"/>
        </w:rPr>
        <w:t xml:space="preserve"> є обґрунтування напрямів удосконалення змісту підготовки офіцерів логістики ДПСУ з урахуванням сучасних умов ведення бойових дій, впровадження стандартів логістичного забезпечення Сил оборони та інтеграції в єдиний інформаційний простір.</w:t>
      </w:r>
    </w:p>
    <w:p w14:paraId="67580723"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bCs/>
          <w:kern w:val="0"/>
          <w:sz w:val="28"/>
          <w:szCs w:val="28"/>
          <w:lang w:val="uk-UA" w:eastAsia="ru-RU"/>
          <w14:ligatures w14:val="none"/>
        </w:rPr>
        <w:t>Методи дослідження.</w:t>
      </w:r>
      <w:r w:rsidRPr="00B44B71">
        <w:rPr>
          <w:rFonts w:ascii="Times New Roman" w:eastAsia="Times New Roman" w:hAnsi="Times New Roman" w:cs="Times New Roman"/>
          <w:kern w:val="0"/>
          <w:sz w:val="28"/>
          <w:szCs w:val="28"/>
          <w:lang w:val="uk-UA" w:eastAsia="ru-RU"/>
          <w14:ligatures w14:val="none"/>
        </w:rPr>
        <w:t xml:space="preserve"> Для досягнення поставленої мети використано комплекс загальнонаукових та спеціальних методів дослідження, зокрема: аналіз і синтез наукових джерел – для визначення теоретичних засад розвитку системи логістичного забезпечення; порівняльний аналіз – для зіставлення моделей підготовки логістичних фахівців у різних складових сил оборони; ретроспективний аналіз – для дослідження еволюції систем забезпечення у ЗСУ та ДПСУ; узагальнення бойового досвіду – для визначення актуальних вимог до підготовки офіцерів логістики; педагогічне спостереження та експертне оцінювання – для формування рекомендацій щодо удосконалення освітнього процесу.</w:t>
      </w:r>
    </w:p>
    <w:p w14:paraId="3716AABF"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b/>
          <w:kern w:val="0"/>
          <w:sz w:val="28"/>
          <w:szCs w:val="28"/>
          <w:lang w:val="uk-UA" w:eastAsia="ru-RU"/>
          <w14:ligatures w14:val="none"/>
        </w:rPr>
      </w:pPr>
      <w:r w:rsidRPr="00B44B71">
        <w:rPr>
          <w:rFonts w:ascii="Times New Roman" w:eastAsia="Times New Roman" w:hAnsi="Times New Roman" w:cs="Times New Roman"/>
          <w:b/>
          <w:kern w:val="0"/>
          <w:sz w:val="28"/>
          <w:szCs w:val="28"/>
          <w:lang w:val="uk-UA" w:eastAsia="ru-RU"/>
          <w14:ligatures w14:val="none"/>
        </w:rPr>
        <w:t xml:space="preserve">Виклад основного матеріалу. </w:t>
      </w:r>
      <w:r w:rsidRPr="00B44B71">
        <w:rPr>
          <w:rFonts w:ascii="Times New Roman" w:eastAsia="Times New Roman" w:hAnsi="Times New Roman" w:cs="Times New Roman"/>
          <w:kern w:val="0"/>
          <w:sz w:val="28"/>
          <w:szCs w:val="28"/>
          <w:lang w:val="uk-UA" w:eastAsia="ru-RU"/>
          <w14:ligatures w14:val="none"/>
        </w:rPr>
        <w:t xml:space="preserve">У Національній академії Державної прикордонної служби України імені Богдана Хмельницького розпочато підготовку здобувачів вищої освіти (далі - ЗВО) за освітньо-професійною програмою «Організація діяльності тилових підрозділів Державної прикордонної служби України» на першому (бакалаврському) рівні вищої освіти (далі – ОПП «Тил ДПСУ»). </w:t>
      </w:r>
    </w:p>
    <w:p w14:paraId="7BA143D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Актуальність упровадження цієї програми зумовлена потребою у кваліфікованих офіцерах за напрямом тилового забезпечення, а також докорінною зміною характеру виконання бойових і спеціальних завдань підрозділами ДПСУ в умовах повномасштабної збройної агресії. </w:t>
      </w:r>
    </w:p>
    <w:p w14:paraId="74B482DE"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З урахуванням вимог постанови Кабінету Міністрів України [1] та досвіду організації забезпечення бойових дій органів охорони державного кордону ДПСУ у смузі відповідальності ОТУ «Харків» [9], традиційна система тилового забезпечення ДПСУ потребує трансформації в сучасну систему логістичного забезпечення (далі – ЛЗ).</w:t>
      </w:r>
    </w:p>
    <w:p w14:paraId="4C0D70EA"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Досвід виконання бойових (спеціальних) завдань із відсічі збройної агресії в районах ведення бойових дій викладачами кафедри логістики НАДПСУ, </w:t>
      </w:r>
      <w:r w:rsidRPr="00B44B71">
        <w:rPr>
          <w:rFonts w:ascii="Times New Roman" w:eastAsia="Times New Roman" w:hAnsi="Times New Roman" w:cs="Times New Roman"/>
          <w:kern w:val="0"/>
          <w:sz w:val="28"/>
          <w:szCs w:val="28"/>
          <w:lang w:val="uk-UA" w:eastAsia="ru-RU"/>
          <w14:ligatures w14:val="none"/>
        </w:rPr>
        <w:lastRenderedPageBreak/>
        <w:t>узагальнений у роботах [7; 9], засвідчує необхідність перегляду змісту навчальних дисциплін.</w:t>
      </w:r>
      <w:r w:rsidRPr="00B44B71">
        <w:rPr>
          <w:rFonts w:ascii="Times New Roman" w:eastAsia="Times New Roman" w:hAnsi="Times New Roman" w:cs="Times New Roman"/>
          <w:kern w:val="0"/>
          <w:sz w:val="24"/>
          <w:szCs w:val="24"/>
          <w:lang w:val="uk-UA" w:eastAsia="ru-RU"/>
          <w14:ligatures w14:val="none"/>
        </w:rPr>
        <w:t xml:space="preserve"> </w:t>
      </w:r>
      <w:r w:rsidRPr="00B44B71">
        <w:rPr>
          <w:rFonts w:ascii="Times New Roman" w:eastAsia="Times New Roman" w:hAnsi="Times New Roman" w:cs="Times New Roman"/>
          <w:kern w:val="0"/>
          <w:sz w:val="28"/>
          <w:szCs w:val="28"/>
          <w:lang w:val="uk-UA" w:eastAsia="ru-RU"/>
          <w14:ligatures w14:val="none"/>
        </w:rPr>
        <w:t>Узагальнення досвіду логістичного забезпечення підрозділів ДПСУ під час виконання бойових завдань у складі оперативно-тактичних угруповань ЗСУ засвідчило, що офіцер логістики в сучасних умовах виконує значно ширший спектр функцій порівняно з традиційною моделлю тилового забезпечення. Зокрема, практичний досвід 2022–2026 років підтверджує необхідність формування у майбутніх офіцерів логістики компетентностей щодо організації забезпечення підрозділів у районах активних бойових дій, планування логістичних маршрутів в умовах їх постійного вогневого ураження противником, використання цифрових систем обліку матеріальних засобів, взаємодії з логістичними структурами ЗСУ та застосування роботизованих засобів доставки матеріальних ресурсів на передові позиції.</w:t>
      </w:r>
    </w:p>
    <w:p w14:paraId="3AB19AFF"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Зокрема, сучасні умови виконання завдань та характер застосування підрозділів ДПСУ визначають нові вимоги до підготовки офіцерів логістики.</w:t>
      </w:r>
    </w:p>
    <w:p w14:paraId="4A94083F"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Практика спільного виконання бойових завдань підрозділами ДПСУ у складі оперативно-тактичних угруповань ЗСУ у 2022–2026 роках засвідчила необхідність перегляду підходів до професійної підготовки офіцерів логістики.</w:t>
      </w:r>
    </w:p>
    <w:p w14:paraId="2C0D2A09"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Перебування прикордонних підрозділів в оперативному підпорядкуванні ЗСУ вимагає від майбутнього офіцера логістики не лише знання відомчої нормативної бази, а й вільного володіння стандартами НАТО, уміння працювати в об'єднаних структурах (секціях S4) та здатності організовувати логістичні ланцюги під вогневим впливом противника.</w:t>
      </w:r>
    </w:p>
    <w:p w14:paraId="10126A3F"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Практичний досвід ведення бойових дій свідчить про те, що сучасна військова логістика трансформувалася з адміністративної функції у комплексну систему управління ресурсами та ризиками забезпечення. В умовах оперативного підпорядкування ЗСУ офіцер логістики ДПСУ стає ключовою фігурою, відповідальною за синхронізацію двох паралельних систем — відомчої (регламентованої наказами ДПСУ) та загальновійськової (побудованої за класами постачання НАТО/ЗСУ).</w:t>
      </w:r>
    </w:p>
    <w:p w14:paraId="2D82B799" w14:textId="77777777" w:rsidR="00B44B71" w:rsidRPr="00B44B71" w:rsidRDefault="00B44B71" w:rsidP="00023291">
      <w:pPr>
        <w:tabs>
          <w:tab w:val="left" w:pos="9638"/>
        </w:tabs>
        <w:spacing w:after="0" w:line="240" w:lineRule="auto"/>
        <w:ind w:firstLine="567"/>
        <w:jc w:val="both"/>
        <w:outlineLvl w:val="2"/>
        <w:rPr>
          <w:rFonts w:ascii="Times New Roman" w:eastAsia="Times New Roman" w:hAnsi="Times New Roman" w:cs="Times New Roman"/>
          <w:b/>
          <w:bCs/>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Відтак, головним завданням НАДПСУ у межах реалізації ОПП «Тил ДПСУ» стає підготовка офіцера логістики, здатного діяти як універсальний менеджер у бойових умовах. Освітній процес має бути сфокусований на переході від класичної теорії «складського господарства» до опанування технологій </w:t>
      </w:r>
      <w:r w:rsidRPr="00B44B71">
        <w:rPr>
          <w:rFonts w:ascii="Times New Roman" w:eastAsia="Times New Roman" w:hAnsi="Times New Roman" w:cs="Times New Roman"/>
          <w:bCs/>
          <w:kern w:val="0"/>
          <w:sz w:val="28"/>
          <w:szCs w:val="28"/>
          <w:lang w:val="uk-UA" w:eastAsia="ru-RU"/>
          <w14:ligatures w14:val="none"/>
        </w:rPr>
        <w:t>динамічної логістики</w:t>
      </w:r>
      <w:r w:rsidRPr="00B44B71">
        <w:rPr>
          <w:rFonts w:ascii="Times New Roman" w:eastAsia="Times New Roman" w:hAnsi="Times New Roman" w:cs="Times New Roman"/>
          <w:kern w:val="0"/>
          <w:sz w:val="28"/>
          <w:szCs w:val="28"/>
          <w:lang w:val="uk-UA" w:eastAsia="ru-RU"/>
          <w14:ligatures w14:val="none"/>
        </w:rPr>
        <w:t>. Це передбачає глибоке вивчення алгоритмів роботи секцій S4, впровадження у навчання досвіду ЛЗ ЗСУ та використання роботизованих систем доставки. Зрештою, випускник НАДПСУ повинен не просто забезпечувати підрозділ майном, а бути інтегрованою частиною системи управління боєм, здатною забезпечити живучість логістичних ланцюгів у найскладніших умовах сучасного фронту.</w:t>
      </w:r>
    </w:p>
    <w:p w14:paraId="0ACA31B7" w14:textId="77777777" w:rsidR="00B44B71" w:rsidRPr="00B44B71" w:rsidRDefault="00B44B71" w:rsidP="00023291">
      <w:pPr>
        <w:tabs>
          <w:tab w:val="left" w:pos="993"/>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 xml:space="preserve">Ефективність підготовки офіцера логістики нового покоління безпосередньо залежить від глибокого розуміння генезису систем забезпечення та усвідомлення помилок минулого. У дослідженні [3] автор слушно зазначає, що заміна понять </w:t>
      </w:r>
      <w:r w:rsidRPr="00B44B71">
        <w:rPr>
          <w:rFonts w:ascii="Times New Roman" w:eastAsia="Times New Roman" w:hAnsi="Times New Roman" w:cs="Times New Roman"/>
          <w:kern w:val="0"/>
          <w:sz w:val="28"/>
          <w:szCs w:val="28"/>
          <w:lang w:val="uk-UA" w:eastAsia="uk-UA"/>
          <w14:ligatures w14:val="none"/>
        </w:rPr>
        <w:lastRenderedPageBreak/>
        <w:t>«тилове і технічне забезпечення» у ЗСУ не завжди досягала своєї мети - централізації управління. Ретроспективний аналіз реформ 2004–2010 років демонструє, як термінологічна плутанина між «матеріально-технічним», «тиловим» та «технічним» забезпеченням призводила до невідповідності назв органів управління їхнім реальним функціям.</w:t>
      </w:r>
    </w:p>
    <w:p w14:paraId="09E1F7C0" w14:textId="77777777" w:rsidR="00B44B71" w:rsidRPr="00B44B71" w:rsidRDefault="00B44B71" w:rsidP="00023291">
      <w:pPr>
        <w:tabs>
          <w:tab w:val="left" w:pos="993"/>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 xml:space="preserve">Для освітнього процесу в НАДПСУ цей досвід є фундаментальним кейсом. Курсанти мають розуміти, що логістика — це не механічна зміна назви «тилу», а перехід до інтегрованого управління. Автор у праці [3] звертається до керівних документів 60-х та 80-х років минулого століття, де технічне забезпечення було виокремлене в самостійний вид. Це історичне розмежування сьогодні вступає у суперечність із вимогами стандартів НАТО. Відтак, у межах навчальної дисципліни «Організація логістичного забезпечення», майбутній офіцер ДПСУ має вивчати принципи </w:t>
      </w:r>
      <w:r w:rsidRPr="00B44B71">
        <w:rPr>
          <w:rFonts w:ascii="Times New Roman" w:eastAsia="Times New Roman" w:hAnsi="Times New Roman" w:cs="Times New Roman"/>
          <w:bCs/>
          <w:kern w:val="0"/>
          <w:sz w:val="28"/>
          <w:szCs w:val="28"/>
          <w:lang w:val="uk-UA" w:eastAsia="uk-UA"/>
          <w14:ligatures w14:val="none"/>
        </w:rPr>
        <w:t>неподільності логістичних процесів</w:t>
      </w:r>
      <w:r w:rsidRPr="00B44B71">
        <w:rPr>
          <w:rFonts w:ascii="Times New Roman" w:eastAsia="Times New Roman" w:hAnsi="Times New Roman" w:cs="Times New Roman"/>
          <w:kern w:val="0"/>
          <w:sz w:val="28"/>
          <w:szCs w:val="28"/>
          <w:lang w:val="uk-UA" w:eastAsia="uk-UA"/>
          <w14:ligatures w14:val="none"/>
        </w:rPr>
        <w:t>.</w:t>
      </w:r>
    </w:p>
    <w:p w14:paraId="3CEA320E" w14:textId="77777777" w:rsidR="00B44B71" w:rsidRPr="00B44B71" w:rsidRDefault="00B44B71" w:rsidP="00023291">
      <w:pPr>
        <w:tabs>
          <w:tab w:val="left" w:pos="993"/>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Досліджуючи генезис системи за Г. Кривогузом [3], ми бачимо, що створення Департаменту тилу Міністерства оборони України та Головного управління логістики (далі – ГУЛ) у 2004 році було кроком до європейської моделі, проте подальша реорганізація 2010 року повернула систему до радянських лекал «тилу та озброєння». Для курсантів НАДПСУ цей історичний урок є доказом того, що штучне розмежування служб призводить до втрати керованості. Сучасна програма навчання має формувати у ЗВО цілісне бачення ресурсного менеджменту, де матеріальне, технічне та медичне забезпечення діють як єдиний організм.</w:t>
      </w:r>
    </w:p>
    <w:p w14:paraId="7F8F0A7D" w14:textId="77777777" w:rsidR="00B44B71" w:rsidRPr="00B44B71" w:rsidRDefault="00B44B71" w:rsidP="00023291">
      <w:pPr>
        <w:tabs>
          <w:tab w:val="left" w:pos="993"/>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Науковець В. О. Шуєнкін у своєму дослідженні [4] ставить ключове питання: «Що таке логістика?» і наголошує на необхідності еволюції систем. Проте він застерігає від сліпого копіювання іноземної термінології. Ця позиція є надзвичайно важливою для формування освітніх стандартів НАДПСУ. Пропонується розглядати підготовку фахівців не через призму запозичення назв, а через комплексну оптимізацію освітніх стандартів.</w:t>
      </w:r>
    </w:p>
    <w:p w14:paraId="2D926196" w14:textId="77777777" w:rsidR="00B44B71" w:rsidRPr="00B44B71" w:rsidRDefault="00B44B71" w:rsidP="00023291">
      <w:pPr>
        <w:tabs>
          <w:tab w:val="left" w:pos="993"/>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Адаптуючи ці висновки до реалій ДПСУ, ми стверджуємо: офіцер логістики нового покоління — це менеджер, здатний інтегрувати матеріальні, інформаційні та фінансові потоки підрозділу. У військовому вимірі головне призначення логістики «</w:t>
      </w:r>
      <w:r w:rsidRPr="00B44B71">
        <w:rPr>
          <w:rFonts w:ascii="Times New Roman" w:eastAsia="Times New Roman" w:hAnsi="Times New Roman" w:cs="Times New Roman"/>
          <w:kern w:val="0"/>
          <w:sz w:val="28"/>
          <w:szCs w:val="28"/>
          <w:lang w:val="uk-UA" w:eastAsia="ru-RU"/>
          <w14:ligatures w14:val="none"/>
        </w:rPr>
        <w:t>доставка ресурсів у необхідному обсязі, у визначений час та у визначене місце</w:t>
      </w:r>
      <w:r w:rsidRPr="00B44B71">
        <w:rPr>
          <w:rFonts w:ascii="Times New Roman" w:eastAsia="Times New Roman" w:hAnsi="Times New Roman" w:cs="Times New Roman"/>
          <w:kern w:val="0"/>
          <w:sz w:val="28"/>
          <w:szCs w:val="28"/>
          <w:lang w:val="uk-UA" w:eastAsia="uk-UA"/>
          <w14:ligatures w14:val="none"/>
        </w:rPr>
        <w:t xml:space="preserve">» трансформується у конкретну навчальну задачу: </w:t>
      </w:r>
      <w:r w:rsidRPr="00B44B71">
        <w:rPr>
          <w:rFonts w:ascii="Times New Roman" w:eastAsia="Times New Roman" w:hAnsi="Times New Roman" w:cs="Times New Roman"/>
          <w:bCs/>
          <w:kern w:val="0"/>
          <w:sz w:val="28"/>
          <w:szCs w:val="28"/>
          <w:lang w:val="uk-UA" w:eastAsia="uk-UA"/>
          <w14:ligatures w14:val="none"/>
        </w:rPr>
        <w:t>«забезпечення живучості та боєздатності підрозділу в умовах динамічного вогневого впливу»</w:t>
      </w:r>
      <w:r w:rsidRPr="00B44B71">
        <w:rPr>
          <w:rFonts w:ascii="Times New Roman" w:eastAsia="Times New Roman" w:hAnsi="Times New Roman" w:cs="Times New Roman"/>
          <w:kern w:val="0"/>
          <w:sz w:val="28"/>
          <w:szCs w:val="28"/>
          <w:lang w:val="uk-UA" w:eastAsia="uk-UA"/>
          <w14:ligatures w14:val="none"/>
        </w:rPr>
        <w:t>.</w:t>
      </w:r>
    </w:p>
    <w:p w14:paraId="63B67ADA" w14:textId="77777777" w:rsidR="00B44B71" w:rsidRPr="00B44B71" w:rsidRDefault="00B44B71" w:rsidP="00023291">
      <w:pPr>
        <w:tabs>
          <w:tab w:val="left" w:pos="993"/>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 xml:space="preserve">Для нашого дослідження вагомими є висновки Т. А. Гармаш, яка визначає логіста як «системного інтегратора» [14]. Вона зауважує, що у багатьох структурах досі домінує застаріле, «механістичне» трактування логістики як простого об’єднання складу і транспорту. Для подолання цього бар'єру в НАДПСУ необхідно впроваджувати інтерактивні методи навчання, де ЗВО відпрацьовують поєднання функцій закупівлі, складування та транспортування в єдиний управлінський цикл. Це підтверджує гіпотезу [14]: керувати </w:t>
      </w:r>
      <w:r w:rsidRPr="00B44B71">
        <w:rPr>
          <w:rFonts w:ascii="Times New Roman" w:eastAsia="Times New Roman" w:hAnsi="Times New Roman" w:cs="Times New Roman"/>
          <w:kern w:val="0"/>
          <w:sz w:val="28"/>
          <w:szCs w:val="28"/>
          <w:lang w:val="uk-UA" w:eastAsia="uk-UA"/>
          <w14:ligatures w14:val="none"/>
        </w:rPr>
        <w:lastRenderedPageBreak/>
        <w:t>логістичними процесами мають фахівці зі спеціальною системною освітою, які розуміють конструктивну ідею логістики.</w:t>
      </w:r>
    </w:p>
    <w:p w14:paraId="6A93E259" w14:textId="77777777" w:rsidR="00B44B71" w:rsidRPr="00B44B71" w:rsidRDefault="00B44B71" w:rsidP="00023291">
      <w:pPr>
        <w:tabs>
          <w:tab w:val="left" w:pos="851"/>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ru-RU"/>
          <w14:ligatures w14:val="none"/>
        </w:rPr>
        <w:t xml:space="preserve">Розвиваючи тему нашого дослідження в контексті опанування ЗВО автоматизованих систем управління, доцільно звернутися до досвіду Національного університету оборони України. О. Воробйов, І. Власов та Ю. Шинкаренко [15] наголошують на необхідності впровадження програмного забезпечення країн НАТО, зокрема ADAMS (Allied Deployment and Movement System). З урахуванням цього, підготовка ЗВО за </w:t>
      </w:r>
      <w:r w:rsidRPr="00B44B71">
        <w:rPr>
          <w:rFonts w:ascii="Times New Roman" w:eastAsia="Times New Roman" w:hAnsi="Times New Roman" w:cs="Times New Roman"/>
          <w:kern w:val="0"/>
          <w:sz w:val="28"/>
          <w:szCs w:val="28"/>
          <w:lang w:val="ru-RU" w:eastAsia="ru-RU"/>
          <w14:ligatures w14:val="none"/>
        </w:rPr>
        <w:t>ОПП «Тил ДПСУ»</w:t>
      </w:r>
      <w:r w:rsidRPr="00B44B71">
        <w:rPr>
          <w:rFonts w:ascii="Times New Roman" w:eastAsia="Times New Roman" w:hAnsi="Times New Roman" w:cs="Times New Roman"/>
          <w:kern w:val="0"/>
          <w:sz w:val="28"/>
          <w:szCs w:val="28"/>
          <w:lang w:val="uk-UA" w:eastAsia="ru-RU"/>
          <w14:ligatures w14:val="none"/>
        </w:rPr>
        <w:t xml:space="preserve"> в НАДПСУ має передбачати такі модулі: планування переміщень - робота з вихідними даними для автоматизованих систем;</w:t>
      </w:r>
      <w:r w:rsidRPr="00B44B71">
        <w:rPr>
          <w:rFonts w:ascii="Times New Roman" w:eastAsia="Times New Roman" w:hAnsi="Times New Roman" w:cs="Times New Roman"/>
          <w:kern w:val="0"/>
          <w:sz w:val="28"/>
          <w:szCs w:val="28"/>
          <w:lang w:val="uk-UA" w:eastAsia="uk-UA"/>
          <w14:ligatures w14:val="none"/>
        </w:rPr>
        <w:t xml:space="preserve"> </w:t>
      </w:r>
      <w:r w:rsidRPr="00B44B71">
        <w:rPr>
          <w:rFonts w:ascii="Times New Roman" w:eastAsia="Times New Roman" w:hAnsi="Times New Roman" w:cs="Times New Roman"/>
          <w:kern w:val="0"/>
          <w:sz w:val="28"/>
          <w:szCs w:val="28"/>
          <w:lang w:val="uk-UA" w:eastAsia="ru-RU"/>
          <w14:ligatures w14:val="none"/>
        </w:rPr>
        <w:t>цифровий облік - опанування інструментарію LOGFAS та систем класу SAP;</w:t>
      </w:r>
      <w:r w:rsidRPr="00B44B71">
        <w:rPr>
          <w:rFonts w:ascii="Times New Roman" w:eastAsia="Times New Roman" w:hAnsi="Times New Roman" w:cs="Times New Roman"/>
          <w:kern w:val="0"/>
          <w:sz w:val="28"/>
          <w:szCs w:val="28"/>
          <w:lang w:val="uk-UA" w:eastAsia="uk-UA"/>
          <w14:ligatures w14:val="none"/>
        </w:rPr>
        <w:t xml:space="preserve"> </w:t>
      </w:r>
      <w:r w:rsidRPr="00B44B71">
        <w:rPr>
          <w:rFonts w:ascii="Times New Roman" w:eastAsia="Times New Roman" w:hAnsi="Times New Roman" w:cs="Times New Roman"/>
          <w:kern w:val="0"/>
          <w:sz w:val="28"/>
          <w:szCs w:val="28"/>
          <w:lang w:val="uk-UA" w:eastAsia="ru-RU"/>
          <w14:ligatures w14:val="none"/>
        </w:rPr>
        <w:t>моніторинг ресурсів - використання функціональних модулів логістики для відстеження залишків майна в реальному часі.</w:t>
      </w:r>
    </w:p>
    <w:p w14:paraId="465F526A" w14:textId="77777777" w:rsidR="00B44B71" w:rsidRPr="00B44B71" w:rsidRDefault="00B44B71" w:rsidP="00023291">
      <w:pPr>
        <w:tabs>
          <w:tab w:val="left" w:pos="851"/>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Водночас, попри готовність розробників до впровадження програмного забезпечення LOGFAS в ДПСУ, про що зазначено у [16], його практична реалізація в освітньому процесі НАДПСУ залишається актуальним викликом. </w:t>
      </w:r>
    </w:p>
    <w:p w14:paraId="51E97D6E" w14:textId="77777777" w:rsidR="00B44B71" w:rsidRPr="00B44B71" w:rsidRDefault="00B44B71" w:rsidP="00023291">
      <w:pPr>
        <w:tabs>
          <w:tab w:val="left" w:pos="851"/>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Ще одним суттєвим викликом для освітнього процесу НАДПСУ та кафедри логістики є інтеграція досвіду застосування наземних роботизованих систем (далі – НРС) як у освітній процес так і зміст окремих навчальних дисциплін. Аналіз бойового досвіду викладачів кафедри логістики, висвітленого у [9], також підтверджує необхідність використання спеціалізованих симуляторів у навчанні. </w:t>
      </w:r>
    </w:p>
    <w:p w14:paraId="057DC566" w14:textId="77777777" w:rsidR="00B44B71" w:rsidRPr="00B44B71" w:rsidRDefault="00B44B71" w:rsidP="00023291">
      <w:pPr>
        <w:tabs>
          <w:tab w:val="left" w:pos="993"/>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 xml:space="preserve">Використання НРС у навчанні дозволяє ЗВО відпрацювати алгоритми доставки боєприпасів чи продовольства на «передній край» без ризику для особового складу. Симулятори дозволяють ЗВО в реальному часі приймати рішення щодо зміни маршрутів при знищенні основних шляхів постачання (наприклад, у смузі дії ОТУ «Харків»), що формує навички оперативного реагування. Саме тому такі технології як: інверторні системи, роботизація, цифровізація повинні розглядатися в НАДПСУ не як допоміжні, а як базові компоненти оновленої системи підготовки ЗВО за </w:t>
      </w:r>
      <w:r w:rsidRPr="00B44B71">
        <w:rPr>
          <w:rFonts w:ascii="Times New Roman" w:eastAsia="Times New Roman" w:hAnsi="Times New Roman" w:cs="Times New Roman"/>
          <w:kern w:val="0"/>
          <w:sz w:val="28"/>
          <w:szCs w:val="28"/>
          <w:lang w:val="uk-UA" w:eastAsia="ru-RU"/>
          <w14:ligatures w14:val="none"/>
        </w:rPr>
        <w:t>ОПП «Тил ДПСУ»</w:t>
      </w:r>
      <w:r w:rsidRPr="00B44B71">
        <w:rPr>
          <w:rFonts w:ascii="Times New Roman" w:eastAsia="Times New Roman" w:hAnsi="Times New Roman" w:cs="Times New Roman"/>
          <w:kern w:val="0"/>
          <w:sz w:val="28"/>
          <w:szCs w:val="28"/>
          <w:lang w:val="uk-UA" w:eastAsia="uk-UA"/>
          <w14:ligatures w14:val="none"/>
        </w:rPr>
        <w:t>.</w:t>
      </w:r>
    </w:p>
    <w:p w14:paraId="450A84C4" w14:textId="77777777" w:rsidR="00B44B71" w:rsidRPr="00B44B71" w:rsidRDefault="00B44B71" w:rsidP="00023291">
      <w:pPr>
        <w:tabs>
          <w:tab w:val="left" w:pos="993"/>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Для розуміння викликів, перед якими стоїть випускник НАДПСУ, доцільно звернутися до праць М. М. Литвина [17, 18]. Він описував перехід ДПСУ до правоохоронної моделі, де пріоритетами були інженерне облаштування кордону та стаціонарне обслуговування. Проте сьогодні цей «правоохоронний багаж» у питаннях нормування та ешелонування запасів вступає у дисонанс із вимогами повномасштабної війни.</w:t>
      </w:r>
    </w:p>
    <w:p w14:paraId="3F941B36"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ru-RU"/>
          <w14:ligatures w14:val="none"/>
        </w:rPr>
        <w:t xml:space="preserve">На наше переконання </w:t>
      </w:r>
      <w:r w:rsidRPr="00B44B71">
        <w:rPr>
          <w:rFonts w:ascii="Times New Roman" w:eastAsia="Times New Roman" w:hAnsi="Times New Roman" w:cs="Times New Roman"/>
          <w:kern w:val="0"/>
          <w:sz w:val="28"/>
          <w:szCs w:val="28"/>
          <w:lang w:val="uk-UA" w:eastAsia="uk-UA"/>
          <w14:ligatures w14:val="none"/>
        </w:rPr>
        <w:t xml:space="preserve">ОПП «Тил ДПСУ» </w:t>
      </w:r>
      <w:r w:rsidRPr="00B44B71">
        <w:rPr>
          <w:rFonts w:ascii="Times New Roman" w:eastAsia="Times New Roman" w:hAnsi="Times New Roman" w:cs="Times New Roman"/>
          <w:kern w:val="0"/>
          <w:sz w:val="28"/>
          <w:szCs w:val="28"/>
          <w:lang w:val="uk-UA" w:eastAsia="ru-RU"/>
          <w14:ligatures w14:val="none"/>
        </w:rPr>
        <w:t xml:space="preserve">має формувати у ЗВО розуміння того, що його майбутня професійна діяльність відбуватиметься </w:t>
      </w:r>
      <w:r w:rsidRPr="00B44B71">
        <w:rPr>
          <w:rFonts w:ascii="Times New Roman" w:eastAsia="Times New Roman" w:hAnsi="Times New Roman" w:cs="Times New Roman"/>
          <w:bCs/>
          <w:kern w:val="0"/>
          <w:sz w:val="28"/>
          <w:szCs w:val="28"/>
          <w:lang w:val="uk-UA" w:eastAsia="ru-RU"/>
          <w14:ligatures w14:val="none"/>
        </w:rPr>
        <w:t>не в умовах мирного часу та стаціонарних військових містечок</w:t>
      </w:r>
      <w:r w:rsidRPr="00B44B71">
        <w:rPr>
          <w:rFonts w:ascii="Times New Roman" w:eastAsia="Times New Roman" w:hAnsi="Times New Roman" w:cs="Times New Roman"/>
          <w:kern w:val="0"/>
          <w:sz w:val="28"/>
          <w:szCs w:val="28"/>
          <w:lang w:val="uk-UA" w:eastAsia="ru-RU"/>
          <w14:ligatures w14:val="none"/>
        </w:rPr>
        <w:t xml:space="preserve">, а в динамічній, високоризиковій бойовій обстановці. Сучасна війна вимагає </w:t>
      </w:r>
      <w:r w:rsidRPr="00B44B71">
        <w:rPr>
          <w:rFonts w:ascii="Times New Roman" w:eastAsia="Times New Roman" w:hAnsi="Times New Roman" w:cs="Times New Roman"/>
          <w:bCs/>
          <w:kern w:val="0"/>
          <w:sz w:val="28"/>
          <w:szCs w:val="28"/>
          <w:lang w:val="uk-UA" w:eastAsia="ru-RU"/>
          <w14:ligatures w14:val="none"/>
        </w:rPr>
        <w:t>мобільної, адаптивної та розосередженої логістики</w:t>
      </w:r>
      <w:r w:rsidRPr="00B44B71">
        <w:rPr>
          <w:rFonts w:ascii="Times New Roman" w:eastAsia="Times New Roman" w:hAnsi="Times New Roman" w:cs="Times New Roman"/>
          <w:kern w:val="0"/>
          <w:sz w:val="28"/>
          <w:szCs w:val="28"/>
          <w:lang w:val="uk-UA" w:eastAsia="ru-RU"/>
          <w14:ligatures w14:val="none"/>
        </w:rPr>
        <w:t>, здатної функціонувати під постійною загрозою вогневого й інформаційного впливу противника.</w:t>
      </w:r>
    </w:p>
    <w:p w14:paraId="2FE4AF73"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У зв’язку з цим на кафедрі логістики НАДПСУ доцільно забезпечити викладання таких навчальних модулів і практичних напрямів: </w:t>
      </w:r>
      <w:r w:rsidRPr="00B44B71">
        <w:rPr>
          <w:rFonts w:ascii="Times New Roman" w:eastAsia="Times New Roman" w:hAnsi="Times New Roman" w:cs="Times New Roman"/>
          <w:bCs/>
          <w:kern w:val="0"/>
          <w:sz w:val="28"/>
          <w:szCs w:val="28"/>
          <w:lang w:val="uk-UA" w:eastAsia="ru-RU"/>
          <w14:ligatures w14:val="none"/>
        </w:rPr>
        <w:t xml:space="preserve">методики </w:t>
      </w:r>
      <w:r w:rsidRPr="00B44B71">
        <w:rPr>
          <w:rFonts w:ascii="Times New Roman" w:eastAsia="Times New Roman" w:hAnsi="Times New Roman" w:cs="Times New Roman"/>
          <w:bCs/>
          <w:kern w:val="0"/>
          <w:sz w:val="28"/>
          <w:szCs w:val="28"/>
          <w:lang w:val="uk-UA" w:eastAsia="ru-RU"/>
          <w14:ligatures w14:val="none"/>
        </w:rPr>
        <w:lastRenderedPageBreak/>
        <w:t>організації розосереджених складів</w:t>
      </w:r>
      <w:r w:rsidRPr="00B44B71">
        <w:rPr>
          <w:rFonts w:ascii="Times New Roman" w:eastAsia="Times New Roman" w:hAnsi="Times New Roman" w:cs="Times New Roman"/>
          <w:kern w:val="0"/>
          <w:sz w:val="28"/>
          <w:szCs w:val="28"/>
          <w:lang w:val="uk-UA" w:eastAsia="ru-RU"/>
          <w14:ligatures w14:val="none"/>
        </w:rPr>
        <w:t xml:space="preserve">, що забезпечують зменшення втрат матеріальних засобів та підвищення живучості системи матеріального забезпечення; </w:t>
      </w:r>
      <w:r w:rsidRPr="00B44B71">
        <w:rPr>
          <w:rFonts w:ascii="Times New Roman" w:eastAsia="Times New Roman" w:hAnsi="Times New Roman" w:cs="Times New Roman"/>
          <w:bCs/>
          <w:kern w:val="0"/>
          <w:sz w:val="28"/>
          <w:szCs w:val="28"/>
          <w:lang w:val="uk-UA" w:eastAsia="ru-RU"/>
          <w14:ligatures w14:val="none"/>
        </w:rPr>
        <w:t>принципи «москітної» логістики</w:t>
      </w:r>
      <w:r w:rsidRPr="00B44B71">
        <w:rPr>
          <w:rFonts w:ascii="Times New Roman" w:eastAsia="Times New Roman" w:hAnsi="Times New Roman" w:cs="Times New Roman"/>
          <w:kern w:val="0"/>
          <w:sz w:val="28"/>
          <w:szCs w:val="28"/>
          <w:lang w:val="uk-UA" w:eastAsia="ru-RU"/>
          <w14:ligatures w14:val="none"/>
        </w:rPr>
        <w:t xml:space="preserve">, які базуються на застосуванні малих автономних груп та маневрених логістичних платформ для оперативного і прихованого забезпечення підрозділів; </w:t>
      </w:r>
      <w:r w:rsidRPr="00B44B71">
        <w:rPr>
          <w:rFonts w:ascii="Times New Roman" w:eastAsia="Times New Roman" w:hAnsi="Times New Roman" w:cs="Times New Roman"/>
          <w:bCs/>
          <w:kern w:val="0"/>
          <w:sz w:val="28"/>
          <w:szCs w:val="28"/>
          <w:lang w:val="uk-UA" w:eastAsia="ru-RU"/>
          <w14:ligatures w14:val="none"/>
        </w:rPr>
        <w:t>алгоритми швидкого розгортання пунктів технічного обслуговування в польових умовах</w:t>
      </w:r>
      <w:r w:rsidRPr="00B44B71">
        <w:rPr>
          <w:rFonts w:ascii="Times New Roman" w:eastAsia="Times New Roman" w:hAnsi="Times New Roman" w:cs="Times New Roman"/>
          <w:kern w:val="0"/>
          <w:sz w:val="28"/>
          <w:szCs w:val="28"/>
          <w:lang w:val="uk-UA" w:eastAsia="ru-RU"/>
          <w14:ligatures w14:val="none"/>
        </w:rPr>
        <w:t>, з урахуванням обмежених ресурсів, часу та підвищеної загрози ураження.</w:t>
      </w:r>
    </w:p>
    <w:p w14:paraId="732B9788"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Підготовка офіцера за </w:t>
      </w:r>
      <w:r w:rsidRPr="00B44B71">
        <w:rPr>
          <w:rFonts w:ascii="Times New Roman" w:eastAsia="Times New Roman" w:hAnsi="Times New Roman" w:cs="Times New Roman"/>
          <w:kern w:val="0"/>
          <w:sz w:val="28"/>
          <w:szCs w:val="28"/>
          <w:lang w:val="uk-UA" w:eastAsia="uk-UA"/>
          <w14:ligatures w14:val="none"/>
        </w:rPr>
        <w:t xml:space="preserve">ОПП «Тил ДПСУ» </w:t>
      </w:r>
      <w:r w:rsidRPr="00B44B71">
        <w:rPr>
          <w:rFonts w:ascii="Times New Roman" w:eastAsia="Times New Roman" w:hAnsi="Times New Roman" w:cs="Times New Roman"/>
          <w:kern w:val="0"/>
          <w:sz w:val="28"/>
          <w:szCs w:val="28"/>
          <w:lang w:val="uk-UA" w:eastAsia="ru-RU"/>
          <w14:ligatures w14:val="none"/>
        </w:rPr>
        <w:t xml:space="preserve">має </w:t>
      </w:r>
      <w:r w:rsidRPr="00B44B71">
        <w:rPr>
          <w:rFonts w:ascii="Times New Roman" w:eastAsia="Times New Roman" w:hAnsi="Times New Roman" w:cs="Times New Roman"/>
          <w:bCs/>
          <w:kern w:val="0"/>
          <w:sz w:val="28"/>
          <w:szCs w:val="28"/>
          <w:lang w:val="uk-UA" w:eastAsia="ru-RU"/>
          <w14:ligatures w14:val="none"/>
        </w:rPr>
        <w:t>подолати застарілу радянську модель «привезти – віддати»</w:t>
      </w:r>
      <w:r w:rsidRPr="00B44B71">
        <w:rPr>
          <w:rFonts w:ascii="Times New Roman" w:eastAsia="Times New Roman" w:hAnsi="Times New Roman" w:cs="Times New Roman"/>
          <w:kern w:val="0"/>
          <w:sz w:val="28"/>
          <w:szCs w:val="28"/>
          <w:lang w:val="uk-UA" w:eastAsia="ru-RU"/>
          <w14:ligatures w14:val="none"/>
        </w:rPr>
        <w:t xml:space="preserve">, що не відповідає реаліям сучасних бойових дій. Натомість ЗВО повинен опановувати </w:t>
      </w:r>
      <w:r w:rsidRPr="00B44B71">
        <w:rPr>
          <w:rFonts w:ascii="Times New Roman" w:eastAsia="Times New Roman" w:hAnsi="Times New Roman" w:cs="Times New Roman"/>
          <w:bCs/>
          <w:kern w:val="0"/>
          <w:sz w:val="28"/>
          <w:szCs w:val="28"/>
          <w:lang w:val="uk-UA" w:eastAsia="ru-RU"/>
          <w14:ligatures w14:val="none"/>
        </w:rPr>
        <w:t>управління повним життєвим циклом ресурсу</w:t>
      </w:r>
      <w:r w:rsidRPr="00B44B71">
        <w:rPr>
          <w:rFonts w:ascii="Times New Roman" w:eastAsia="Times New Roman" w:hAnsi="Times New Roman" w:cs="Times New Roman"/>
          <w:kern w:val="0"/>
          <w:sz w:val="28"/>
          <w:szCs w:val="28"/>
          <w:lang w:val="uk-UA" w:eastAsia="ru-RU"/>
          <w14:ligatures w14:val="none"/>
        </w:rPr>
        <w:t xml:space="preserve"> — від аналізу потреб підрозділу, який виконує завдання в оперативному підпорядкуванні ЗСУ, до цифрового обліку, контролю використання та </w:t>
      </w:r>
      <w:r w:rsidRPr="00B44B71">
        <w:rPr>
          <w:rFonts w:ascii="Times New Roman" w:eastAsia="Times New Roman" w:hAnsi="Times New Roman" w:cs="Times New Roman"/>
          <w:bCs/>
          <w:kern w:val="0"/>
          <w:sz w:val="28"/>
          <w:szCs w:val="28"/>
          <w:lang w:val="uk-UA" w:eastAsia="ru-RU"/>
          <w14:ligatures w14:val="none"/>
        </w:rPr>
        <w:t>автоматизованого списання майна</w:t>
      </w:r>
      <w:r w:rsidRPr="00B44B71">
        <w:rPr>
          <w:rFonts w:ascii="Times New Roman" w:eastAsia="Times New Roman" w:hAnsi="Times New Roman" w:cs="Times New Roman"/>
          <w:kern w:val="0"/>
          <w:sz w:val="28"/>
          <w:szCs w:val="28"/>
          <w:lang w:val="uk-UA" w:eastAsia="ru-RU"/>
          <w14:ligatures w14:val="none"/>
        </w:rPr>
        <w:t>, втраченого або знищеного під час бойових дій.</w:t>
      </w:r>
    </w:p>
    <w:p w14:paraId="6A61248E" w14:textId="77777777" w:rsidR="00B44B71" w:rsidRPr="00B44B71" w:rsidRDefault="00B44B71" w:rsidP="00023291">
      <w:pPr>
        <w:tabs>
          <w:tab w:val="left" w:pos="993"/>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У праці [19] колектив авторів (В. Кивлюк, М. Ткач та ін.) акцентує увагу на дефіциті кадрів, чиї компетенції відповідають стандартам ЄС та НАТО. Це актуалізує питання створення спеціалізованих кафедр логістики в системі Міністерства внутрішніх справ України та ДПСУ. Спираючись на дослідження Г. І. Кривогуза та колег [20], можна виокремити шлях подолання «концептуального розриву» в освіті через: п</w:t>
      </w:r>
      <w:r w:rsidRPr="00B44B71">
        <w:rPr>
          <w:rFonts w:ascii="Times New Roman" w:eastAsia="Times New Roman" w:hAnsi="Times New Roman" w:cs="Times New Roman"/>
          <w:bCs/>
          <w:kern w:val="0"/>
          <w:sz w:val="28"/>
          <w:szCs w:val="28"/>
          <w:lang w:val="uk-UA" w:eastAsia="uk-UA"/>
          <w14:ligatures w14:val="none"/>
        </w:rPr>
        <w:t>роєктування нових стандартів навчання</w:t>
      </w:r>
      <w:r w:rsidRPr="00B44B71">
        <w:rPr>
          <w:rFonts w:ascii="Times New Roman" w:eastAsia="Times New Roman" w:hAnsi="Times New Roman" w:cs="Times New Roman"/>
          <w:kern w:val="0"/>
          <w:sz w:val="28"/>
          <w:szCs w:val="28"/>
          <w:lang w:val="uk-UA" w:eastAsia="uk-UA"/>
          <w14:ligatures w14:val="none"/>
        </w:rPr>
        <w:t xml:space="preserve">, що враховують роботу офіцерів у штабних секціях S4; </w:t>
      </w:r>
      <w:r w:rsidRPr="00B44B71">
        <w:rPr>
          <w:rFonts w:ascii="Times New Roman" w:eastAsia="Times New Roman" w:hAnsi="Times New Roman" w:cs="Times New Roman"/>
          <w:bCs/>
          <w:kern w:val="0"/>
          <w:sz w:val="28"/>
          <w:szCs w:val="28"/>
          <w:lang w:val="uk-UA" w:eastAsia="uk-UA"/>
          <w14:ligatures w14:val="none"/>
        </w:rPr>
        <w:t>академічну трансформацію</w:t>
      </w:r>
      <w:r w:rsidRPr="00B44B71">
        <w:rPr>
          <w:rFonts w:ascii="Times New Roman" w:eastAsia="Times New Roman" w:hAnsi="Times New Roman" w:cs="Times New Roman"/>
          <w:kern w:val="0"/>
          <w:sz w:val="28"/>
          <w:szCs w:val="28"/>
          <w:lang w:val="uk-UA" w:eastAsia="uk-UA"/>
          <w14:ligatures w14:val="none"/>
        </w:rPr>
        <w:t xml:space="preserve">, яка передбачає запровадження магістерських програм, орієнтованих на логістичний менеджмент; </w:t>
      </w:r>
      <w:r w:rsidRPr="00B44B71">
        <w:rPr>
          <w:rFonts w:ascii="Times New Roman" w:eastAsia="Times New Roman" w:hAnsi="Times New Roman" w:cs="Times New Roman"/>
          <w:bCs/>
          <w:kern w:val="0"/>
          <w:sz w:val="28"/>
          <w:szCs w:val="28"/>
          <w:lang w:val="uk-UA" w:eastAsia="uk-UA"/>
          <w14:ligatures w14:val="none"/>
        </w:rPr>
        <w:t>вивчення стандартів STANAG</w:t>
      </w:r>
      <w:r w:rsidRPr="00B44B71">
        <w:rPr>
          <w:rFonts w:ascii="Times New Roman" w:eastAsia="Times New Roman" w:hAnsi="Times New Roman" w:cs="Times New Roman"/>
          <w:kern w:val="0"/>
          <w:sz w:val="28"/>
          <w:szCs w:val="28"/>
          <w:lang w:val="uk-UA" w:eastAsia="uk-UA"/>
          <w14:ligatures w14:val="none"/>
        </w:rPr>
        <w:t>, що є ключем до отримання та розподілу міжнародної технічної допомоги.</w:t>
      </w:r>
    </w:p>
    <w:p w14:paraId="2BC44802" w14:textId="77777777" w:rsidR="00B44B71" w:rsidRPr="00B44B71" w:rsidRDefault="00B44B71" w:rsidP="00023291">
      <w:pPr>
        <w:tabs>
          <w:tab w:val="left" w:pos="993"/>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Аналіз кадрової політики вказує на те, що офіцери, які навчаються у НАДПСУ за програмою «Безпека державного кордону», часто займають логістичні посади. Це вимагає глибшої інтеграції спеціалізованих модулів у магістерську підготовку. Офіцер-керівник має володіти компетенціями, що забезпечать йому професійну мобільність та якість управління в єдиному логістичному просторі Сил оборони.</w:t>
      </w:r>
    </w:p>
    <w:p w14:paraId="240B4833"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 xml:space="preserve">Для подолання «механістичного» підходу, про який згадує Т. А. Гармаш [14], підготовка в НАДПСУ має базуватися на чіткій матриці компетенцій. Наприклад за трьома основними кластерами: </w:t>
      </w:r>
      <w:r w:rsidRPr="00B44B71">
        <w:rPr>
          <w:rFonts w:ascii="Times New Roman" w:eastAsia="Times New Roman" w:hAnsi="Times New Roman" w:cs="Times New Roman"/>
          <w:bCs/>
          <w:kern w:val="0"/>
          <w:sz w:val="28"/>
          <w:szCs w:val="28"/>
          <w:lang w:val="uk-UA" w:eastAsia="uk-UA"/>
          <w14:ligatures w14:val="none"/>
        </w:rPr>
        <w:t>управлінсько-технологічним, оперативно-тактичним та інформаційно-аналітичним</w:t>
      </w:r>
      <w:r w:rsidRPr="00B44B71">
        <w:rPr>
          <w:rFonts w:ascii="Times New Roman" w:eastAsia="Times New Roman" w:hAnsi="Times New Roman" w:cs="Times New Roman"/>
          <w:kern w:val="0"/>
          <w:sz w:val="28"/>
          <w:szCs w:val="28"/>
          <w:lang w:val="uk-UA" w:eastAsia="uk-UA"/>
          <w14:ligatures w14:val="none"/>
        </w:rPr>
        <w:t>.</w:t>
      </w:r>
    </w:p>
    <w:p w14:paraId="5FDD8D5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 xml:space="preserve">В межах </w:t>
      </w:r>
      <w:r w:rsidRPr="00B44B71">
        <w:rPr>
          <w:rFonts w:ascii="Times New Roman" w:eastAsia="Times New Roman" w:hAnsi="Times New Roman" w:cs="Times New Roman"/>
          <w:bCs/>
          <w:kern w:val="0"/>
          <w:sz w:val="28"/>
          <w:szCs w:val="28"/>
          <w:lang w:val="uk-UA" w:eastAsia="uk-UA"/>
          <w14:ligatures w14:val="none"/>
        </w:rPr>
        <w:t>управлінсько-технологічного кластера</w:t>
      </w:r>
      <w:r w:rsidRPr="00B44B71">
        <w:rPr>
          <w:rFonts w:ascii="Times New Roman" w:eastAsia="Times New Roman" w:hAnsi="Times New Roman" w:cs="Times New Roman"/>
          <w:kern w:val="0"/>
          <w:sz w:val="28"/>
          <w:szCs w:val="28"/>
          <w:lang w:val="uk-UA" w:eastAsia="uk-UA"/>
          <w14:ligatures w14:val="none"/>
        </w:rPr>
        <w:t xml:space="preserve"> ЗВО повинен опанувати методику «життєвого циклу ресурсу». Це вимагає впровадження в освітній процес занять з економічного прогнозування та ризик-менеджменту. Майбутній офіцер має розуміти, що логістика починається не з отримання майна на складі, а з етапу формування обґрунтованої заявки на основі оперативного плану командира. Для цього в навчальні плани доцільно включити практичні кейси з розрахунку потреб підрозділу, що виконує завдання у відриві від основних баз постачання.</w:t>
      </w:r>
    </w:p>
    <w:p w14:paraId="51842104"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bCs/>
          <w:kern w:val="0"/>
          <w:sz w:val="28"/>
          <w:szCs w:val="28"/>
          <w:lang w:val="uk-UA" w:eastAsia="uk-UA"/>
          <w14:ligatures w14:val="none"/>
        </w:rPr>
        <w:lastRenderedPageBreak/>
        <w:t>Оперативно-тактичний кластер</w:t>
      </w:r>
      <w:r w:rsidRPr="00B44B71">
        <w:rPr>
          <w:rFonts w:ascii="Times New Roman" w:eastAsia="Times New Roman" w:hAnsi="Times New Roman" w:cs="Times New Roman"/>
          <w:kern w:val="0"/>
          <w:sz w:val="28"/>
          <w:szCs w:val="28"/>
          <w:lang w:val="uk-UA" w:eastAsia="uk-UA"/>
          <w14:ligatures w14:val="none"/>
        </w:rPr>
        <w:t xml:space="preserve"> підготовки має базуватися на досвіді функціонування логістичних систем у смугах оборони (на прикладі ОТУ «Харків»). Освітній процес повинен містити тренінги з розгортання «гнучких» ланцюгів постачання. Здобувачів вищої освіти слід навчати методам ешелонування запасів таким чином, щоб забезпечити живучість логістичної мережі під час постійних артилерійських та ракетних ударів. Особлива увага приділяється навчанню «горизонтальній взаємодії»: як офіцер ДПСУ має координувати свої дії з логістичними структурами ЗСУ на рівні тактичної ланки, оперуючи єдиними </w:t>
      </w:r>
      <w:r w:rsidRPr="00B44B71">
        <w:rPr>
          <w:rFonts w:ascii="Times New Roman" w:eastAsia="Times New Roman" w:hAnsi="Times New Roman" w:cs="Times New Roman"/>
          <w:bCs/>
          <w:kern w:val="0"/>
          <w:sz w:val="28"/>
          <w:szCs w:val="28"/>
          <w:lang w:val="uk-UA" w:eastAsia="uk-UA"/>
          <w14:ligatures w14:val="none"/>
        </w:rPr>
        <w:t>класами постачання</w:t>
      </w:r>
      <w:r w:rsidRPr="00B44B71">
        <w:rPr>
          <w:rFonts w:ascii="Times New Roman" w:eastAsia="Times New Roman" w:hAnsi="Times New Roman" w:cs="Times New Roman"/>
          <w:kern w:val="0"/>
          <w:sz w:val="28"/>
          <w:szCs w:val="28"/>
          <w:lang w:val="uk-UA" w:eastAsia="uk-UA"/>
          <w14:ligatures w14:val="none"/>
        </w:rPr>
        <w:t>.</w:t>
      </w:r>
    </w:p>
    <w:p w14:paraId="196447B7" w14:textId="351E633B" w:rsidR="00B44B71" w:rsidRPr="00E967C0" w:rsidRDefault="00B44B71" w:rsidP="00E967C0">
      <w:pPr>
        <w:tabs>
          <w:tab w:val="left" w:pos="993"/>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Нижче наведено порівняльну характеристику освітніх акцентів, яка має лягти в основу оновлених навчальних програм:</w:t>
      </w:r>
    </w:p>
    <w:p w14:paraId="6034B746" w14:textId="23FB1825" w:rsidR="00B44B71" w:rsidRPr="00B44B71" w:rsidRDefault="00B44B71" w:rsidP="00E967C0">
      <w:pPr>
        <w:tabs>
          <w:tab w:val="left" w:pos="993"/>
          <w:tab w:val="left" w:pos="9638"/>
        </w:tabs>
        <w:spacing w:after="0" w:line="240" w:lineRule="auto"/>
        <w:ind w:firstLine="567"/>
        <w:jc w:val="right"/>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Таблиця 1</w:t>
      </w:r>
    </w:p>
    <w:p w14:paraId="6167F3D6" w14:textId="77777777" w:rsidR="00B44B71" w:rsidRPr="00B44B71" w:rsidRDefault="00B44B71" w:rsidP="00023291">
      <w:pPr>
        <w:tabs>
          <w:tab w:val="left" w:pos="993"/>
          <w:tab w:val="left" w:pos="9638"/>
        </w:tabs>
        <w:spacing w:after="0" w:line="240" w:lineRule="auto"/>
        <w:ind w:firstLine="567"/>
        <w:jc w:val="center"/>
        <w:rPr>
          <w:rFonts w:ascii="Times New Roman" w:eastAsia="Times New Roman" w:hAnsi="Times New Roman" w:cs="Times New Roman"/>
          <w:b/>
          <w:bCs/>
          <w:kern w:val="0"/>
          <w:sz w:val="28"/>
          <w:szCs w:val="28"/>
          <w:lang w:val="uk-UA" w:eastAsia="ru-RU"/>
          <w14:ligatures w14:val="none"/>
        </w:rPr>
      </w:pPr>
      <w:r w:rsidRPr="00B44B71">
        <w:rPr>
          <w:rFonts w:ascii="Times New Roman" w:eastAsia="Times New Roman" w:hAnsi="Times New Roman" w:cs="Times New Roman"/>
          <w:b/>
          <w:bCs/>
          <w:kern w:val="0"/>
          <w:sz w:val="28"/>
          <w:szCs w:val="28"/>
          <w:lang w:val="uk-UA" w:eastAsia="ru-RU"/>
          <w14:ligatures w14:val="none"/>
        </w:rPr>
        <w:t>Порівняльна характеристика традиційної та сучасної моделей підготовки офіцерів логістики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2336"/>
        <w:gridCol w:w="2336"/>
        <w:gridCol w:w="2337"/>
      </w:tblGrid>
      <w:tr w:rsidR="00B44B71" w:rsidRPr="00B44B71" w14:paraId="5A05CADC" w14:textId="77777777" w:rsidTr="00F918EC">
        <w:tc>
          <w:tcPr>
            <w:tcW w:w="2336" w:type="dxa"/>
          </w:tcPr>
          <w:p w14:paraId="6C0238CC" w14:textId="77777777" w:rsidR="00B44B71" w:rsidRPr="00B44B71" w:rsidRDefault="00B44B71" w:rsidP="00023291">
            <w:pPr>
              <w:tabs>
                <w:tab w:val="left" w:pos="993"/>
                <w:tab w:val="left" w:pos="9638"/>
              </w:tabs>
              <w:spacing w:after="0" w:line="240" w:lineRule="auto"/>
              <w:jc w:val="center"/>
              <w:rPr>
                <w:rFonts w:ascii="Times New Roman" w:eastAsia="Times New Roman" w:hAnsi="Times New Roman" w:cs="Times New Roman"/>
                <w:kern w:val="0"/>
                <w:sz w:val="24"/>
                <w:szCs w:val="24"/>
                <w:lang w:val="ru-RU" w:eastAsia="ru-RU"/>
                <w14:ligatures w14:val="none"/>
              </w:rPr>
            </w:pPr>
            <w:r w:rsidRPr="00B44B71">
              <w:rPr>
                <w:rFonts w:ascii="Times New Roman" w:eastAsia="Times New Roman" w:hAnsi="Times New Roman" w:cs="Times New Roman"/>
                <w:b/>
                <w:bCs/>
                <w:kern w:val="0"/>
                <w:sz w:val="24"/>
                <w:szCs w:val="24"/>
                <w:bdr w:val="none" w:sz="0" w:space="0" w:color="auto" w:frame="1"/>
                <w:lang w:val="uk-UA" w:eastAsia="uk-UA"/>
                <w14:ligatures w14:val="none"/>
              </w:rPr>
              <w:t>Параметр порівняння</w:t>
            </w:r>
          </w:p>
        </w:tc>
        <w:tc>
          <w:tcPr>
            <w:tcW w:w="2336" w:type="dxa"/>
          </w:tcPr>
          <w:p w14:paraId="2C49E511" w14:textId="77777777" w:rsidR="00B44B71" w:rsidRPr="00B44B71" w:rsidRDefault="00B44B71" w:rsidP="00023291">
            <w:pPr>
              <w:tabs>
                <w:tab w:val="left" w:pos="993"/>
                <w:tab w:val="left" w:pos="9638"/>
              </w:tabs>
              <w:spacing w:after="0" w:line="240" w:lineRule="auto"/>
              <w:jc w:val="center"/>
              <w:rPr>
                <w:rFonts w:ascii="Times New Roman" w:eastAsia="Times New Roman" w:hAnsi="Times New Roman" w:cs="Times New Roman"/>
                <w:kern w:val="0"/>
                <w:sz w:val="24"/>
                <w:szCs w:val="24"/>
                <w:lang w:val="ru-RU" w:eastAsia="ru-RU"/>
                <w14:ligatures w14:val="none"/>
              </w:rPr>
            </w:pPr>
            <w:r w:rsidRPr="00B44B71">
              <w:rPr>
                <w:rFonts w:ascii="Times New Roman" w:eastAsia="Times New Roman" w:hAnsi="Times New Roman" w:cs="Times New Roman"/>
                <w:b/>
                <w:bCs/>
                <w:kern w:val="0"/>
                <w:sz w:val="24"/>
                <w:szCs w:val="24"/>
                <w:bdr w:val="none" w:sz="0" w:space="0" w:color="auto" w:frame="1"/>
                <w:lang w:val="uk-UA" w:eastAsia="uk-UA"/>
                <w14:ligatures w14:val="none"/>
              </w:rPr>
              <w:t>Традиційна модель (Тил)</w:t>
            </w:r>
          </w:p>
        </w:tc>
        <w:tc>
          <w:tcPr>
            <w:tcW w:w="2336" w:type="dxa"/>
          </w:tcPr>
          <w:p w14:paraId="29E599DD" w14:textId="77777777" w:rsidR="00B44B71" w:rsidRPr="00B44B71" w:rsidRDefault="00B44B71" w:rsidP="00023291">
            <w:pPr>
              <w:tabs>
                <w:tab w:val="left" w:pos="993"/>
                <w:tab w:val="left" w:pos="9638"/>
              </w:tabs>
              <w:spacing w:after="0" w:line="240" w:lineRule="auto"/>
              <w:jc w:val="center"/>
              <w:rPr>
                <w:rFonts w:ascii="Times New Roman" w:eastAsia="Times New Roman" w:hAnsi="Times New Roman" w:cs="Times New Roman"/>
                <w:kern w:val="0"/>
                <w:sz w:val="24"/>
                <w:szCs w:val="24"/>
                <w:lang w:val="ru-RU" w:eastAsia="ru-RU"/>
                <w14:ligatures w14:val="none"/>
              </w:rPr>
            </w:pPr>
            <w:r w:rsidRPr="00B44B71">
              <w:rPr>
                <w:rFonts w:ascii="Times New Roman" w:eastAsia="Times New Roman" w:hAnsi="Times New Roman" w:cs="Times New Roman"/>
                <w:b/>
                <w:bCs/>
                <w:kern w:val="0"/>
                <w:sz w:val="24"/>
                <w:szCs w:val="24"/>
                <w:bdr w:val="none" w:sz="0" w:space="0" w:color="auto" w:frame="1"/>
                <w:lang w:val="uk-UA" w:eastAsia="uk-UA"/>
                <w14:ligatures w14:val="none"/>
              </w:rPr>
              <w:t>Сучасна модель (Логістика)</w:t>
            </w:r>
          </w:p>
        </w:tc>
        <w:tc>
          <w:tcPr>
            <w:tcW w:w="2337" w:type="dxa"/>
          </w:tcPr>
          <w:p w14:paraId="684C8135" w14:textId="77777777" w:rsidR="00B44B71" w:rsidRPr="00B44B71" w:rsidRDefault="00B44B71" w:rsidP="00023291">
            <w:pPr>
              <w:tabs>
                <w:tab w:val="left" w:pos="993"/>
                <w:tab w:val="left" w:pos="9638"/>
              </w:tabs>
              <w:spacing w:after="0" w:line="240" w:lineRule="auto"/>
              <w:jc w:val="center"/>
              <w:rPr>
                <w:rFonts w:ascii="Times New Roman" w:eastAsia="Times New Roman" w:hAnsi="Times New Roman" w:cs="Times New Roman"/>
                <w:kern w:val="0"/>
                <w:sz w:val="24"/>
                <w:szCs w:val="24"/>
                <w:lang w:val="ru-RU" w:eastAsia="ru-RU"/>
                <w14:ligatures w14:val="none"/>
              </w:rPr>
            </w:pPr>
            <w:r w:rsidRPr="00B44B71">
              <w:rPr>
                <w:rFonts w:ascii="Times New Roman" w:eastAsia="Times New Roman" w:hAnsi="Times New Roman" w:cs="Times New Roman"/>
                <w:b/>
                <w:bCs/>
                <w:kern w:val="0"/>
                <w:sz w:val="24"/>
                <w:szCs w:val="24"/>
                <w:bdr w:val="none" w:sz="0" w:space="0" w:color="auto" w:frame="1"/>
                <w:lang w:val="uk-UA" w:eastAsia="uk-UA"/>
                <w14:ligatures w14:val="none"/>
              </w:rPr>
              <w:t>Навчальний фокус для ЗВО</w:t>
            </w:r>
          </w:p>
        </w:tc>
      </w:tr>
      <w:tr w:rsidR="00B44B71" w:rsidRPr="00B44B71" w14:paraId="6DB377CF" w14:textId="77777777" w:rsidTr="00F918EC">
        <w:tc>
          <w:tcPr>
            <w:tcW w:w="2336" w:type="dxa"/>
          </w:tcPr>
          <w:p w14:paraId="2B443663" w14:textId="77777777" w:rsidR="00B44B71" w:rsidRPr="00B44B71" w:rsidRDefault="00B44B71" w:rsidP="00023291">
            <w:pPr>
              <w:tabs>
                <w:tab w:val="left" w:pos="993"/>
                <w:tab w:val="left" w:pos="9638"/>
              </w:tabs>
              <w:spacing w:after="0" w:line="240" w:lineRule="auto"/>
              <w:jc w:val="center"/>
              <w:rPr>
                <w:rFonts w:ascii="Times New Roman" w:eastAsia="Times New Roman" w:hAnsi="Times New Roman" w:cs="Times New Roman"/>
                <w:kern w:val="0"/>
                <w:sz w:val="24"/>
                <w:szCs w:val="24"/>
                <w:lang w:val="ru-RU" w:eastAsia="ru-RU"/>
                <w14:ligatures w14:val="none"/>
              </w:rPr>
            </w:pPr>
            <w:r w:rsidRPr="00B44B71">
              <w:rPr>
                <w:rFonts w:ascii="Times New Roman" w:eastAsia="Times New Roman" w:hAnsi="Times New Roman" w:cs="Times New Roman"/>
                <w:b/>
                <w:bCs/>
                <w:kern w:val="0"/>
                <w:sz w:val="24"/>
                <w:szCs w:val="24"/>
                <w:bdr w:val="none" w:sz="0" w:space="0" w:color="auto" w:frame="1"/>
                <w:lang w:val="uk-UA" w:eastAsia="uk-UA"/>
                <w14:ligatures w14:val="none"/>
              </w:rPr>
              <w:t>Об'єкт управління</w:t>
            </w:r>
          </w:p>
        </w:tc>
        <w:tc>
          <w:tcPr>
            <w:tcW w:w="2336" w:type="dxa"/>
          </w:tcPr>
          <w:p w14:paraId="72E72CFC" w14:textId="77777777" w:rsidR="00B44B71" w:rsidRPr="00B44B71" w:rsidRDefault="00B44B71" w:rsidP="00023291">
            <w:pPr>
              <w:tabs>
                <w:tab w:val="left" w:pos="993"/>
                <w:tab w:val="left" w:pos="9638"/>
              </w:tabs>
              <w:spacing w:after="0" w:line="240" w:lineRule="auto"/>
              <w:jc w:val="center"/>
              <w:rPr>
                <w:rFonts w:ascii="Times New Roman" w:eastAsia="Times New Roman" w:hAnsi="Times New Roman" w:cs="Times New Roman"/>
                <w:kern w:val="0"/>
                <w:sz w:val="24"/>
                <w:szCs w:val="24"/>
                <w:lang w:val="ru-RU" w:eastAsia="ru-RU"/>
                <w14:ligatures w14:val="none"/>
              </w:rPr>
            </w:pPr>
            <w:r w:rsidRPr="00B44B71">
              <w:rPr>
                <w:rFonts w:ascii="Times New Roman" w:eastAsia="Times New Roman" w:hAnsi="Times New Roman" w:cs="Times New Roman"/>
                <w:kern w:val="0"/>
                <w:sz w:val="24"/>
                <w:szCs w:val="24"/>
                <w:bdr w:val="none" w:sz="0" w:space="0" w:color="auto" w:frame="1"/>
                <w:lang w:val="uk-UA" w:eastAsia="uk-UA"/>
                <w14:ligatures w14:val="none"/>
              </w:rPr>
              <w:t>Складське господарство</w:t>
            </w:r>
          </w:p>
        </w:tc>
        <w:tc>
          <w:tcPr>
            <w:tcW w:w="2336" w:type="dxa"/>
          </w:tcPr>
          <w:p w14:paraId="29B5A227" w14:textId="77777777" w:rsidR="00B44B71" w:rsidRPr="00B44B71" w:rsidRDefault="00B44B71" w:rsidP="00023291">
            <w:pPr>
              <w:tabs>
                <w:tab w:val="left" w:pos="993"/>
                <w:tab w:val="left" w:pos="9638"/>
              </w:tabs>
              <w:spacing w:after="0" w:line="240" w:lineRule="auto"/>
              <w:jc w:val="center"/>
              <w:rPr>
                <w:rFonts w:ascii="Times New Roman" w:eastAsia="Times New Roman" w:hAnsi="Times New Roman" w:cs="Times New Roman"/>
                <w:kern w:val="0"/>
                <w:sz w:val="24"/>
                <w:szCs w:val="24"/>
                <w:lang w:val="ru-RU" w:eastAsia="ru-RU"/>
                <w14:ligatures w14:val="none"/>
              </w:rPr>
            </w:pPr>
            <w:r w:rsidRPr="00B44B71">
              <w:rPr>
                <w:rFonts w:ascii="Times New Roman" w:eastAsia="Times New Roman" w:hAnsi="Times New Roman" w:cs="Times New Roman"/>
                <w:kern w:val="0"/>
                <w:sz w:val="24"/>
                <w:szCs w:val="24"/>
                <w:bdr w:val="none" w:sz="0" w:space="0" w:color="auto" w:frame="1"/>
                <w:lang w:val="ru-RU" w:eastAsia="ru-RU"/>
                <w14:ligatures w14:val="none"/>
              </w:rPr>
              <w:t>Матеріальні та інформаційні</w:t>
            </w:r>
            <w:r w:rsidRPr="00B44B71">
              <w:rPr>
                <w:rFonts w:ascii="Times New Roman" w:eastAsia="Times New Roman" w:hAnsi="Times New Roman" w:cs="Times New Roman"/>
                <w:kern w:val="0"/>
                <w:sz w:val="24"/>
                <w:szCs w:val="24"/>
                <w:bdr w:val="none" w:sz="0" w:space="0" w:color="auto" w:frame="1"/>
                <w:lang w:val="uk-UA" w:eastAsia="uk-UA"/>
                <w14:ligatures w14:val="none"/>
              </w:rPr>
              <w:t xml:space="preserve"> потоки</w:t>
            </w:r>
          </w:p>
        </w:tc>
        <w:tc>
          <w:tcPr>
            <w:tcW w:w="2337" w:type="dxa"/>
          </w:tcPr>
          <w:p w14:paraId="381A8D82" w14:textId="77777777" w:rsidR="00B44B71" w:rsidRPr="00B44B71" w:rsidRDefault="00B44B71" w:rsidP="00023291">
            <w:pPr>
              <w:tabs>
                <w:tab w:val="left" w:pos="993"/>
                <w:tab w:val="left" w:pos="9638"/>
              </w:tabs>
              <w:spacing w:after="0" w:line="240" w:lineRule="auto"/>
              <w:jc w:val="center"/>
              <w:rPr>
                <w:rFonts w:ascii="Times New Roman" w:eastAsia="Times New Roman" w:hAnsi="Times New Roman" w:cs="Times New Roman"/>
                <w:kern w:val="0"/>
                <w:sz w:val="24"/>
                <w:szCs w:val="24"/>
                <w:lang w:val="ru-RU" w:eastAsia="ru-RU"/>
                <w14:ligatures w14:val="none"/>
              </w:rPr>
            </w:pPr>
            <w:r w:rsidRPr="00B44B71">
              <w:rPr>
                <w:rFonts w:ascii="Times New Roman" w:eastAsia="Times New Roman" w:hAnsi="Times New Roman" w:cs="Times New Roman"/>
                <w:kern w:val="0"/>
                <w:sz w:val="24"/>
                <w:szCs w:val="24"/>
                <w:bdr w:val="none" w:sz="0" w:space="0" w:color="auto" w:frame="1"/>
                <w:lang w:val="uk-UA" w:eastAsia="uk-UA"/>
                <w14:ligatures w14:val="none"/>
              </w:rPr>
              <w:t>Управління ланцюгами постачання</w:t>
            </w:r>
          </w:p>
        </w:tc>
      </w:tr>
      <w:tr w:rsidR="00B44B71" w:rsidRPr="00B44B71" w14:paraId="2E21A7BC" w14:textId="77777777" w:rsidTr="00F918EC">
        <w:tc>
          <w:tcPr>
            <w:tcW w:w="2336" w:type="dxa"/>
          </w:tcPr>
          <w:p w14:paraId="19083A43" w14:textId="77777777" w:rsidR="00B44B71" w:rsidRPr="00B44B71" w:rsidRDefault="00B44B71" w:rsidP="00023291">
            <w:pPr>
              <w:tabs>
                <w:tab w:val="left" w:pos="993"/>
                <w:tab w:val="left" w:pos="9638"/>
              </w:tabs>
              <w:spacing w:after="0" w:line="240" w:lineRule="auto"/>
              <w:jc w:val="center"/>
              <w:rPr>
                <w:rFonts w:ascii="Times New Roman" w:eastAsia="Times New Roman" w:hAnsi="Times New Roman" w:cs="Times New Roman"/>
                <w:kern w:val="0"/>
                <w:sz w:val="24"/>
                <w:szCs w:val="24"/>
                <w:lang w:val="ru-RU" w:eastAsia="ru-RU"/>
                <w14:ligatures w14:val="none"/>
              </w:rPr>
            </w:pPr>
            <w:r w:rsidRPr="00B44B71">
              <w:rPr>
                <w:rFonts w:ascii="Times New Roman" w:eastAsia="Times New Roman" w:hAnsi="Times New Roman" w:cs="Times New Roman"/>
                <w:b/>
                <w:bCs/>
                <w:kern w:val="0"/>
                <w:sz w:val="24"/>
                <w:szCs w:val="24"/>
                <w:bdr w:val="none" w:sz="0" w:space="0" w:color="auto" w:frame="1"/>
                <w:lang w:val="uk-UA" w:eastAsia="uk-UA"/>
                <w14:ligatures w14:val="none"/>
              </w:rPr>
              <w:t>Принцип роботи</w:t>
            </w:r>
          </w:p>
        </w:tc>
        <w:tc>
          <w:tcPr>
            <w:tcW w:w="2336" w:type="dxa"/>
          </w:tcPr>
          <w:p w14:paraId="6BAFCBC4" w14:textId="77777777" w:rsidR="00B44B71" w:rsidRPr="00B44B71" w:rsidRDefault="00B44B71" w:rsidP="00023291">
            <w:pPr>
              <w:tabs>
                <w:tab w:val="left" w:pos="993"/>
                <w:tab w:val="left" w:pos="9638"/>
              </w:tabs>
              <w:spacing w:after="0" w:line="240" w:lineRule="auto"/>
              <w:jc w:val="center"/>
              <w:rPr>
                <w:rFonts w:ascii="Times New Roman" w:eastAsia="Times New Roman" w:hAnsi="Times New Roman" w:cs="Times New Roman"/>
                <w:kern w:val="0"/>
                <w:sz w:val="24"/>
                <w:szCs w:val="24"/>
                <w:lang w:val="ru-RU" w:eastAsia="ru-RU"/>
                <w14:ligatures w14:val="none"/>
              </w:rPr>
            </w:pPr>
            <w:r w:rsidRPr="00B44B71">
              <w:rPr>
                <w:rFonts w:ascii="Times New Roman" w:eastAsia="Times New Roman" w:hAnsi="Times New Roman" w:cs="Times New Roman"/>
                <w:kern w:val="0"/>
                <w:sz w:val="24"/>
                <w:szCs w:val="24"/>
                <w:bdr w:val="none" w:sz="0" w:space="0" w:color="auto" w:frame="1"/>
                <w:lang w:val="uk-UA" w:eastAsia="uk-UA"/>
                <w14:ligatures w14:val="none"/>
              </w:rPr>
              <w:t>Статичне накопичення</w:t>
            </w:r>
          </w:p>
        </w:tc>
        <w:tc>
          <w:tcPr>
            <w:tcW w:w="2336" w:type="dxa"/>
            <w:vAlign w:val="center"/>
          </w:tcPr>
          <w:p w14:paraId="52291D95" w14:textId="77777777" w:rsidR="00B44B71" w:rsidRPr="00B44B71" w:rsidRDefault="00B44B71" w:rsidP="00023291">
            <w:pPr>
              <w:tabs>
                <w:tab w:val="left" w:pos="9638"/>
              </w:tabs>
              <w:spacing w:after="0" w:line="240" w:lineRule="auto"/>
              <w:jc w:val="center"/>
              <w:rPr>
                <w:rFonts w:ascii="Times New Roman" w:eastAsia="Times New Roman" w:hAnsi="Times New Roman" w:cs="Times New Roman"/>
                <w:kern w:val="0"/>
                <w:sz w:val="24"/>
                <w:szCs w:val="24"/>
                <w:lang w:val="uk-UA" w:eastAsia="uk-UA"/>
                <w14:ligatures w14:val="none"/>
              </w:rPr>
            </w:pPr>
            <w:r w:rsidRPr="00B44B71">
              <w:rPr>
                <w:rFonts w:ascii="Times New Roman" w:eastAsia="Times New Roman" w:hAnsi="Times New Roman" w:cs="Times New Roman"/>
                <w:kern w:val="0"/>
                <w:sz w:val="24"/>
                <w:szCs w:val="24"/>
                <w:bdr w:val="none" w:sz="0" w:space="0" w:color="auto" w:frame="1"/>
                <w:lang w:val="uk-UA" w:eastAsia="uk-UA"/>
                <w14:ligatures w14:val="none"/>
              </w:rPr>
              <w:t>Динамічне ешелонування</w:t>
            </w:r>
          </w:p>
        </w:tc>
        <w:tc>
          <w:tcPr>
            <w:tcW w:w="2337" w:type="dxa"/>
          </w:tcPr>
          <w:p w14:paraId="0E60AEE1" w14:textId="77777777" w:rsidR="00B44B71" w:rsidRPr="00B44B71" w:rsidRDefault="00B44B71" w:rsidP="00023291">
            <w:pPr>
              <w:tabs>
                <w:tab w:val="left" w:pos="993"/>
                <w:tab w:val="left" w:pos="9638"/>
              </w:tabs>
              <w:spacing w:after="0" w:line="240" w:lineRule="auto"/>
              <w:jc w:val="center"/>
              <w:rPr>
                <w:rFonts w:ascii="Times New Roman" w:eastAsia="Times New Roman" w:hAnsi="Times New Roman" w:cs="Times New Roman"/>
                <w:kern w:val="0"/>
                <w:sz w:val="24"/>
                <w:szCs w:val="24"/>
                <w:lang w:val="ru-RU" w:eastAsia="ru-RU"/>
                <w14:ligatures w14:val="none"/>
              </w:rPr>
            </w:pPr>
            <w:r w:rsidRPr="00B44B71">
              <w:rPr>
                <w:rFonts w:ascii="Times New Roman" w:eastAsia="Times New Roman" w:hAnsi="Times New Roman" w:cs="Times New Roman"/>
                <w:kern w:val="0"/>
                <w:sz w:val="24"/>
                <w:szCs w:val="24"/>
                <w:bdr w:val="none" w:sz="0" w:space="0" w:color="auto" w:frame="1"/>
                <w:lang w:val="uk-UA" w:eastAsia="uk-UA"/>
                <w14:ligatures w14:val="none"/>
              </w:rPr>
              <w:t>Мобільність та розосередження</w:t>
            </w:r>
          </w:p>
        </w:tc>
      </w:tr>
      <w:tr w:rsidR="00B44B71" w:rsidRPr="00F25FCF" w14:paraId="69B8C421" w14:textId="77777777" w:rsidTr="00F918EC">
        <w:tc>
          <w:tcPr>
            <w:tcW w:w="2336" w:type="dxa"/>
          </w:tcPr>
          <w:p w14:paraId="5C2CA166" w14:textId="77777777" w:rsidR="00B44B71" w:rsidRPr="00B44B71" w:rsidRDefault="00B44B71" w:rsidP="00023291">
            <w:pPr>
              <w:tabs>
                <w:tab w:val="left" w:pos="993"/>
                <w:tab w:val="left" w:pos="9638"/>
              </w:tabs>
              <w:spacing w:after="0" w:line="240" w:lineRule="auto"/>
              <w:jc w:val="center"/>
              <w:rPr>
                <w:rFonts w:ascii="Times New Roman" w:eastAsia="Times New Roman" w:hAnsi="Times New Roman" w:cs="Times New Roman"/>
                <w:kern w:val="0"/>
                <w:sz w:val="24"/>
                <w:szCs w:val="24"/>
                <w:lang w:val="ru-RU" w:eastAsia="ru-RU"/>
                <w14:ligatures w14:val="none"/>
              </w:rPr>
            </w:pPr>
            <w:r w:rsidRPr="00B44B71">
              <w:rPr>
                <w:rFonts w:ascii="Times New Roman" w:eastAsia="Times New Roman" w:hAnsi="Times New Roman" w:cs="Times New Roman"/>
                <w:b/>
                <w:bCs/>
                <w:kern w:val="0"/>
                <w:sz w:val="24"/>
                <w:szCs w:val="24"/>
                <w:bdr w:val="none" w:sz="0" w:space="0" w:color="auto" w:frame="1"/>
                <w:lang w:val="uk-UA" w:eastAsia="uk-UA"/>
                <w14:ligatures w14:val="none"/>
              </w:rPr>
              <w:t>Облік майна</w:t>
            </w:r>
          </w:p>
        </w:tc>
        <w:tc>
          <w:tcPr>
            <w:tcW w:w="2336" w:type="dxa"/>
          </w:tcPr>
          <w:p w14:paraId="3738B88C" w14:textId="77777777" w:rsidR="00B44B71" w:rsidRPr="00B44B71" w:rsidRDefault="00B44B71" w:rsidP="00023291">
            <w:pPr>
              <w:tabs>
                <w:tab w:val="left" w:pos="993"/>
                <w:tab w:val="left" w:pos="9638"/>
              </w:tabs>
              <w:spacing w:after="0" w:line="240" w:lineRule="auto"/>
              <w:jc w:val="center"/>
              <w:rPr>
                <w:rFonts w:ascii="Times New Roman" w:eastAsia="Times New Roman" w:hAnsi="Times New Roman" w:cs="Times New Roman"/>
                <w:kern w:val="0"/>
                <w:sz w:val="24"/>
                <w:szCs w:val="24"/>
                <w:lang w:val="ru-RU" w:eastAsia="ru-RU"/>
                <w14:ligatures w14:val="none"/>
              </w:rPr>
            </w:pPr>
            <w:r w:rsidRPr="00B44B71">
              <w:rPr>
                <w:rFonts w:ascii="Times New Roman" w:eastAsia="Times New Roman" w:hAnsi="Times New Roman" w:cs="Times New Roman"/>
                <w:kern w:val="0"/>
                <w:sz w:val="24"/>
                <w:szCs w:val="24"/>
                <w:bdr w:val="none" w:sz="0" w:space="0" w:color="auto" w:frame="1"/>
                <w:lang w:val="uk-UA" w:eastAsia="uk-UA"/>
                <w14:ligatures w14:val="none"/>
              </w:rPr>
              <w:t>Паперовий (періодичний)</w:t>
            </w:r>
          </w:p>
        </w:tc>
        <w:tc>
          <w:tcPr>
            <w:tcW w:w="2336" w:type="dxa"/>
          </w:tcPr>
          <w:p w14:paraId="160C9B51" w14:textId="77777777" w:rsidR="00B44B71" w:rsidRPr="00B44B71" w:rsidRDefault="00B44B71" w:rsidP="00023291">
            <w:pPr>
              <w:tabs>
                <w:tab w:val="left" w:pos="993"/>
                <w:tab w:val="left" w:pos="9638"/>
              </w:tabs>
              <w:spacing w:after="0" w:line="240" w:lineRule="auto"/>
              <w:jc w:val="center"/>
              <w:rPr>
                <w:rFonts w:ascii="Times New Roman" w:eastAsia="Times New Roman" w:hAnsi="Times New Roman" w:cs="Times New Roman"/>
                <w:kern w:val="0"/>
                <w:sz w:val="24"/>
                <w:szCs w:val="24"/>
                <w:bdr w:val="none" w:sz="0" w:space="0" w:color="auto" w:frame="1"/>
                <w:lang w:val="uk-UA" w:eastAsia="uk-UA"/>
                <w14:ligatures w14:val="none"/>
              </w:rPr>
            </w:pPr>
            <w:r w:rsidRPr="00B44B71">
              <w:rPr>
                <w:rFonts w:ascii="Times New Roman" w:eastAsia="Times New Roman" w:hAnsi="Times New Roman" w:cs="Times New Roman"/>
                <w:kern w:val="0"/>
                <w:sz w:val="24"/>
                <w:szCs w:val="24"/>
                <w:bdr w:val="none" w:sz="0" w:space="0" w:color="auto" w:frame="1"/>
                <w:lang w:val="uk-UA" w:eastAsia="uk-UA"/>
                <w14:ligatures w14:val="none"/>
              </w:rPr>
              <w:t xml:space="preserve">Цифровий </w:t>
            </w:r>
          </w:p>
          <w:p w14:paraId="7CAF3EB3" w14:textId="77777777" w:rsidR="00B44B71" w:rsidRPr="00B44B71" w:rsidRDefault="00B44B71" w:rsidP="00023291">
            <w:pPr>
              <w:tabs>
                <w:tab w:val="left" w:pos="993"/>
                <w:tab w:val="left" w:pos="9638"/>
              </w:tabs>
              <w:spacing w:after="0" w:line="240" w:lineRule="auto"/>
              <w:jc w:val="center"/>
              <w:rPr>
                <w:rFonts w:ascii="Times New Roman" w:eastAsia="Times New Roman" w:hAnsi="Times New Roman" w:cs="Times New Roman"/>
                <w:kern w:val="0"/>
                <w:sz w:val="24"/>
                <w:szCs w:val="24"/>
                <w:lang w:val="ru-RU" w:eastAsia="ru-RU"/>
                <w14:ligatures w14:val="none"/>
              </w:rPr>
            </w:pPr>
            <w:r w:rsidRPr="00B44B71">
              <w:rPr>
                <w:rFonts w:ascii="Times New Roman" w:eastAsia="Times New Roman" w:hAnsi="Times New Roman" w:cs="Times New Roman"/>
                <w:kern w:val="0"/>
                <w:sz w:val="24"/>
                <w:szCs w:val="24"/>
                <w:bdr w:val="none" w:sz="0" w:space="0" w:color="auto" w:frame="1"/>
                <w:lang w:val="uk-UA" w:eastAsia="uk-UA"/>
                <w14:ligatures w14:val="none"/>
              </w:rPr>
              <w:t>(Real-time)</w:t>
            </w:r>
          </w:p>
        </w:tc>
        <w:tc>
          <w:tcPr>
            <w:tcW w:w="2337" w:type="dxa"/>
            <w:vAlign w:val="center"/>
          </w:tcPr>
          <w:p w14:paraId="6A0555C8" w14:textId="77777777" w:rsidR="00B44B71" w:rsidRPr="00B44B71" w:rsidRDefault="00B44B71" w:rsidP="00023291">
            <w:pPr>
              <w:tabs>
                <w:tab w:val="left" w:pos="9638"/>
              </w:tabs>
              <w:spacing w:after="0" w:line="240" w:lineRule="auto"/>
              <w:jc w:val="center"/>
              <w:rPr>
                <w:rFonts w:ascii="Times New Roman" w:eastAsia="Times New Roman" w:hAnsi="Times New Roman" w:cs="Times New Roman"/>
                <w:kern w:val="0"/>
                <w:sz w:val="24"/>
                <w:szCs w:val="24"/>
                <w:lang w:val="uk-UA" w:eastAsia="uk-UA"/>
                <w14:ligatures w14:val="none"/>
              </w:rPr>
            </w:pPr>
            <w:r w:rsidRPr="00B44B71">
              <w:rPr>
                <w:rFonts w:ascii="Times New Roman" w:eastAsia="Times New Roman" w:hAnsi="Times New Roman" w:cs="Times New Roman"/>
                <w:kern w:val="0"/>
                <w:sz w:val="24"/>
                <w:szCs w:val="24"/>
                <w:bdr w:val="none" w:sz="0" w:space="0" w:color="auto" w:frame="1"/>
                <w:lang w:val="uk-UA" w:eastAsia="uk-UA"/>
                <w14:ligatures w14:val="none"/>
              </w:rPr>
              <w:t>Робота в системах SAP / LOGFAS</w:t>
            </w:r>
          </w:p>
        </w:tc>
      </w:tr>
      <w:tr w:rsidR="00B44B71" w:rsidRPr="00B44B71" w14:paraId="5771D4D9" w14:textId="77777777" w:rsidTr="00F918EC">
        <w:tc>
          <w:tcPr>
            <w:tcW w:w="2336" w:type="dxa"/>
          </w:tcPr>
          <w:p w14:paraId="70490418" w14:textId="77777777" w:rsidR="00B44B71" w:rsidRPr="00B44B71" w:rsidRDefault="00B44B71" w:rsidP="00023291">
            <w:pPr>
              <w:tabs>
                <w:tab w:val="left" w:pos="993"/>
                <w:tab w:val="left" w:pos="9638"/>
              </w:tabs>
              <w:spacing w:after="0" w:line="240" w:lineRule="auto"/>
              <w:jc w:val="center"/>
              <w:rPr>
                <w:rFonts w:ascii="Times New Roman" w:eastAsia="Times New Roman" w:hAnsi="Times New Roman" w:cs="Times New Roman"/>
                <w:b/>
                <w:bCs/>
                <w:kern w:val="0"/>
                <w:sz w:val="24"/>
                <w:szCs w:val="24"/>
                <w:bdr w:val="none" w:sz="0" w:space="0" w:color="auto" w:frame="1"/>
                <w:lang w:val="ru-RU" w:eastAsia="ru-RU"/>
                <w14:ligatures w14:val="none"/>
              </w:rPr>
            </w:pPr>
            <w:r w:rsidRPr="00B44B71">
              <w:rPr>
                <w:rFonts w:ascii="Times New Roman" w:eastAsia="Times New Roman" w:hAnsi="Times New Roman" w:cs="Times New Roman"/>
                <w:b/>
                <w:bCs/>
                <w:kern w:val="0"/>
                <w:sz w:val="24"/>
                <w:szCs w:val="24"/>
                <w:bdr w:val="none" w:sz="0" w:space="0" w:color="auto" w:frame="1"/>
                <w:lang w:val="uk-UA" w:eastAsia="uk-UA"/>
                <w14:ligatures w14:val="none"/>
              </w:rPr>
              <w:t>Взаємодія</w:t>
            </w:r>
          </w:p>
        </w:tc>
        <w:tc>
          <w:tcPr>
            <w:tcW w:w="2336" w:type="dxa"/>
            <w:vAlign w:val="center"/>
          </w:tcPr>
          <w:p w14:paraId="3C2F1251" w14:textId="77777777" w:rsidR="00B44B71" w:rsidRPr="00B44B71" w:rsidRDefault="00B44B71" w:rsidP="00023291">
            <w:pPr>
              <w:tabs>
                <w:tab w:val="left" w:pos="9638"/>
              </w:tabs>
              <w:spacing w:after="0" w:line="240" w:lineRule="auto"/>
              <w:jc w:val="center"/>
              <w:rPr>
                <w:rFonts w:ascii="Times New Roman" w:eastAsia="Times New Roman" w:hAnsi="Times New Roman" w:cs="Times New Roman"/>
                <w:kern w:val="0"/>
                <w:sz w:val="24"/>
                <w:szCs w:val="24"/>
                <w:lang w:val="uk-UA" w:eastAsia="uk-UA"/>
                <w14:ligatures w14:val="none"/>
              </w:rPr>
            </w:pPr>
            <w:r w:rsidRPr="00B44B71">
              <w:rPr>
                <w:rFonts w:ascii="Times New Roman" w:eastAsia="Times New Roman" w:hAnsi="Times New Roman" w:cs="Times New Roman"/>
                <w:kern w:val="0"/>
                <w:sz w:val="24"/>
                <w:szCs w:val="24"/>
                <w:bdr w:val="none" w:sz="0" w:space="0" w:color="auto" w:frame="1"/>
                <w:lang w:val="uk-UA" w:eastAsia="uk-UA"/>
                <w14:ligatures w14:val="none"/>
              </w:rPr>
              <w:t>Відомча ізоляція</w:t>
            </w:r>
          </w:p>
        </w:tc>
        <w:tc>
          <w:tcPr>
            <w:tcW w:w="2336" w:type="dxa"/>
            <w:vAlign w:val="center"/>
          </w:tcPr>
          <w:p w14:paraId="74DE822B" w14:textId="77777777" w:rsidR="00B44B71" w:rsidRPr="00B44B71" w:rsidRDefault="00B44B71" w:rsidP="00023291">
            <w:pPr>
              <w:tabs>
                <w:tab w:val="left" w:pos="9638"/>
              </w:tabs>
              <w:spacing w:after="0" w:line="240" w:lineRule="auto"/>
              <w:jc w:val="center"/>
              <w:rPr>
                <w:rFonts w:ascii="Times New Roman" w:eastAsia="Times New Roman" w:hAnsi="Times New Roman" w:cs="Times New Roman"/>
                <w:kern w:val="0"/>
                <w:sz w:val="24"/>
                <w:szCs w:val="24"/>
                <w:lang w:val="uk-UA" w:eastAsia="uk-UA"/>
                <w14:ligatures w14:val="none"/>
              </w:rPr>
            </w:pPr>
            <w:r w:rsidRPr="00B44B71">
              <w:rPr>
                <w:rFonts w:ascii="Times New Roman" w:eastAsia="Times New Roman" w:hAnsi="Times New Roman" w:cs="Times New Roman"/>
                <w:kern w:val="0"/>
                <w:sz w:val="24"/>
                <w:szCs w:val="24"/>
                <w:bdr w:val="none" w:sz="0" w:space="0" w:color="auto" w:frame="1"/>
                <w:lang w:val="uk-UA" w:eastAsia="uk-UA"/>
                <w14:ligatures w14:val="none"/>
              </w:rPr>
              <w:t>Міжвідомча інтеграція</w:t>
            </w:r>
          </w:p>
        </w:tc>
        <w:tc>
          <w:tcPr>
            <w:tcW w:w="2337" w:type="dxa"/>
            <w:vAlign w:val="center"/>
          </w:tcPr>
          <w:p w14:paraId="1734962C" w14:textId="77777777" w:rsidR="00B44B71" w:rsidRPr="00B44B71" w:rsidRDefault="00B44B71" w:rsidP="00023291">
            <w:pPr>
              <w:tabs>
                <w:tab w:val="left" w:pos="9638"/>
              </w:tabs>
              <w:spacing w:after="0" w:line="240" w:lineRule="auto"/>
              <w:jc w:val="center"/>
              <w:rPr>
                <w:rFonts w:ascii="Times New Roman" w:eastAsia="Times New Roman" w:hAnsi="Times New Roman" w:cs="Times New Roman"/>
                <w:kern w:val="0"/>
                <w:sz w:val="24"/>
                <w:szCs w:val="24"/>
                <w:bdr w:val="none" w:sz="0" w:space="0" w:color="auto" w:frame="1"/>
                <w:lang w:val="uk-UA" w:eastAsia="uk-UA"/>
                <w14:ligatures w14:val="none"/>
              </w:rPr>
            </w:pPr>
            <w:r w:rsidRPr="00B44B71">
              <w:rPr>
                <w:rFonts w:ascii="Times New Roman" w:eastAsia="Times New Roman" w:hAnsi="Times New Roman" w:cs="Times New Roman"/>
                <w:kern w:val="0"/>
                <w:sz w:val="24"/>
                <w:szCs w:val="24"/>
                <w:bdr w:val="none" w:sz="0" w:space="0" w:color="auto" w:frame="1"/>
                <w:lang w:val="uk-UA" w:eastAsia="uk-UA"/>
                <w14:ligatures w14:val="none"/>
              </w:rPr>
              <w:t>Стандарти НАТО (STANAG)</w:t>
            </w:r>
          </w:p>
        </w:tc>
      </w:tr>
      <w:tr w:rsidR="00B44B71" w:rsidRPr="00B44B71" w14:paraId="4291D91A" w14:textId="77777777" w:rsidTr="00F918EC">
        <w:tc>
          <w:tcPr>
            <w:tcW w:w="2336" w:type="dxa"/>
          </w:tcPr>
          <w:p w14:paraId="44FF71E2" w14:textId="77777777" w:rsidR="00B44B71" w:rsidRPr="00B44B71" w:rsidRDefault="00B44B71" w:rsidP="00023291">
            <w:pPr>
              <w:tabs>
                <w:tab w:val="left" w:pos="993"/>
                <w:tab w:val="left" w:pos="9638"/>
              </w:tabs>
              <w:spacing w:after="0" w:line="240" w:lineRule="auto"/>
              <w:jc w:val="center"/>
              <w:rPr>
                <w:rFonts w:ascii="Times New Roman" w:eastAsia="Times New Roman" w:hAnsi="Times New Roman" w:cs="Times New Roman"/>
                <w:b/>
                <w:bCs/>
                <w:kern w:val="0"/>
                <w:sz w:val="24"/>
                <w:szCs w:val="24"/>
                <w:bdr w:val="none" w:sz="0" w:space="0" w:color="auto" w:frame="1"/>
                <w:lang w:val="ru-RU" w:eastAsia="ru-RU"/>
                <w14:ligatures w14:val="none"/>
              </w:rPr>
            </w:pPr>
            <w:r w:rsidRPr="00B44B71">
              <w:rPr>
                <w:rFonts w:ascii="Times New Roman" w:eastAsia="Times New Roman" w:hAnsi="Times New Roman" w:cs="Times New Roman"/>
                <w:b/>
                <w:bCs/>
                <w:kern w:val="0"/>
                <w:sz w:val="24"/>
                <w:szCs w:val="24"/>
                <w:bdr w:val="none" w:sz="0" w:space="0" w:color="auto" w:frame="1"/>
                <w:lang w:val="uk-UA" w:eastAsia="uk-UA"/>
                <w14:ligatures w14:val="none"/>
              </w:rPr>
              <w:t>Доставка</w:t>
            </w:r>
          </w:p>
        </w:tc>
        <w:tc>
          <w:tcPr>
            <w:tcW w:w="2336" w:type="dxa"/>
          </w:tcPr>
          <w:p w14:paraId="16C0B7E8" w14:textId="77777777" w:rsidR="00B44B71" w:rsidRPr="00B44B71" w:rsidRDefault="00B44B71" w:rsidP="00023291">
            <w:pPr>
              <w:tabs>
                <w:tab w:val="left" w:pos="993"/>
                <w:tab w:val="left" w:pos="9638"/>
              </w:tabs>
              <w:spacing w:after="0" w:line="240" w:lineRule="auto"/>
              <w:jc w:val="center"/>
              <w:rPr>
                <w:rFonts w:ascii="Times New Roman" w:eastAsia="Times New Roman" w:hAnsi="Times New Roman" w:cs="Times New Roman"/>
                <w:kern w:val="0"/>
                <w:sz w:val="24"/>
                <w:szCs w:val="24"/>
                <w:bdr w:val="none" w:sz="0" w:space="0" w:color="auto" w:frame="1"/>
                <w:lang w:val="ru-RU" w:eastAsia="ru-RU"/>
                <w14:ligatures w14:val="none"/>
              </w:rPr>
            </w:pPr>
            <w:r w:rsidRPr="00B44B71">
              <w:rPr>
                <w:rFonts w:ascii="Times New Roman" w:eastAsia="Times New Roman" w:hAnsi="Times New Roman" w:cs="Times New Roman"/>
                <w:kern w:val="0"/>
                <w:sz w:val="24"/>
                <w:szCs w:val="24"/>
                <w:bdr w:val="none" w:sz="0" w:space="0" w:color="auto" w:frame="1"/>
                <w:lang w:val="uk-UA" w:eastAsia="uk-UA"/>
                <w14:ligatures w14:val="none"/>
              </w:rPr>
              <w:t>Автомобільні колони</w:t>
            </w:r>
          </w:p>
        </w:tc>
        <w:tc>
          <w:tcPr>
            <w:tcW w:w="2336" w:type="dxa"/>
          </w:tcPr>
          <w:p w14:paraId="7A5BF9B9" w14:textId="77777777" w:rsidR="00B44B71" w:rsidRPr="00B44B71" w:rsidRDefault="00B44B71" w:rsidP="00023291">
            <w:pPr>
              <w:tabs>
                <w:tab w:val="left" w:pos="993"/>
                <w:tab w:val="left" w:pos="9638"/>
              </w:tabs>
              <w:spacing w:after="0" w:line="240" w:lineRule="auto"/>
              <w:jc w:val="center"/>
              <w:rPr>
                <w:rFonts w:ascii="Times New Roman" w:eastAsia="Times New Roman" w:hAnsi="Times New Roman" w:cs="Times New Roman"/>
                <w:kern w:val="0"/>
                <w:sz w:val="24"/>
                <w:szCs w:val="24"/>
                <w:bdr w:val="none" w:sz="0" w:space="0" w:color="auto" w:frame="1"/>
                <w:lang w:val="ru-RU" w:eastAsia="ru-RU"/>
                <w14:ligatures w14:val="none"/>
              </w:rPr>
            </w:pPr>
            <w:r w:rsidRPr="00B44B71">
              <w:rPr>
                <w:rFonts w:ascii="Times New Roman" w:eastAsia="Times New Roman" w:hAnsi="Times New Roman" w:cs="Times New Roman"/>
                <w:kern w:val="0"/>
                <w:sz w:val="24"/>
                <w:szCs w:val="24"/>
                <w:bdr w:val="none" w:sz="0" w:space="0" w:color="auto" w:frame="1"/>
                <w:lang w:val="uk-UA" w:eastAsia="uk-UA"/>
                <w14:ligatures w14:val="none"/>
              </w:rPr>
              <w:t>НРС та роботизовані платфор</w:t>
            </w:r>
            <w:r w:rsidRPr="00B44B71">
              <w:rPr>
                <w:rFonts w:ascii="Times New Roman" w:eastAsia="Times New Roman" w:hAnsi="Times New Roman" w:cs="Times New Roman"/>
                <w:kern w:val="0"/>
                <w:sz w:val="24"/>
                <w:szCs w:val="24"/>
                <w:bdr w:val="none" w:sz="0" w:space="0" w:color="auto" w:frame="1"/>
                <w:lang w:val="ru-RU" w:eastAsia="ru-RU"/>
                <w14:ligatures w14:val="none"/>
              </w:rPr>
              <w:t>ми</w:t>
            </w:r>
          </w:p>
        </w:tc>
        <w:tc>
          <w:tcPr>
            <w:tcW w:w="2337" w:type="dxa"/>
            <w:vAlign w:val="center"/>
          </w:tcPr>
          <w:p w14:paraId="3588221F" w14:textId="77777777" w:rsidR="00B44B71" w:rsidRPr="00B44B71" w:rsidRDefault="00B44B71" w:rsidP="00023291">
            <w:pPr>
              <w:tabs>
                <w:tab w:val="left" w:pos="9638"/>
              </w:tabs>
              <w:spacing w:after="0" w:line="240" w:lineRule="auto"/>
              <w:jc w:val="center"/>
              <w:rPr>
                <w:rFonts w:ascii="Times New Roman" w:eastAsia="Times New Roman" w:hAnsi="Times New Roman" w:cs="Times New Roman"/>
                <w:kern w:val="0"/>
                <w:sz w:val="24"/>
                <w:szCs w:val="24"/>
                <w:bdr w:val="none" w:sz="0" w:space="0" w:color="auto" w:frame="1"/>
                <w:lang w:val="uk-UA" w:eastAsia="uk-UA"/>
                <w14:ligatures w14:val="none"/>
              </w:rPr>
            </w:pPr>
            <w:r w:rsidRPr="00B44B71">
              <w:rPr>
                <w:rFonts w:ascii="Times New Roman" w:eastAsia="Times New Roman" w:hAnsi="Times New Roman" w:cs="Times New Roman"/>
                <w:kern w:val="0"/>
                <w:sz w:val="24"/>
                <w:szCs w:val="24"/>
                <w:bdr w:val="none" w:sz="0" w:space="0" w:color="auto" w:frame="1"/>
                <w:lang w:val="uk-UA" w:eastAsia="uk-UA"/>
                <w14:ligatures w14:val="none"/>
              </w:rPr>
              <w:t>Управління наземними дронами</w:t>
            </w:r>
          </w:p>
        </w:tc>
      </w:tr>
    </w:tbl>
    <w:p w14:paraId="70428C1D" w14:textId="77777777" w:rsidR="00B44B71" w:rsidRPr="00B44B71" w:rsidRDefault="00B44B71" w:rsidP="00023291">
      <w:pPr>
        <w:tabs>
          <w:tab w:val="left" w:pos="993"/>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p>
    <w:p w14:paraId="4406344A"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 xml:space="preserve">Спираючись на досвід О. Воробйова та колег [15], ми стверджуємо, що навчання без використання спеціалізованого софту в сучасних умовах є неефективним. Враховуючи наявний у НАДПСУ </w:t>
      </w:r>
      <w:r w:rsidRPr="00B44B71">
        <w:rPr>
          <w:rFonts w:ascii="Times New Roman" w:eastAsia="Times New Roman" w:hAnsi="Times New Roman" w:cs="Times New Roman"/>
          <w:bCs/>
          <w:kern w:val="0"/>
          <w:sz w:val="28"/>
          <w:szCs w:val="28"/>
          <w:lang w:val="uk-UA" w:eastAsia="uk-UA"/>
          <w14:ligatures w14:val="none"/>
        </w:rPr>
        <w:t>Центру імітаційного моделювання, ми пропонуємо започаткувати навчання з управління логістичними процесами</w:t>
      </w:r>
      <w:r w:rsidRPr="00B44B71">
        <w:rPr>
          <w:rFonts w:ascii="Times New Roman" w:eastAsia="Times New Roman" w:hAnsi="Times New Roman" w:cs="Times New Roman"/>
          <w:kern w:val="0"/>
          <w:sz w:val="28"/>
          <w:szCs w:val="28"/>
          <w:lang w:val="uk-UA" w:eastAsia="uk-UA"/>
          <w14:ligatures w14:val="none"/>
        </w:rPr>
        <w:t xml:space="preserve">. В межах цього центру, навчання має проходити за сценаріями, максимально наближеними до бойових умов. Наприклад, ЗВО отримує завдання: «Забезпечити пальним та боєприпасами прикордонну комендатуру швидкого реагування в умовах знищення логістичного вузла ЗСУ». Використовуючи елементи системи </w:t>
      </w:r>
      <w:r w:rsidRPr="00B44B71">
        <w:rPr>
          <w:rFonts w:ascii="Times New Roman" w:eastAsia="Times New Roman" w:hAnsi="Times New Roman" w:cs="Times New Roman"/>
          <w:bCs/>
          <w:kern w:val="0"/>
          <w:sz w:val="28"/>
          <w:szCs w:val="28"/>
          <w:lang w:val="uk-UA" w:eastAsia="uk-UA"/>
          <w14:ligatures w14:val="none"/>
        </w:rPr>
        <w:t>ADAMS</w:t>
      </w:r>
      <w:r w:rsidRPr="00B44B71">
        <w:rPr>
          <w:rFonts w:ascii="Times New Roman" w:eastAsia="Times New Roman" w:hAnsi="Times New Roman" w:cs="Times New Roman"/>
          <w:kern w:val="0"/>
          <w:sz w:val="28"/>
          <w:szCs w:val="28"/>
          <w:lang w:val="uk-UA" w:eastAsia="uk-UA"/>
          <w14:ligatures w14:val="none"/>
        </w:rPr>
        <w:t>, здобувач має самостійно:</w:t>
      </w:r>
    </w:p>
    <w:p w14:paraId="3D10C92F" w14:textId="77777777" w:rsidR="00B44B71" w:rsidRPr="00B44B71" w:rsidRDefault="00B44B71" w:rsidP="00023291">
      <w:pPr>
        <w:tabs>
          <w:tab w:val="left" w:pos="993"/>
          <w:tab w:val="left" w:pos="9638"/>
        </w:tabs>
        <w:spacing w:after="0" w:line="240" w:lineRule="auto"/>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побудувати альтернативні маршрути доставки з урахуванням рельєфу та зон вогневого впливу; розрахувати час «логістичного плеча» для мобільних груп; сформувати електронну накладну в системі, яка автоматично синхронізується з базами даних вищого штабу.</w:t>
      </w:r>
    </w:p>
    <w:p w14:paraId="4802E2CB" w14:textId="77777777" w:rsidR="00B44B71" w:rsidRPr="00B44B71" w:rsidRDefault="00B44B71" w:rsidP="00023291">
      <w:pPr>
        <w:tabs>
          <w:tab w:val="left" w:pos="993"/>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 xml:space="preserve">Такий підхід дозволяє реалізувати тезу В. О. Шуєнкіна [4] щодо важливості обґрунтованої мови спілкування. Коли ЗВО працює в єдиному цифровому </w:t>
      </w:r>
      <w:r w:rsidRPr="00B44B71">
        <w:rPr>
          <w:rFonts w:ascii="Times New Roman" w:eastAsia="Times New Roman" w:hAnsi="Times New Roman" w:cs="Times New Roman"/>
          <w:kern w:val="0"/>
          <w:sz w:val="28"/>
          <w:szCs w:val="28"/>
          <w:lang w:val="uk-UA" w:eastAsia="uk-UA"/>
          <w14:ligatures w14:val="none"/>
        </w:rPr>
        <w:lastRenderedPageBreak/>
        <w:t>інтерфейсі із представниками інших родів військ, термінологічна плутанина зникає на рівні програмного коду. Офіцер вчиться бачити «картину ресурсу» в масштабі всієї операції, а не лише свого підрозділу.</w:t>
      </w:r>
    </w:p>
    <w:p w14:paraId="31C373F8" w14:textId="77777777" w:rsidR="00B44B71" w:rsidRPr="00B44B71" w:rsidRDefault="00B44B71" w:rsidP="00023291">
      <w:pPr>
        <w:tabs>
          <w:tab w:val="left" w:pos="993"/>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 xml:space="preserve">Крім того, критичним елементом підготовки є навчання </w:t>
      </w:r>
      <w:r w:rsidRPr="00B44B71">
        <w:rPr>
          <w:rFonts w:ascii="Times New Roman" w:eastAsia="Times New Roman" w:hAnsi="Times New Roman" w:cs="Times New Roman"/>
          <w:bCs/>
          <w:kern w:val="0"/>
          <w:sz w:val="28"/>
          <w:szCs w:val="28"/>
          <w:lang w:val="uk-UA" w:eastAsia="uk-UA"/>
          <w14:ligatures w14:val="none"/>
        </w:rPr>
        <w:t>кібергігієні в логістиці</w:t>
      </w:r>
      <w:r w:rsidRPr="00B44B71">
        <w:rPr>
          <w:rFonts w:ascii="Times New Roman" w:eastAsia="Times New Roman" w:hAnsi="Times New Roman" w:cs="Times New Roman"/>
          <w:kern w:val="0"/>
          <w:sz w:val="28"/>
          <w:szCs w:val="28"/>
          <w:lang w:val="uk-UA" w:eastAsia="uk-UA"/>
          <w14:ligatures w14:val="none"/>
        </w:rPr>
        <w:t>. Оскільки цифрові системи обліку стають ціллю для ворожих хакерів, майбутній офіцер логістики має вміти забезпечувати живучість інформаційних ланцюгів, використовувати захищені канали зв'язку та засоби автономного енергозабезпечення (інверторні технології), що було виокремлено нами як пріоритет у попередніх розділах.</w:t>
      </w:r>
    </w:p>
    <w:p w14:paraId="3244ABFD"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Освіта логіста — це не лише цифри та алгоритми, а й підготовка до прийняття складних рішень у стресових ситуаціях. Традиційне навчання часто ігнорує той факт, що в умовах дефіциту ресурсів офіцер логістики неминуче стикається з етичною дилемою пріоритезації.</w:t>
      </w:r>
    </w:p>
    <w:p w14:paraId="0F86D9E9"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 xml:space="preserve">У межах психологічної підготовки за ОПП «Тил ДПСУ» необхідно впроваджувати </w:t>
      </w:r>
      <w:r w:rsidRPr="00B44B71">
        <w:rPr>
          <w:rFonts w:ascii="Times New Roman" w:eastAsia="Times New Roman" w:hAnsi="Times New Roman" w:cs="Times New Roman"/>
          <w:bCs/>
          <w:kern w:val="0"/>
          <w:sz w:val="28"/>
          <w:szCs w:val="28"/>
          <w:lang w:val="uk-UA" w:eastAsia="uk-UA"/>
          <w14:ligatures w14:val="none"/>
        </w:rPr>
        <w:t>кейс-методи</w:t>
      </w:r>
      <w:r w:rsidRPr="00B44B71">
        <w:rPr>
          <w:rFonts w:ascii="Times New Roman" w:eastAsia="Times New Roman" w:hAnsi="Times New Roman" w:cs="Times New Roman"/>
          <w:kern w:val="0"/>
          <w:sz w:val="28"/>
          <w:szCs w:val="28"/>
          <w:lang w:val="uk-UA" w:eastAsia="uk-UA"/>
          <w14:ligatures w14:val="none"/>
        </w:rPr>
        <w:t>, засновані на реальних подіях оборони Маріуполя, Бахмута, Покровська, Мирнограда, Херсону чи роботи ОТУ «Харків». Здобувачі вищої освіти мають розв'язувати задачі типу: «обмежений ресурс боєприпасів — кому доставити першим: підрозділу на передовій, що веде інтенсивний бій, чи резерву, який готується до контратаки?».</w:t>
      </w:r>
    </w:p>
    <w:p w14:paraId="436280AF"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 xml:space="preserve">Така «стрес-педагогіка» формує у майбутнього випускника: </w:t>
      </w:r>
      <w:r w:rsidRPr="00B44B71">
        <w:rPr>
          <w:rFonts w:ascii="Times New Roman" w:eastAsia="Times New Roman" w:hAnsi="Times New Roman" w:cs="Times New Roman"/>
          <w:bCs/>
          <w:kern w:val="0"/>
          <w:sz w:val="28"/>
          <w:szCs w:val="28"/>
          <w:lang w:val="uk-UA" w:eastAsia="uk-UA"/>
          <w14:ligatures w14:val="none"/>
        </w:rPr>
        <w:t>когнітивну гнучкість:</w:t>
      </w:r>
      <w:r w:rsidRPr="00B44B71">
        <w:rPr>
          <w:rFonts w:ascii="Times New Roman" w:eastAsia="Times New Roman" w:hAnsi="Times New Roman" w:cs="Times New Roman"/>
          <w:kern w:val="0"/>
          <w:sz w:val="28"/>
          <w:szCs w:val="28"/>
          <w:lang w:val="uk-UA" w:eastAsia="uk-UA"/>
          <w14:ligatures w14:val="none"/>
        </w:rPr>
        <w:t xml:space="preserve"> здатність швидко змінювати план при втраті ресурсів; </w:t>
      </w:r>
      <w:r w:rsidRPr="00B44B71">
        <w:rPr>
          <w:rFonts w:ascii="Times New Roman" w:eastAsia="Times New Roman" w:hAnsi="Times New Roman" w:cs="Times New Roman"/>
          <w:bCs/>
          <w:kern w:val="0"/>
          <w:sz w:val="28"/>
          <w:szCs w:val="28"/>
          <w:lang w:val="uk-UA" w:eastAsia="uk-UA"/>
          <w14:ligatures w14:val="none"/>
        </w:rPr>
        <w:t>відповідальність за ризики:</w:t>
      </w:r>
      <w:r w:rsidRPr="00B44B71">
        <w:rPr>
          <w:rFonts w:ascii="Times New Roman" w:eastAsia="Times New Roman" w:hAnsi="Times New Roman" w:cs="Times New Roman"/>
          <w:kern w:val="0"/>
          <w:sz w:val="28"/>
          <w:szCs w:val="28"/>
          <w:lang w:val="uk-UA" w:eastAsia="uk-UA"/>
          <w14:ligatures w14:val="none"/>
        </w:rPr>
        <w:t xml:space="preserve"> розуміння, що кожна помилка в логістичних розрахунках на передньому краї вимірюється життями особового складу; </w:t>
      </w:r>
      <w:r w:rsidRPr="00B44B71">
        <w:rPr>
          <w:rFonts w:ascii="Times New Roman" w:eastAsia="Times New Roman" w:hAnsi="Times New Roman" w:cs="Times New Roman"/>
          <w:bCs/>
          <w:kern w:val="0"/>
          <w:sz w:val="28"/>
          <w:szCs w:val="28"/>
          <w:lang w:val="uk-UA" w:eastAsia="uk-UA"/>
          <w14:ligatures w14:val="none"/>
        </w:rPr>
        <w:t>лідерські якості:</w:t>
      </w:r>
      <w:r w:rsidRPr="00B44B71">
        <w:rPr>
          <w:rFonts w:ascii="Times New Roman" w:eastAsia="Times New Roman" w:hAnsi="Times New Roman" w:cs="Times New Roman"/>
          <w:kern w:val="0"/>
          <w:sz w:val="28"/>
          <w:szCs w:val="28"/>
          <w:lang w:val="uk-UA" w:eastAsia="uk-UA"/>
          <w14:ligatures w14:val="none"/>
        </w:rPr>
        <w:t xml:space="preserve"> офіцер логістики має бути авторитетною фігурою в штабі, чиї розрахунки лягають в основу бойового наказу.</w:t>
      </w:r>
    </w:p>
    <w:p w14:paraId="34EF868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uk-UA"/>
          <w14:ligatures w14:val="none"/>
        </w:rPr>
        <w:t xml:space="preserve">Цей підхід дозволяє реалізувати стратегічну мету, окреслену                                Г. І. Кривогузом та іншими науковцями [20] − підготовку офіцера, який є не просто «технічним виконавцем», а </w:t>
      </w:r>
      <w:r w:rsidRPr="00B44B71">
        <w:rPr>
          <w:rFonts w:ascii="Times New Roman" w:eastAsia="Times New Roman" w:hAnsi="Times New Roman" w:cs="Times New Roman"/>
          <w:kern w:val="0"/>
          <w:sz w:val="28"/>
          <w:szCs w:val="28"/>
          <w:lang w:val="uk-UA" w:eastAsia="ru-RU"/>
          <w14:ligatures w14:val="none"/>
        </w:rPr>
        <w:t>ключовим суб’єктом управління логістичними процесами.</w:t>
      </w:r>
    </w:p>
    <w:p w14:paraId="6408B16C"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ru-RU"/>
          <w14:ligatures w14:val="none"/>
        </w:rPr>
        <w:t>Практична реалізація запропонованих підходів у освітньому процесі НАДПСУ передбачає інтеграцію елементів практикоорієнтованого навчання у підготовку ЗВО. Зокрема, під час вивчення дисциплін тилового/логістичного спрямування доцільно застосовувати ситуаційні завдання, що моделюють реальні умови забезпечення підрозділів у районі ведення бойових дій. Використання цифрових логістичних систем, імітаційного моделювання та тренажерів управління роботизованими платформами дозволяє сформувати у майбутніх офіцерів логістики практичні компетентності щодо планування, організації та контролю ресурсного забезпечення підрозділів у складних оперативно-тактичних умовах.</w:t>
      </w:r>
    </w:p>
    <w:p w14:paraId="4B1E09CB" w14:textId="72D9F68A" w:rsidR="00B44B71" w:rsidRPr="00B44B71" w:rsidRDefault="00B44B71" w:rsidP="00E967C0">
      <w:pPr>
        <w:widowControl w:val="0"/>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kern w:val="0"/>
          <w:sz w:val="28"/>
          <w:szCs w:val="28"/>
          <w:lang w:val="uk-UA" w:eastAsia="ru-RU"/>
          <w14:ligatures w14:val="none"/>
        </w:rPr>
        <w:t xml:space="preserve">Висновки та напрями подальших досліджень. </w:t>
      </w:r>
      <w:r w:rsidRPr="00B44B71">
        <w:rPr>
          <w:rFonts w:ascii="Times New Roman" w:eastAsia="Times New Roman" w:hAnsi="Times New Roman" w:cs="Times New Roman"/>
          <w:kern w:val="0"/>
          <w:sz w:val="28"/>
          <w:szCs w:val="28"/>
          <w:lang w:val="uk-UA" w:eastAsia="ru-RU"/>
          <w14:ligatures w14:val="none"/>
        </w:rPr>
        <w:t xml:space="preserve">Встановлено, що трансформація характеру бойових дій та інтеграція підрозділів ДПСУ у систему спільних дій із ЗСУ зумовлюють необхідність переходу від традиційної моделі тилового забезпечення до сучасної системи логістичного забезпечення, </w:t>
      </w:r>
      <w:r w:rsidRPr="00B44B71">
        <w:rPr>
          <w:rFonts w:ascii="Times New Roman" w:eastAsia="Times New Roman" w:hAnsi="Times New Roman" w:cs="Times New Roman"/>
          <w:kern w:val="0"/>
          <w:sz w:val="28"/>
          <w:szCs w:val="28"/>
          <w:lang w:val="uk-UA" w:eastAsia="ru-RU"/>
          <w14:ligatures w14:val="none"/>
        </w:rPr>
        <w:lastRenderedPageBreak/>
        <w:t>орієнтованої на стандарти НАТО.</w:t>
      </w:r>
    </w:p>
    <w:p w14:paraId="5A6A9AC5"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Доведено, що сучасний офіцер логістики ДПСУ має виконувати функції організатора та координатора логістичних процесів, забезпечуючи синхронізацію відомчої та загальновійськової систем забезпечення в умовах динамічної бойової обстановки.</w:t>
      </w:r>
    </w:p>
    <w:p w14:paraId="46C0523B"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Проведений аналіз засвідчив, що у період 2022–2026 років у змісті підготовки офіцерів логістики ДПСУ відбулися суттєві зміни. Зокрема, підготовка за освітньо-професійною програмою «Організація діяльності тилових підрозділів ДПСУ» розпочинається вже з першого курсу навчання, що дозволило збільшити обсяг спеціалізованих дисциплін тилового спрямування та забезпечити раннє формування професійних компетентностей майбутніх офіцерів. Крім того, в освітньому процесі створено та введено в експлуатацію спеціалізовані навчальні класи речового та продовольчого забезпечення, впроваджено вивчення технічних засобів служб тилу нового покоління, а також оновлено зміст навчальних дисциплін відповідно до змін у керівних документах з організації речового забезпечення Державної прикордонної служби України. Зазначені зміни знайшли відображення у структурі та змісті освітньо-професійної програми підготовки офіцерів логістики (спеціалізації тилового забезпечення) та спрямовані на підвищення готовності випускників до виконання завдань логістичного забезпечення в умовах ведення бойових дій.</w:t>
      </w:r>
    </w:p>
    <w:p w14:paraId="5B1F730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Визначено, що підвищення ефективності підготовки офіцерів логістики потребує впровадження автоматизованих систем управління, імітаційного моделювання, а також інтеграції сучасних технологій, зокрема роботизованих платформ, у освітній процес.</w:t>
      </w:r>
    </w:p>
    <w:p w14:paraId="608CCC53"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Доведено доцільність переходу до практикоорієнтованої моделі навчання, що передбачає використання сценарного підходу, міжвідомчу інтеграцію та формування здатності приймати управлінські рішення в умовах невизначеності та бойового впливу противника.</w:t>
      </w:r>
    </w:p>
    <w:p w14:paraId="148784DD"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Практичне значення отриманих результатів полягає у можливості використання запропонованих підходів під час навчання ЗВО </w:t>
      </w:r>
      <w:r w:rsidRPr="00B44B71">
        <w:rPr>
          <w:rFonts w:ascii="Times New Roman" w:eastAsia="Times New Roman" w:hAnsi="Times New Roman" w:cs="Times New Roman"/>
          <w:kern w:val="0"/>
          <w:sz w:val="28"/>
          <w:szCs w:val="28"/>
          <w:lang w:val="uk-UA" w:eastAsia="uk-UA"/>
          <w14:ligatures w14:val="none"/>
        </w:rPr>
        <w:t xml:space="preserve">за ОПП «Тил ДПСУ» у Національній академії Державної прикордонної служби України імені Богдана Хмельницького. </w:t>
      </w:r>
      <w:r w:rsidRPr="00B44B71">
        <w:rPr>
          <w:rFonts w:ascii="Times New Roman" w:eastAsia="Times New Roman" w:hAnsi="Times New Roman" w:cs="Times New Roman"/>
          <w:kern w:val="0"/>
          <w:sz w:val="28"/>
          <w:szCs w:val="28"/>
          <w:lang w:val="uk-UA" w:eastAsia="ru-RU"/>
          <w14:ligatures w14:val="none"/>
        </w:rPr>
        <w:t xml:space="preserve"> </w:t>
      </w:r>
    </w:p>
    <w:p w14:paraId="2E00DDAA" w14:textId="77777777" w:rsidR="00B44B71" w:rsidRPr="00B44B71" w:rsidRDefault="00B44B71" w:rsidP="00023291">
      <w:pPr>
        <w:tabs>
          <w:tab w:val="left" w:pos="851"/>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bCs/>
          <w:kern w:val="0"/>
          <w:sz w:val="28"/>
          <w:szCs w:val="28"/>
          <w:lang w:val="uk-UA" w:eastAsia="ru-RU"/>
          <w14:ligatures w14:val="none"/>
        </w:rPr>
        <w:t>Перспективи подальших досліджень.</w:t>
      </w:r>
      <w:r w:rsidRPr="00B44B71">
        <w:rPr>
          <w:rFonts w:ascii="Times New Roman" w:eastAsia="Times New Roman" w:hAnsi="Times New Roman" w:cs="Times New Roman"/>
          <w:kern w:val="0"/>
          <w:sz w:val="28"/>
          <w:szCs w:val="28"/>
          <w:lang w:val="uk-UA" w:eastAsia="ru-RU"/>
          <w14:ligatures w14:val="none"/>
        </w:rPr>
        <w:t xml:space="preserve"> Перспективи подальших досліджень доцільно зосередити на розробленні концептуальної моделі підготовки офіцерів логістики ДПСУ в умовах інтеграції до єдиного логістичного простору Сил оборони, удосконаленні методичного забезпечення використання автоматизованих систем управління в освітньому процесі, а також на дослідженні ефективності застосування роботизованих і цифрових технологій у системі логістичного забезпечення підрозділів у бойових умовах.</w:t>
      </w:r>
    </w:p>
    <w:p w14:paraId="1737D903" w14:textId="77777777" w:rsidR="00E967C0" w:rsidRDefault="00E967C0" w:rsidP="00023291">
      <w:pPr>
        <w:widowControl w:val="0"/>
        <w:tabs>
          <w:tab w:val="left" w:pos="9638"/>
        </w:tabs>
        <w:spacing w:after="0" w:line="240" w:lineRule="auto"/>
        <w:jc w:val="center"/>
        <w:rPr>
          <w:rFonts w:ascii="Times New Roman" w:eastAsia="Times New Roman" w:hAnsi="Times New Roman" w:cs="Times New Roman"/>
          <w:b/>
          <w:kern w:val="0"/>
          <w:sz w:val="24"/>
          <w:szCs w:val="24"/>
          <w:lang w:val="uk-UA" w:eastAsia="ru-RU"/>
          <w14:ligatures w14:val="none"/>
        </w:rPr>
      </w:pPr>
    </w:p>
    <w:p w14:paraId="16826118" w14:textId="568302E7" w:rsidR="00B44B71" w:rsidRPr="00E967C0" w:rsidRDefault="00B44B71" w:rsidP="00E967C0">
      <w:pPr>
        <w:widowControl w:val="0"/>
        <w:tabs>
          <w:tab w:val="left" w:pos="9638"/>
        </w:tabs>
        <w:spacing w:after="0" w:line="240" w:lineRule="auto"/>
        <w:jc w:val="center"/>
        <w:rPr>
          <w:rFonts w:ascii="Times New Roman" w:eastAsia="Times New Roman" w:hAnsi="Times New Roman" w:cs="Times New Roman"/>
          <w:b/>
          <w:kern w:val="0"/>
          <w:sz w:val="24"/>
          <w:szCs w:val="24"/>
          <w:lang w:val="uk-UA" w:eastAsia="ru-RU"/>
          <w14:ligatures w14:val="none"/>
        </w:rPr>
      </w:pPr>
      <w:r w:rsidRPr="00B66A78">
        <w:rPr>
          <w:rFonts w:ascii="Times New Roman" w:eastAsia="Times New Roman" w:hAnsi="Times New Roman" w:cs="Times New Roman"/>
          <w:b/>
          <w:kern w:val="0"/>
          <w:sz w:val="24"/>
          <w:szCs w:val="24"/>
          <w:lang w:val="uk-UA" w:eastAsia="ru-RU"/>
          <w14:ligatures w14:val="none"/>
        </w:rPr>
        <w:t>ЛІТЕРАТУРА</w:t>
      </w:r>
    </w:p>
    <w:p w14:paraId="22D3969C"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1. </w:t>
      </w:r>
      <w:r w:rsidRPr="00B44B71">
        <w:rPr>
          <w:rFonts w:ascii="Times New Roman" w:eastAsia="Times New Roman" w:hAnsi="Times New Roman" w:cs="Times New Roman"/>
          <w:bCs/>
          <w:kern w:val="0"/>
          <w:sz w:val="24"/>
          <w:szCs w:val="24"/>
          <w:shd w:val="clear" w:color="auto" w:fill="FFFFFF"/>
          <w:lang w:val="uk-UA" w:eastAsia="ru-RU"/>
          <w14:ligatures w14:val="none"/>
        </w:rPr>
        <w:t xml:space="preserve">Про затвердження Порядку логістичного забезпечення сил оборони під час виконання завдань з оборони держави, захисту її суверенітету, територіальної цілісності та </w:t>
      </w:r>
      <w:r w:rsidRPr="00B44B71">
        <w:rPr>
          <w:rFonts w:ascii="Times New Roman" w:eastAsia="Times New Roman" w:hAnsi="Times New Roman" w:cs="Times New Roman"/>
          <w:bCs/>
          <w:kern w:val="0"/>
          <w:sz w:val="24"/>
          <w:szCs w:val="24"/>
          <w:shd w:val="clear" w:color="auto" w:fill="FFFFFF"/>
          <w:lang w:val="uk-UA" w:eastAsia="ru-RU"/>
          <w14:ligatures w14:val="none"/>
        </w:rPr>
        <w:lastRenderedPageBreak/>
        <w:t xml:space="preserve">недоторканності : </w:t>
      </w:r>
      <w:r w:rsidRPr="00B44B71">
        <w:rPr>
          <w:rFonts w:ascii="Times New Roman" w:eastAsia="Times New Roman" w:hAnsi="Times New Roman" w:cs="Times New Roman"/>
          <w:kern w:val="0"/>
          <w:sz w:val="24"/>
          <w:szCs w:val="24"/>
          <w:lang w:val="uk-UA" w:eastAsia="ru-RU"/>
          <w14:ligatures w14:val="none"/>
        </w:rPr>
        <w:t xml:space="preserve">постанова Кабінету Міністрів України </w:t>
      </w:r>
      <w:r w:rsidRPr="00B44B71">
        <w:rPr>
          <w:rFonts w:ascii="Times New Roman" w:eastAsia="Times New Roman" w:hAnsi="Times New Roman" w:cs="Times New Roman"/>
          <w:bCs/>
          <w:kern w:val="0"/>
          <w:sz w:val="24"/>
          <w:szCs w:val="24"/>
          <w:shd w:val="clear" w:color="auto" w:fill="FFFFFF"/>
          <w:lang w:val="uk-UA" w:eastAsia="ru-RU"/>
          <w14:ligatures w14:val="none"/>
        </w:rPr>
        <w:t xml:space="preserve">від </w:t>
      </w:r>
      <w:r w:rsidRPr="00B44B71">
        <w:rPr>
          <w:rFonts w:ascii="Times New Roman" w:eastAsia="Times New Roman" w:hAnsi="Times New Roman" w:cs="Times New Roman"/>
          <w:kern w:val="0"/>
          <w:sz w:val="24"/>
          <w:szCs w:val="24"/>
          <w:lang w:val="uk-UA" w:eastAsia="ru-RU"/>
          <w14:ligatures w14:val="none"/>
        </w:rPr>
        <w:t xml:space="preserve"> </w:t>
      </w:r>
      <w:r w:rsidRPr="00B44B71">
        <w:rPr>
          <w:rFonts w:ascii="Times New Roman" w:eastAsia="Times New Roman" w:hAnsi="Times New Roman" w:cs="Times New Roman"/>
          <w:bCs/>
          <w:kern w:val="0"/>
          <w:sz w:val="24"/>
          <w:szCs w:val="24"/>
          <w:shd w:val="clear" w:color="auto" w:fill="FFFFFF"/>
          <w:lang w:val="uk-UA" w:eastAsia="ru-RU"/>
          <w14:ligatures w14:val="none"/>
        </w:rPr>
        <w:t xml:space="preserve">27 грудня 2018 р. № 1208. </w:t>
      </w:r>
      <w:r w:rsidRPr="00B44B71">
        <w:rPr>
          <w:rFonts w:ascii="Times New Roman" w:eastAsia="Times New Roman" w:hAnsi="Times New Roman" w:cs="Times New Roman"/>
          <w:kern w:val="0"/>
          <w:sz w:val="24"/>
          <w:szCs w:val="24"/>
          <w:lang w:eastAsia="ru-RU"/>
          <w14:ligatures w14:val="none"/>
        </w:rPr>
        <w:t>URL</w:t>
      </w:r>
      <w:r w:rsidRPr="00B44B71">
        <w:rPr>
          <w:rFonts w:ascii="Times New Roman" w:eastAsia="Times New Roman" w:hAnsi="Times New Roman" w:cs="Times New Roman"/>
          <w:kern w:val="0"/>
          <w:sz w:val="24"/>
          <w:szCs w:val="24"/>
          <w:lang w:val="uk-UA" w:eastAsia="ru-RU"/>
          <w14:ligatures w14:val="none"/>
        </w:rPr>
        <w:t>: </w:t>
      </w:r>
      <w:hyperlink r:id="rId338" w:anchor="Text" w:history="1">
        <w:r w:rsidRPr="00B44B71">
          <w:rPr>
            <w:rFonts w:ascii="Times New Roman" w:eastAsia="Times New Roman" w:hAnsi="Times New Roman" w:cs="Times New Roman"/>
            <w:color w:val="0000FF"/>
            <w:kern w:val="0"/>
            <w:sz w:val="24"/>
            <w:szCs w:val="24"/>
            <w:u w:val="single"/>
            <w:lang w:eastAsia="ru-RU"/>
            <w14:ligatures w14:val="none"/>
          </w:rPr>
          <w:t>https</w:t>
        </w:r>
        <w:r w:rsidRPr="00B44B71">
          <w:rPr>
            <w:rFonts w:ascii="Times New Roman" w:eastAsia="Times New Roman" w:hAnsi="Times New Roman" w:cs="Times New Roman"/>
            <w:color w:val="0000FF"/>
            <w:kern w:val="0"/>
            <w:sz w:val="24"/>
            <w:szCs w:val="24"/>
            <w:u w:val="single"/>
            <w:lang w:val="uk-UA" w:eastAsia="ru-RU"/>
            <w14:ligatures w14:val="none"/>
          </w:rPr>
          <w:t>://</w:t>
        </w:r>
        <w:r w:rsidRPr="00B44B71">
          <w:rPr>
            <w:rFonts w:ascii="Times New Roman" w:eastAsia="Times New Roman" w:hAnsi="Times New Roman" w:cs="Times New Roman"/>
            <w:color w:val="0000FF"/>
            <w:kern w:val="0"/>
            <w:sz w:val="24"/>
            <w:szCs w:val="24"/>
            <w:u w:val="single"/>
            <w:lang w:eastAsia="ru-RU"/>
            <w14:ligatures w14:val="none"/>
          </w:rPr>
          <w:t>zakon</w:t>
        </w:r>
        <w:r w:rsidRPr="00B44B71">
          <w:rPr>
            <w:rFonts w:ascii="Times New Roman" w:eastAsia="Times New Roman" w:hAnsi="Times New Roman" w:cs="Times New Roman"/>
            <w:color w:val="0000FF"/>
            <w:kern w:val="0"/>
            <w:sz w:val="24"/>
            <w:szCs w:val="24"/>
            <w:u w:val="single"/>
            <w:lang w:val="uk-UA" w:eastAsia="ru-RU"/>
            <w14:ligatures w14:val="none"/>
          </w:rPr>
          <w:t>.</w:t>
        </w:r>
        <w:r w:rsidRPr="00B44B71">
          <w:rPr>
            <w:rFonts w:ascii="Times New Roman" w:eastAsia="Times New Roman" w:hAnsi="Times New Roman" w:cs="Times New Roman"/>
            <w:color w:val="0000FF"/>
            <w:kern w:val="0"/>
            <w:sz w:val="24"/>
            <w:szCs w:val="24"/>
            <w:u w:val="single"/>
            <w:lang w:eastAsia="ru-RU"/>
            <w14:ligatures w14:val="none"/>
          </w:rPr>
          <w:t>rada</w:t>
        </w:r>
        <w:r w:rsidRPr="00B44B71">
          <w:rPr>
            <w:rFonts w:ascii="Times New Roman" w:eastAsia="Times New Roman" w:hAnsi="Times New Roman" w:cs="Times New Roman"/>
            <w:color w:val="0000FF"/>
            <w:kern w:val="0"/>
            <w:sz w:val="24"/>
            <w:szCs w:val="24"/>
            <w:u w:val="single"/>
            <w:lang w:val="uk-UA" w:eastAsia="ru-RU"/>
            <w14:ligatures w14:val="none"/>
          </w:rPr>
          <w:t>.</w:t>
        </w:r>
        <w:r w:rsidRPr="00B44B71">
          <w:rPr>
            <w:rFonts w:ascii="Times New Roman" w:eastAsia="Times New Roman" w:hAnsi="Times New Roman" w:cs="Times New Roman"/>
            <w:color w:val="0000FF"/>
            <w:kern w:val="0"/>
            <w:sz w:val="24"/>
            <w:szCs w:val="24"/>
            <w:u w:val="single"/>
            <w:lang w:eastAsia="ru-RU"/>
            <w14:ligatures w14:val="none"/>
          </w:rPr>
          <w:t>gov</w:t>
        </w:r>
        <w:r w:rsidRPr="00B44B71">
          <w:rPr>
            <w:rFonts w:ascii="Times New Roman" w:eastAsia="Times New Roman" w:hAnsi="Times New Roman" w:cs="Times New Roman"/>
            <w:color w:val="0000FF"/>
            <w:kern w:val="0"/>
            <w:sz w:val="24"/>
            <w:szCs w:val="24"/>
            <w:u w:val="single"/>
            <w:lang w:val="uk-UA" w:eastAsia="ru-RU"/>
            <w14:ligatures w14:val="none"/>
          </w:rPr>
          <w:t>.</w:t>
        </w:r>
        <w:r w:rsidRPr="00B44B71">
          <w:rPr>
            <w:rFonts w:ascii="Times New Roman" w:eastAsia="Times New Roman" w:hAnsi="Times New Roman" w:cs="Times New Roman"/>
            <w:color w:val="0000FF"/>
            <w:kern w:val="0"/>
            <w:sz w:val="24"/>
            <w:szCs w:val="24"/>
            <w:u w:val="single"/>
            <w:lang w:eastAsia="ru-RU"/>
            <w14:ligatures w14:val="none"/>
          </w:rPr>
          <w:t>ua</w:t>
        </w:r>
        <w:r w:rsidRPr="00B44B71">
          <w:rPr>
            <w:rFonts w:ascii="Times New Roman" w:eastAsia="Times New Roman" w:hAnsi="Times New Roman" w:cs="Times New Roman"/>
            <w:color w:val="0000FF"/>
            <w:kern w:val="0"/>
            <w:sz w:val="24"/>
            <w:szCs w:val="24"/>
            <w:u w:val="single"/>
            <w:lang w:val="uk-UA" w:eastAsia="ru-RU"/>
            <w14:ligatures w14:val="none"/>
          </w:rPr>
          <w:t>/</w:t>
        </w:r>
        <w:r w:rsidRPr="00B44B71">
          <w:rPr>
            <w:rFonts w:ascii="Times New Roman" w:eastAsia="Times New Roman" w:hAnsi="Times New Roman" w:cs="Times New Roman"/>
            <w:color w:val="0000FF"/>
            <w:kern w:val="0"/>
            <w:sz w:val="24"/>
            <w:szCs w:val="24"/>
            <w:u w:val="single"/>
            <w:lang w:eastAsia="ru-RU"/>
            <w14:ligatures w14:val="none"/>
          </w:rPr>
          <w:t>laws</w:t>
        </w:r>
        <w:r w:rsidRPr="00B44B71">
          <w:rPr>
            <w:rFonts w:ascii="Times New Roman" w:eastAsia="Times New Roman" w:hAnsi="Times New Roman" w:cs="Times New Roman"/>
            <w:color w:val="0000FF"/>
            <w:kern w:val="0"/>
            <w:sz w:val="24"/>
            <w:szCs w:val="24"/>
            <w:u w:val="single"/>
            <w:lang w:val="uk-UA" w:eastAsia="ru-RU"/>
            <w14:ligatures w14:val="none"/>
          </w:rPr>
          <w:t>/</w:t>
        </w:r>
        <w:r w:rsidRPr="00B44B71">
          <w:rPr>
            <w:rFonts w:ascii="Times New Roman" w:eastAsia="Times New Roman" w:hAnsi="Times New Roman" w:cs="Times New Roman"/>
            <w:color w:val="0000FF"/>
            <w:kern w:val="0"/>
            <w:sz w:val="24"/>
            <w:szCs w:val="24"/>
            <w:u w:val="single"/>
            <w:lang w:eastAsia="ru-RU"/>
            <w14:ligatures w14:val="none"/>
          </w:rPr>
          <w:t>show</w:t>
        </w:r>
        <w:r w:rsidRPr="00B44B71">
          <w:rPr>
            <w:rFonts w:ascii="Times New Roman" w:eastAsia="Times New Roman" w:hAnsi="Times New Roman" w:cs="Times New Roman"/>
            <w:color w:val="0000FF"/>
            <w:kern w:val="0"/>
            <w:sz w:val="24"/>
            <w:szCs w:val="24"/>
            <w:u w:val="single"/>
            <w:lang w:val="uk-UA" w:eastAsia="ru-RU"/>
            <w14:ligatures w14:val="none"/>
          </w:rPr>
          <w:t>/1208-2018-%</w:t>
        </w:r>
        <w:r w:rsidRPr="00B44B71">
          <w:rPr>
            <w:rFonts w:ascii="Times New Roman" w:eastAsia="Times New Roman" w:hAnsi="Times New Roman" w:cs="Times New Roman"/>
            <w:color w:val="0000FF"/>
            <w:kern w:val="0"/>
            <w:sz w:val="24"/>
            <w:szCs w:val="24"/>
            <w:u w:val="single"/>
            <w:lang w:eastAsia="ru-RU"/>
            <w14:ligatures w14:val="none"/>
          </w:rPr>
          <w:t>D</w:t>
        </w:r>
        <w:r w:rsidRPr="00B44B71">
          <w:rPr>
            <w:rFonts w:ascii="Times New Roman" w:eastAsia="Times New Roman" w:hAnsi="Times New Roman" w:cs="Times New Roman"/>
            <w:color w:val="0000FF"/>
            <w:kern w:val="0"/>
            <w:sz w:val="24"/>
            <w:szCs w:val="24"/>
            <w:u w:val="single"/>
            <w:lang w:val="uk-UA" w:eastAsia="ru-RU"/>
            <w14:ligatures w14:val="none"/>
          </w:rPr>
          <w:t>0%</w:t>
        </w:r>
        <w:r w:rsidRPr="00B44B71">
          <w:rPr>
            <w:rFonts w:ascii="Times New Roman" w:eastAsia="Times New Roman" w:hAnsi="Times New Roman" w:cs="Times New Roman"/>
            <w:color w:val="0000FF"/>
            <w:kern w:val="0"/>
            <w:sz w:val="24"/>
            <w:szCs w:val="24"/>
            <w:u w:val="single"/>
            <w:lang w:eastAsia="ru-RU"/>
            <w14:ligatures w14:val="none"/>
          </w:rPr>
          <w:t>BF</w:t>
        </w:r>
        <w:r w:rsidRPr="00B44B71">
          <w:rPr>
            <w:rFonts w:ascii="Times New Roman" w:eastAsia="Times New Roman" w:hAnsi="Times New Roman" w:cs="Times New Roman"/>
            <w:color w:val="0000FF"/>
            <w:kern w:val="0"/>
            <w:sz w:val="24"/>
            <w:szCs w:val="24"/>
            <w:u w:val="single"/>
            <w:lang w:val="uk-UA" w:eastAsia="ru-RU"/>
            <w14:ligatures w14:val="none"/>
          </w:rPr>
          <w:t>#</w:t>
        </w:r>
        <w:r w:rsidRPr="00B44B71">
          <w:rPr>
            <w:rFonts w:ascii="Times New Roman" w:eastAsia="Times New Roman" w:hAnsi="Times New Roman" w:cs="Times New Roman"/>
            <w:color w:val="0000FF"/>
            <w:kern w:val="0"/>
            <w:sz w:val="24"/>
            <w:szCs w:val="24"/>
            <w:u w:val="single"/>
            <w:lang w:eastAsia="ru-RU"/>
            <w14:ligatures w14:val="none"/>
          </w:rPr>
          <w:t>Text</w:t>
        </w:r>
      </w:hyperlink>
      <w:r w:rsidRPr="00B44B71">
        <w:rPr>
          <w:rFonts w:ascii="Times New Roman" w:eastAsia="Times New Roman" w:hAnsi="Times New Roman" w:cs="Times New Roman"/>
          <w:kern w:val="0"/>
          <w:sz w:val="24"/>
          <w:szCs w:val="24"/>
          <w:lang w:val="uk-UA" w:eastAsia="ru-RU"/>
          <w14:ligatures w14:val="none"/>
        </w:rPr>
        <w:t xml:space="preserve"> (дата звернення: 23.12.2025).</w:t>
      </w:r>
    </w:p>
    <w:p w14:paraId="2A459DB0" w14:textId="77777777" w:rsidR="00B44B71" w:rsidRPr="00B44B71" w:rsidRDefault="00B44B71" w:rsidP="00023291">
      <w:pPr>
        <w:widowControl w:val="0"/>
        <w:tabs>
          <w:tab w:val="left" w:pos="851"/>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2. ВКП 4-00(01).01. Доктрина “Об’єднана логістика”. Головне управління логістики Генерального штабу Збройних Сил України, 2020.</w:t>
      </w:r>
    </w:p>
    <w:p w14:paraId="4BBF398F"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3. Кривогуз Г. (2011). Поняття «Логістики» і його застосування при реформуванні органів управління тилом Збройних Сил України». </w:t>
      </w:r>
      <w:r w:rsidRPr="00B44B71">
        <w:rPr>
          <w:rFonts w:ascii="Times New Roman" w:eastAsia="Times New Roman" w:hAnsi="Times New Roman" w:cs="Times New Roman"/>
          <w:i/>
          <w:kern w:val="0"/>
          <w:sz w:val="24"/>
          <w:szCs w:val="24"/>
          <w:lang w:val="uk-UA" w:eastAsia="ru-RU"/>
          <w14:ligatures w14:val="none"/>
        </w:rPr>
        <w:t>Актуальні проблеми державного управління.</w:t>
      </w:r>
      <w:r w:rsidRPr="00B44B71">
        <w:rPr>
          <w:rFonts w:ascii="Times New Roman" w:eastAsia="Times New Roman" w:hAnsi="Times New Roman" w:cs="Times New Roman"/>
          <w:kern w:val="0"/>
          <w:sz w:val="24"/>
          <w:szCs w:val="24"/>
          <w:lang w:val="uk-UA" w:eastAsia="ru-RU"/>
          <w14:ligatures w14:val="none"/>
        </w:rPr>
        <w:t xml:space="preserve"> Вип. 2.  С. 93-95.</w:t>
      </w:r>
      <w:r w:rsidRPr="00B44B71">
        <w:rPr>
          <w:rFonts w:ascii="Times New Roman" w:eastAsia="Times New Roman" w:hAnsi="Times New Roman" w:cs="Times New Roman"/>
          <w:kern w:val="0"/>
          <w:sz w:val="24"/>
          <w:szCs w:val="24"/>
          <w:lang w:val="ru-RU" w:eastAsia="ru-RU"/>
          <w14:ligatures w14:val="none"/>
        </w:rPr>
        <w:t xml:space="preserve"> </w:t>
      </w:r>
      <w:r w:rsidRPr="00B44B71">
        <w:rPr>
          <w:rFonts w:ascii="Times New Roman" w:eastAsia="Times New Roman" w:hAnsi="Times New Roman" w:cs="Times New Roman"/>
          <w:kern w:val="0"/>
          <w:sz w:val="24"/>
          <w:szCs w:val="24"/>
          <w:lang w:eastAsia="ru-RU"/>
          <w14:ligatures w14:val="none"/>
        </w:rPr>
        <w:t>URL</w:t>
      </w:r>
      <w:r w:rsidRPr="00B44B71">
        <w:rPr>
          <w:rFonts w:ascii="Times New Roman" w:eastAsia="Times New Roman" w:hAnsi="Times New Roman" w:cs="Times New Roman"/>
          <w:kern w:val="0"/>
          <w:sz w:val="24"/>
          <w:szCs w:val="24"/>
          <w:lang w:val="uk-UA" w:eastAsia="ru-RU"/>
          <w14:ligatures w14:val="none"/>
        </w:rPr>
        <w:t xml:space="preserve">: </w:t>
      </w:r>
      <w:hyperlink r:id="rId339" w:history="1">
        <w:r w:rsidRPr="00B44B71">
          <w:rPr>
            <w:rFonts w:ascii="Times New Roman" w:eastAsia="Times New Roman" w:hAnsi="Times New Roman" w:cs="Times New Roman"/>
            <w:color w:val="0000FF"/>
            <w:kern w:val="0"/>
            <w:sz w:val="24"/>
            <w:szCs w:val="24"/>
            <w:u w:val="single"/>
            <w:lang w:val="uk-UA" w:eastAsia="ru-RU"/>
            <w14:ligatures w14:val="none"/>
          </w:rPr>
          <w:t>http://nbuv.gov.ua/UJRN/apdyo_2011_2_29</w:t>
        </w:r>
      </w:hyperlink>
      <w:r w:rsidRPr="00B44B71">
        <w:rPr>
          <w:rFonts w:ascii="Times New Roman" w:eastAsia="Times New Roman" w:hAnsi="Times New Roman" w:cs="Times New Roman"/>
          <w:kern w:val="0"/>
          <w:sz w:val="24"/>
          <w:szCs w:val="24"/>
          <w:lang w:val="uk-UA" w:eastAsia="ru-RU"/>
          <w14:ligatures w14:val="none"/>
        </w:rPr>
        <w:t xml:space="preserve"> (дата звернення: 23.12.2025).</w:t>
      </w:r>
    </w:p>
    <w:p w14:paraId="02100DE0" w14:textId="77777777" w:rsidR="00B44B71" w:rsidRPr="00B44B71" w:rsidRDefault="00B44B71" w:rsidP="00023291">
      <w:pPr>
        <w:widowControl w:val="0"/>
        <w:tabs>
          <w:tab w:val="left" w:pos="851"/>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4. Шуєнків В. О. (2005). Логістика – що це таке? </w:t>
      </w:r>
      <w:r w:rsidRPr="00B44B71">
        <w:rPr>
          <w:rFonts w:ascii="Times New Roman" w:eastAsia="Times New Roman" w:hAnsi="Times New Roman" w:cs="Times New Roman"/>
          <w:i/>
          <w:kern w:val="0"/>
          <w:sz w:val="24"/>
          <w:szCs w:val="24"/>
          <w:lang w:val="uk-UA" w:eastAsia="ru-RU"/>
          <w14:ligatures w14:val="none"/>
        </w:rPr>
        <w:t>Наука і оборона</w:t>
      </w:r>
      <w:r w:rsidRPr="00B44B71">
        <w:rPr>
          <w:rFonts w:ascii="Times New Roman" w:eastAsia="Times New Roman" w:hAnsi="Times New Roman" w:cs="Times New Roman"/>
          <w:kern w:val="0"/>
          <w:sz w:val="24"/>
          <w:szCs w:val="24"/>
          <w:lang w:val="uk-UA" w:eastAsia="ru-RU"/>
          <w14:ligatures w14:val="none"/>
        </w:rPr>
        <w:t>, №1 С. 66-68.</w:t>
      </w:r>
    </w:p>
    <w:p w14:paraId="3CF10592"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5. Воробйов О. М., Воробйова В. О., Багдасарян Н. К., Власов І. О. (2017). Аналіз та перспективи розвитку логістики від Другої світової війни до сьогодні. </w:t>
      </w:r>
      <w:r w:rsidRPr="00B44B71">
        <w:rPr>
          <w:rFonts w:ascii="Times New Roman" w:eastAsia="Times New Roman" w:hAnsi="Times New Roman" w:cs="Times New Roman"/>
          <w:i/>
          <w:kern w:val="0"/>
          <w:sz w:val="24"/>
          <w:szCs w:val="24"/>
          <w:lang w:val="uk-UA" w:eastAsia="ru-RU"/>
          <w14:ligatures w14:val="none"/>
        </w:rPr>
        <w:t>Social development &amp; Security</w:t>
      </w:r>
      <w:r w:rsidRPr="00B44B71">
        <w:rPr>
          <w:rFonts w:ascii="Times New Roman" w:eastAsia="Times New Roman" w:hAnsi="Times New Roman" w:cs="Times New Roman"/>
          <w:kern w:val="0"/>
          <w:sz w:val="24"/>
          <w:szCs w:val="24"/>
          <w:lang w:val="uk-UA" w:eastAsia="ru-RU"/>
          <w14:ligatures w14:val="none"/>
        </w:rPr>
        <w:t>. Вип. 2 (2). С. 68 – 75. URL:</w:t>
      </w:r>
      <w:hyperlink r:id="rId340" w:history="1">
        <w:r w:rsidRPr="00B44B71">
          <w:rPr>
            <w:rFonts w:ascii="Times New Roman" w:eastAsia="Times New Roman" w:hAnsi="Times New Roman" w:cs="Times New Roman"/>
            <w:color w:val="0000FF"/>
            <w:kern w:val="0"/>
            <w:sz w:val="24"/>
            <w:szCs w:val="24"/>
            <w:u w:val="single"/>
            <w:lang w:val="uk-UA" w:eastAsia="ru-RU"/>
            <w14:ligatures w14:val="none"/>
          </w:rPr>
          <w:t>https://paperssds.eu/index.php/ JSPSDS/article/ view/20/18</w:t>
        </w:r>
      </w:hyperlink>
      <w:r w:rsidRPr="00B44B71">
        <w:rPr>
          <w:rFonts w:ascii="Times New Roman" w:eastAsia="Times New Roman" w:hAnsi="Times New Roman" w:cs="Times New Roman"/>
          <w:kern w:val="0"/>
          <w:sz w:val="24"/>
          <w:szCs w:val="24"/>
          <w:lang w:val="uk-UA" w:eastAsia="ru-RU"/>
          <w14:ligatures w14:val="none"/>
        </w:rPr>
        <w:t xml:space="preserve"> (дата звернення: 23.12.2025).</w:t>
      </w:r>
    </w:p>
    <w:p w14:paraId="056F788E"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6. Бондаренко О. Г., Товма Л. Ф., Нестеренко Р. В., Касім О. Г.</w:t>
      </w:r>
      <w:r w:rsidRPr="00B44B71">
        <w:rPr>
          <w:rFonts w:ascii="Times New Roman" w:eastAsia="Times New Roman" w:hAnsi="Times New Roman" w:cs="Times New Roman"/>
          <w:kern w:val="0"/>
          <w:sz w:val="28"/>
          <w:szCs w:val="28"/>
          <w:lang w:val="uk-UA" w:eastAsia="ru-RU"/>
          <w14:ligatures w14:val="none"/>
        </w:rPr>
        <w:t xml:space="preserve"> </w:t>
      </w:r>
      <w:r w:rsidRPr="00B44B71">
        <w:rPr>
          <w:rFonts w:ascii="Times New Roman" w:eastAsia="Times New Roman" w:hAnsi="Times New Roman" w:cs="Times New Roman"/>
          <w:kern w:val="0"/>
          <w:sz w:val="24"/>
          <w:szCs w:val="24"/>
          <w:lang w:val="uk-UA" w:eastAsia="ru-RU"/>
          <w14:ligatures w14:val="none"/>
        </w:rPr>
        <w:t>(2018).</w:t>
      </w:r>
      <w:r w:rsidRPr="00B44B71">
        <w:rPr>
          <w:rFonts w:ascii="Times New Roman" w:eastAsia="Times New Roman" w:hAnsi="Times New Roman" w:cs="Times New Roman"/>
          <w:kern w:val="0"/>
          <w:sz w:val="28"/>
          <w:szCs w:val="28"/>
          <w:lang w:val="uk-UA" w:eastAsia="ru-RU"/>
          <w14:ligatures w14:val="none"/>
        </w:rPr>
        <w:t xml:space="preserve"> </w:t>
      </w:r>
      <w:r w:rsidRPr="00B44B71">
        <w:rPr>
          <w:rFonts w:ascii="Times New Roman" w:eastAsia="Times New Roman" w:hAnsi="Times New Roman" w:cs="Times New Roman"/>
          <w:kern w:val="0"/>
          <w:sz w:val="24"/>
          <w:szCs w:val="24"/>
          <w:lang w:val="uk-UA" w:eastAsia="ru-RU"/>
          <w14:ligatures w14:val="none"/>
        </w:rPr>
        <w:t xml:space="preserve">Основні положення щодо логістичного забезпечення Національної гвардії України. </w:t>
      </w:r>
      <w:r w:rsidRPr="00B44B71">
        <w:rPr>
          <w:rFonts w:ascii="Times New Roman" w:eastAsia="Times New Roman" w:hAnsi="Times New Roman" w:cs="Times New Roman"/>
          <w:i/>
          <w:kern w:val="0"/>
          <w:sz w:val="24"/>
          <w:szCs w:val="24"/>
          <w:lang w:val="uk-UA" w:eastAsia="ru-RU"/>
          <w14:ligatures w14:val="none"/>
        </w:rPr>
        <w:t>Вісник економіки транспорту і промисловості</w:t>
      </w:r>
      <w:r w:rsidRPr="00B44B71">
        <w:rPr>
          <w:rFonts w:ascii="Times New Roman" w:eastAsia="Times New Roman" w:hAnsi="Times New Roman" w:cs="Times New Roman"/>
          <w:kern w:val="0"/>
          <w:sz w:val="24"/>
          <w:szCs w:val="24"/>
          <w:lang w:val="uk-UA" w:eastAsia="ru-RU"/>
          <w14:ligatures w14:val="none"/>
        </w:rPr>
        <w:t xml:space="preserve">., №61. С 230 – 240. URL: </w:t>
      </w:r>
      <w:hyperlink r:id="rId341" w:history="1">
        <w:r w:rsidRPr="00B44B71">
          <w:rPr>
            <w:rFonts w:ascii="Times New Roman" w:eastAsia="Times New Roman" w:hAnsi="Times New Roman" w:cs="Times New Roman"/>
            <w:color w:val="0000FF"/>
            <w:kern w:val="0"/>
            <w:sz w:val="24"/>
            <w:szCs w:val="24"/>
            <w:u w:val="single"/>
            <w:lang w:val="uk-UA" w:eastAsia="ru-RU"/>
            <w14:ligatures w14:val="none"/>
          </w:rPr>
          <w:t>http://btie.kart.edu.ua/article/view/127879</w:t>
        </w:r>
      </w:hyperlink>
      <w:r w:rsidRPr="00B44B71">
        <w:rPr>
          <w:rFonts w:ascii="Times New Roman" w:eastAsia="Times New Roman" w:hAnsi="Times New Roman" w:cs="Times New Roman"/>
          <w:kern w:val="0"/>
          <w:sz w:val="24"/>
          <w:szCs w:val="24"/>
          <w:lang w:val="uk-UA" w:eastAsia="ru-RU"/>
          <w14:ligatures w14:val="none"/>
        </w:rPr>
        <w:t xml:space="preserve"> (дата звернення: 23.12.2025).</w:t>
      </w:r>
    </w:p>
    <w:p w14:paraId="207080C8"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7. Коваль В., Фаріон О., Кочеулов А. (2024). Аналіз досвіду та рекомендації щодо організації тилового забезпечення органів і підрозділів ДПСУ під час виконання спеціальних (бойових) завдань. </w:t>
      </w:r>
      <w:r w:rsidRPr="00B44B71">
        <w:rPr>
          <w:rFonts w:ascii="Times New Roman" w:eastAsia="Times New Roman" w:hAnsi="Times New Roman" w:cs="Times New Roman"/>
          <w:i/>
          <w:kern w:val="0"/>
          <w:sz w:val="24"/>
          <w:szCs w:val="24"/>
          <w:lang w:val="uk-UA" w:eastAsia="ru-RU"/>
          <w14:ligatures w14:val="none"/>
        </w:rPr>
        <w:t>Збірник наукових праць Національної академії Державної прикордонної служби України.</w:t>
      </w:r>
      <w:r w:rsidRPr="00B44B71">
        <w:rPr>
          <w:rFonts w:ascii="Times New Roman" w:eastAsia="Times New Roman" w:hAnsi="Times New Roman" w:cs="Times New Roman"/>
          <w:kern w:val="0"/>
          <w:sz w:val="24"/>
          <w:szCs w:val="24"/>
          <w:lang w:val="uk-UA" w:eastAsia="ru-RU"/>
          <w14:ligatures w14:val="none"/>
        </w:rPr>
        <w:t xml:space="preserve"> Серія : військові та технічні науки. Хмельницький : НАДПСУ. № 3 (96). С. 178–187.</w:t>
      </w:r>
    </w:p>
    <w:p w14:paraId="17093E0B" w14:textId="77777777" w:rsidR="00B44B71" w:rsidRPr="00B44B71" w:rsidRDefault="00B44B71" w:rsidP="00023291">
      <w:pPr>
        <w:widowControl w:val="0"/>
        <w:tabs>
          <w:tab w:val="left" w:pos="851"/>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8. Пономаренко О. (2024). Підготовка майбутніх офіцерів: логістичний аспект. </w:t>
      </w:r>
      <w:r w:rsidRPr="00B44B71">
        <w:rPr>
          <w:rFonts w:ascii="Times New Roman" w:eastAsia="Times New Roman" w:hAnsi="Times New Roman" w:cs="Times New Roman"/>
          <w:i/>
          <w:kern w:val="0"/>
          <w:sz w:val="24"/>
          <w:szCs w:val="24"/>
          <w:lang w:val="uk-UA" w:eastAsia="ru-RU"/>
          <w14:ligatures w14:val="none"/>
        </w:rPr>
        <w:t>Збірник наукових праць Національної академії Державної прикордонної служби України.</w:t>
      </w:r>
      <w:r w:rsidRPr="00B44B71">
        <w:rPr>
          <w:rFonts w:ascii="Times New Roman" w:eastAsia="Times New Roman" w:hAnsi="Times New Roman" w:cs="Times New Roman"/>
          <w:kern w:val="0"/>
          <w:sz w:val="24"/>
          <w:szCs w:val="24"/>
          <w:lang w:val="uk-UA" w:eastAsia="ru-RU"/>
          <w14:ligatures w14:val="none"/>
        </w:rPr>
        <w:t xml:space="preserve"> Серія : педагогічні науки. Хмельницький : НАДПСУ. № 2 (37). С. 155–175. </w:t>
      </w:r>
    </w:p>
    <w:p w14:paraId="589DE71D" w14:textId="77777777" w:rsidR="00B44B71" w:rsidRPr="00B44B71" w:rsidRDefault="00B44B71" w:rsidP="00023291">
      <w:pPr>
        <w:widowControl w:val="0"/>
        <w:tabs>
          <w:tab w:val="left" w:pos="851"/>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9. Саган В., Пономаренко О., Кочеулов А., П’яткова М., Кравчук В. (2025). Організація логістичного забезпечення та рекомендації щодо постачання експлуатаційних матеріалів під час воєнного стану. </w:t>
      </w:r>
      <w:r w:rsidRPr="00B44B71">
        <w:rPr>
          <w:rFonts w:ascii="Times New Roman" w:eastAsia="Times New Roman" w:hAnsi="Times New Roman" w:cs="Times New Roman"/>
          <w:i/>
          <w:kern w:val="0"/>
          <w:sz w:val="24"/>
          <w:szCs w:val="24"/>
          <w:lang w:val="uk-UA" w:eastAsia="ru-RU"/>
          <w14:ligatures w14:val="none"/>
        </w:rPr>
        <w:t>Збірник наукових праць Національної академії Державної прикордонної служби України.</w:t>
      </w:r>
      <w:r w:rsidRPr="00B44B71">
        <w:rPr>
          <w:rFonts w:ascii="Times New Roman" w:eastAsia="Times New Roman" w:hAnsi="Times New Roman" w:cs="Times New Roman"/>
          <w:kern w:val="0"/>
          <w:sz w:val="24"/>
          <w:szCs w:val="24"/>
          <w:lang w:val="uk-UA" w:eastAsia="ru-RU"/>
          <w14:ligatures w14:val="none"/>
        </w:rPr>
        <w:t xml:space="preserve"> Серія : військові та технічні науки. Хмельницький : НАДПСУ. № 1 (98). С. 57–69.</w:t>
      </w:r>
    </w:p>
    <w:p w14:paraId="3CB82970" w14:textId="77777777" w:rsidR="00B44B71" w:rsidRPr="00B44B71" w:rsidRDefault="00B44B71" w:rsidP="00023291">
      <w:pPr>
        <w:widowControl w:val="0"/>
        <w:tabs>
          <w:tab w:val="left" w:pos="851"/>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10. Саган В. (2026). Аналіз змісту підготовки здобувачів вищої освіти за освітньо-професійною програмою «Організація діяльності тилових підрозділів державної прикордонної служби України» за напрямом забезпечення пально-мастильними матеріалами.  </w:t>
      </w:r>
      <w:r w:rsidRPr="00B44B71">
        <w:rPr>
          <w:rFonts w:ascii="Times New Roman" w:eastAsia="Times New Roman" w:hAnsi="Times New Roman" w:cs="Times New Roman"/>
          <w:i/>
          <w:kern w:val="0"/>
          <w:sz w:val="24"/>
          <w:szCs w:val="24"/>
          <w:lang w:val="uk-UA" w:eastAsia="ru-RU"/>
          <w14:ligatures w14:val="none"/>
        </w:rPr>
        <w:t>Збірник наукових праць Національної академії Державної прикордонної служби України.</w:t>
      </w:r>
      <w:r w:rsidRPr="00B44B71">
        <w:rPr>
          <w:rFonts w:ascii="Times New Roman" w:eastAsia="Times New Roman" w:hAnsi="Times New Roman" w:cs="Times New Roman"/>
          <w:kern w:val="0"/>
          <w:sz w:val="24"/>
          <w:szCs w:val="24"/>
          <w:lang w:val="uk-UA" w:eastAsia="ru-RU"/>
          <w14:ligatures w14:val="none"/>
        </w:rPr>
        <w:t xml:space="preserve"> Серія : педагогічні науки. Хмельницький : НАДПСУ. № 1 (44). С. 161–183.</w:t>
      </w:r>
    </w:p>
    <w:p w14:paraId="001A88BB" w14:textId="77777777" w:rsidR="00B44B71" w:rsidRPr="00B44B71" w:rsidRDefault="00B44B71" w:rsidP="00023291">
      <w:pPr>
        <w:widowControl w:val="0"/>
        <w:tabs>
          <w:tab w:val="left" w:pos="851"/>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11. Шалімов Ю., Саган В., Пономаренко О., Кочеулов А., Коваль В. (2025). </w:t>
      </w:r>
      <w:r w:rsidRPr="00B44B71">
        <w:rPr>
          <w:rFonts w:ascii="Times New Roman" w:eastAsia="Times New Roman" w:hAnsi="Times New Roman" w:cs="Times New Roman"/>
          <w:bCs/>
          <w:kern w:val="0"/>
          <w:sz w:val="24"/>
          <w:szCs w:val="24"/>
          <w:lang w:val="uk-UA" w:eastAsia="ru-RU"/>
          <w14:ligatures w14:val="none"/>
        </w:rPr>
        <w:t xml:space="preserve">Аналіз функціонування системи тилового забезпечення під час виконання бойових (спеціальних) завдань. </w:t>
      </w:r>
      <w:r w:rsidRPr="00B44B71">
        <w:rPr>
          <w:rFonts w:ascii="Times New Roman" w:eastAsia="Times New Roman" w:hAnsi="Times New Roman" w:cs="Times New Roman"/>
          <w:i/>
          <w:kern w:val="0"/>
          <w:sz w:val="24"/>
          <w:szCs w:val="24"/>
          <w:lang w:val="uk-UA" w:eastAsia="ru-RU"/>
          <w14:ligatures w14:val="none"/>
        </w:rPr>
        <w:t>Збірник наукових праць Національної академії Державної прикордонної служби України.</w:t>
      </w:r>
      <w:r w:rsidRPr="00B44B71">
        <w:rPr>
          <w:rFonts w:ascii="Times New Roman" w:eastAsia="Times New Roman" w:hAnsi="Times New Roman" w:cs="Times New Roman"/>
          <w:kern w:val="0"/>
          <w:sz w:val="24"/>
          <w:szCs w:val="24"/>
          <w:lang w:val="uk-UA" w:eastAsia="ru-RU"/>
          <w14:ligatures w14:val="none"/>
        </w:rPr>
        <w:t xml:space="preserve"> Серія : військові та технічні науки. Хмельницький : НАДПСУ. № 3 (100). С. 142–151. </w:t>
      </w:r>
    </w:p>
    <w:p w14:paraId="14FC15A6" w14:textId="77777777" w:rsidR="00B44B71" w:rsidRPr="00B44B71" w:rsidRDefault="00B44B71" w:rsidP="00023291">
      <w:pPr>
        <w:widowControl w:val="0"/>
        <w:tabs>
          <w:tab w:val="left" w:pos="851"/>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12. Саган В. (2025). </w:t>
      </w:r>
      <w:r w:rsidRPr="00B44B71">
        <w:rPr>
          <w:rFonts w:ascii="Times New Roman" w:eastAsia="Times New Roman" w:hAnsi="Times New Roman" w:cs="Times New Roman"/>
          <w:kern w:val="0"/>
          <w:sz w:val="24"/>
          <w:szCs w:val="24"/>
          <w:shd w:val="clear" w:color="auto" w:fill="FFFFFF"/>
          <w:lang w:val="uk-UA" w:eastAsia="ru-RU"/>
          <w14:ligatures w14:val="none"/>
        </w:rPr>
        <w:t xml:space="preserve">Аналіз змісту підготовки здобувачів вищої освіти за освітньо-професійною програмою «Організація діяльності тилових підрозділів Державної прикордонної служби України» за напрямом речового забезпечення. </w:t>
      </w:r>
      <w:r w:rsidRPr="00B44B71">
        <w:rPr>
          <w:rFonts w:ascii="Times New Roman" w:eastAsia="Times New Roman" w:hAnsi="Times New Roman" w:cs="Times New Roman"/>
          <w:i/>
          <w:kern w:val="0"/>
          <w:sz w:val="24"/>
          <w:szCs w:val="24"/>
          <w:lang w:val="uk-UA" w:eastAsia="ru-RU"/>
          <w14:ligatures w14:val="none"/>
        </w:rPr>
        <w:t>Збірник наукових праць Національної академії Державної прикордонної служби України.</w:t>
      </w:r>
      <w:r w:rsidRPr="00B44B71">
        <w:rPr>
          <w:rFonts w:ascii="Times New Roman" w:eastAsia="Times New Roman" w:hAnsi="Times New Roman" w:cs="Times New Roman"/>
          <w:kern w:val="0"/>
          <w:sz w:val="24"/>
          <w:szCs w:val="24"/>
          <w:lang w:val="uk-UA" w:eastAsia="ru-RU"/>
          <w14:ligatures w14:val="none"/>
        </w:rPr>
        <w:t xml:space="preserve"> Серія : педагогічні науки. Хмельницький : НАДПСУ. № 3 (42). С. 163–184.</w:t>
      </w:r>
    </w:p>
    <w:p w14:paraId="25D73F20" w14:textId="77777777" w:rsidR="00B44B71" w:rsidRPr="00B44B71" w:rsidRDefault="00B44B71" w:rsidP="00023291">
      <w:pPr>
        <w:widowControl w:val="0"/>
        <w:tabs>
          <w:tab w:val="left" w:pos="851"/>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13. Пономаренко О. (2025). </w:t>
      </w:r>
      <w:r w:rsidRPr="00B44B71">
        <w:rPr>
          <w:rFonts w:ascii="Times New Roman" w:eastAsia="Times New Roman" w:hAnsi="Times New Roman" w:cs="Times New Roman"/>
          <w:kern w:val="0"/>
          <w:sz w:val="24"/>
          <w:szCs w:val="24"/>
          <w:shd w:val="clear" w:color="auto" w:fill="FFFFFF"/>
          <w:lang w:val="uk-UA" w:eastAsia="ru-RU"/>
          <w14:ligatures w14:val="none"/>
        </w:rPr>
        <w:t xml:space="preserve">Обґрунтування фахових компетентностей спеціалізації освітньої програми «Організація діяльності тилових підрозділів ДПСУ».  </w:t>
      </w:r>
      <w:r w:rsidRPr="00B44B71">
        <w:rPr>
          <w:rFonts w:ascii="Times New Roman" w:eastAsia="Times New Roman" w:hAnsi="Times New Roman" w:cs="Times New Roman"/>
          <w:i/>
          <w:kern w:val="0"/>
          <w:sz w:val="24"/>
          <w:szCs w:val="24"/>
          <w:lang w:val="uk-UA" w:eastAsia="ru-RU"/>
          <w14:ligatures w14:val="none"/>
        </w:rPr>
        <w:t>Збірник наукових праць Національної академії Державної прикордонної служби України.</w:t>
      </w:r>
      <w:r w:rsidRPr="00B44B71">
        <w:rPr>
          <w:rFonts w:ascii="Times New Roman" w:eastAsia="Times New Roman" w:hAnsi="Times New Roman" w:cs="Times New Roman"/>
          <w:kern w:val="0"/>
          <w:sz w:val="24"/>
          <w:szCs w:val="24"/>
          <w:lang w:val="uk-UA" w:eastAsia="ru-RU"/>
          <w14:ligatures w14:val="none"/>
        </w:rPr>
        <w:t xml:space="preserve"> Серія : педагогічні науки. Хмельницький : НАДПСУ. № 3 (42). С. 144–161.</w:t>
      </w:r>
    </w:p>
    <w:p w14:paraId="4D9D6AD9" w14:textId="77777777" w:rsidR="00B44B71" w:rsidRPr="00B44B71" w:rsidRDefault="00B44B71" w:rsidP="00023291">
      <w:pPr>
        <w:widowControl w:val="0"/>
        <w:tabs>
          <w:tab w:val="left" w:pos="851"/>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14. Гармаш Т. А. (2016). Професійна діяльність фахівців з логістики, їх характеристика. </w:t>
      </w:r>
      <w:r w:rsidRPr="00B44B71">
        <w:rPr>
          <w:rFonts w:ascii="Times New Roman" w:eastAsia="Times New Roman" w:hAnsi="Times New Roman" w:cs="Times New Roman"/>
          <w:i/>
          <w:kern w:val="0"/>
          <w:sz w:val="24"/>
          <w:szCs w:val="24"/>
          <w:lang w:val="uk-UA" w:eastAsia="ru-RU"/>
          <w14:ligatures w14:val="none"/>
        </w:rPr>
        <w:lastRenderedPageBreak/>
        <w:t>Міжнародні Челпанівські психолого-педагогічні читання</w:t>
      </w:r>
      <w:r w:rsidRPr="00B44B71">
        <w:rPr>
          <w:rFonts w:ascii="Times New Roman" w:eastAsia="Times New Roman" w:hAnsi="Times New Roman" w:cs="Times New Roman"/>
          <w:kern w:val="0"/>
          <w:sz w:val="24"/>
          <w:szCs w:val="24"/>
          <w:lang w:val="uk-UA" w:eastAsia="ru-RU"/>
          <w14:ligatures w14:val="none"/>
        </w:rPr>
        <w:t xml:space="preserve">. Том. 20. С. 141-148. URL: </w:t>
      </w:r>
      <w:hyperlink r:id="rId342" w:history="1">
        <w:r w:rsidRPr="00B44B71">
          <w:rPr>
            <w:rFonts w:ascii="Times New Roman" w:eastAsia="Times New Roman" w:hAnsi="Times New Roman" w:cs="Times New Roman"/>
            <w:color w:val="0000FF"/>
            <w:kern w:val="0"/>
            <w:sz w:val="24"/>
            <w:szCs w:val="24"/>
            <w:u w:val="single"/>
            <w:lang w:eastAsia="ru-RU"/>
            <w14:ligatures w14:val="none"/>
          </w:rPr>
          <w:t>https</w:t>
        </w:r>
        <w:r w:rsidRPr="00B44B71">
          <w:rPr>
            <w:rFonts w:ascii="Times New Roman" w:eastAsia="Times New Roman" w:hAnsi="Times New Roman" w:cs="Times New Roman"/>
            <w:color w:val="0000FF"/>
            <w:kern w:val="0"/>
            <w:sz w:val="24"/>
            <w:szCs w:val="24"/>
            <w:u w:val="single"/>
            <w:lang w:val="uk-UA" w:eastAsia="ru-RU"/>
            <w14:ligatures w14:val="none"/>
          </w:rPr>
          <w:t>://</w:t>
        </w:r>
        <w:r w:rsidRPr="00B44B71">
          <w:rPr>
            <w:rFonts w:ascii="Times New Roman" w:eastAsia="Times New Roman" w:hAnsi="Times New Roman" w:cs="Times New Roman"/>
            <w:color w:val="0000FF"/>
            <w:kern w:val="0"/>
            <w:sz w:val="24"/>
            <w:szCs w:val="24"/>
            <w:u w:val="single"/>
            <w:lang w:eastAsia="ru-RU"/>
            <w14:ligatures w14:val="none"/>
          </w:rPr>
          <w:t>chelpanov</w:t>
        </w:r>
        <w:r w:rsidRPr="00B44B71">
          <w:rPr>
            <w:rFonts w:ascii="Times New Roman" w:eastAsia="Times New Roman" w:hAnsi="Times New Roman" w:cs="Times New Roman"/>
            <w:color w:val="0000FF"/>
            <w:kern w:val="0"/>
            <w:sz w:val="24"/>
            <w:szCs w:val="24"/>
            <w:u w:val="single"/>
            <w:lang w:val="uk-UA" w:eastAsia="ru-RU"/>
            <w14:ligatures w14:val="none"/>
          </w:rPr>
          <w:t>.</w:t>
        </w:r>
        <w:r w:rsidRPr="00B44B71">
          <w:rPr>
            <w:rFonts w:ascii="Times New Roman" w:eastAsia="Times New Roman" w:hAnsi="Times New Roman" w:cs="Times New Roman"/>
            <w:color w:val="0000FF"/>
            <w:kern w:val="0"/>
            <w:sz w:val="24"/>
            <w:szCs w:val="24"/>
            <w:u w:val="single"/>
            <w:lang w:eastAsia="ru-RU"/>
            <w14:ligatures w14:val="none"/>
          </w:rPr>
          <w:t>eeipsy</w:t>
        </w:r>
        <w:r w:rsidRPr="00B44B71">
          <w:rPr>
            <w:rFonts w:ascii="Times New Roman" w:eastAsia="Times New Roman" w:hAnsi="Times New Roman" w:cs="Times New Roman"/>
            <w:color w:val="0000FF"/>
            <w:kern w:val="0"/>
            <w:sz w:val="24"/>
            <w:szCs w:val="24"/>
            <w:u w:val="single"/>
            <w:lang w:val="uk-UA" w:eastAsia="ru-RU"/>
            <w14:ligatures w14:val="none"/>
          </w:rPr>
          <w:t>.</w:t>
        </w:r>
        <w:r w:rsidRPr="00B44B71">
          <w:rPr>
            <w:rFonts w:ascii="Times New Roman" w:eastAsia="Times New Roman" w:hAnsi="Times New Roman" w:cs="Times New Roman"/>
            <w:color w:val="0000FF"/>
            <w:kern w:val="0"/>
            <w:sz w:val="24"/>
            <w:szCs w:val="24"/>
            <w:u w:val="single"/>
            <w:lang w:eastAsia="ru-RU"/>
            <w14:ligatures w14:val="none"/>
          </w:rPr>
          <w:t>org</w:t>
        </w:r>
        <w:r w:rsidRPr="00B44B71">
          <w:rPr>
            <w:rFonts w:ascii="Times New Roman" w:eastAsia="Times New Roman" w:hAnsi="Times New Roman" w:cs="Times New Roman"/>
            <w:color w:val="0000FF"/>
            <w:kern w:val="0"/>
            <w:sz w:val="24"/>
            <w:szCs w:val="24"/>
            <w:u w:val="single"/>
            <w:lang w:val="uk-UA" w:eastAsia="ru-RU"/>
            <w14:ligatures w14:val="none"/>
          </w:rPr>
          <w:t>/</w:t>
        </w:r>
        <w:r w:rsidRPr="00B44B71">
          <w:rPr>
            <w:rFonts w:ascii="Times New Roman" w:eastAsia="Times New Roman" w:hAnsi="Times New Roman" w:cs="Times New Roman"/>
            <w:color w:val="0000FF"/>
            <w:kern w:val="0"/>
            <w:sz w:val="24"/>
            <w:szCs w:val="24"/>
            <w:u w:val="single"/>
            <w:lang w:eastAsia="ru-RU"/>
            <w14:ligatures w14:val="none"/>
          </w:rPr>
          <w:t>index</w:t>
        </w:r>
        <w:r w:rsidRPr="00B44B71">
          <w:rPr>
            <w:rFonts w:ascii="Times New Roman" w:eastAsia="Times New Roman" w:hAnsi="Times New Roman" w:cs="Times New Roman"/>
            <w:color w:val="0000FF"/>
            <w:kern w:val="0"/>
            <w:sz w:val="24"/>
            <w:szCs w:val="24"/>
            <w:u w:val="single"/>
            <w:lang w:val="uk-UA" w:eastAsia="ru-RU"/>
            <w14:ligatures w14:val="none"/>
          </w:rPr>
          <w:t>.</w:t>
        </w:r>
        <w:r w:rsidRPr="00B44B71">
          <w:rPr>
            <w:rFonts w:ascii="Times New Roman" w:eastAsia="Times New Roman" w:hAnsi="Times New Roman" w:cs="Times New Roman"/>
            <w:color w:val="0000FF"/>
            <w:kern w:val="0"/>
            <w:sz w:val="24"/>
            <w:szCs w:val="24"/>
            <w:u w:val="single"/>
            <w:lang w:eastAsia="ru-RU"/>
            <w14:ligatures w14:val="none"/>
          </w:rPr>
          <w:t>php</w:t>
        </w:r>
        <w:r w:rsidRPr="00B44B71">
          <w:rPr>
            <w:rFonts w:ascii="Times New Roman" w:eastAsia="Times New Roman" w:hAnsi="Times New Roman" w:cs="Times New Roman"/>
            <w:color w:val="0000FF"/>
            <w:kern w:val="0"/>
            <w:sz w:val="24"/>
            <w:szCs w:val="24"/>
            <w:u w:val="single"/>
            <w:lang w:val="uk-UA" w:eastAsia="ru-RU"/>
            <w14:ligatures w14:val="none"/>
          </w:rPr>
          <w:t>/</w:t>
        </w:r>
        <w:r w:rsidRPr="00B44B71">
          <w:rPr>
            <w:rFonts w:ascii="Times New Roman" w:eastAsia="Times New Roman" w:hAnsi="Times New Roman" w:cs="Times New Roman"/>
            <w:color w:val="0000FF"/>
            <w:kern w:val="0"/>
            <w:sz w:val="24"/>
            <w:szCs w:val="24"/>
            <w:u w:val="single"/>
            <w:lang w:eastAsia="ru-RU"/>
            <w14:ligatures w14:val="none"/>
          </w:rPr>
          <w:t>eeip</w:t>
        </w:r>
        <w:r w:rsidRPr="00B44B71">
          <w:rPr>
            <w:rFonts w:ascii="Times New Roman" w:eastAsia="Times New Roman" w:hAnsi="Times New Roman" w:cs="Times New Roman"/>
            <w:color w:val="0000FF"/>
            <w:kern w:val="0"/>
            <w:sz w:val="24"/>
            <w:szCs w:val="24"/>
            <w:u w:val="single"/>
            <w:lang w:val="uk-UA" w:eastAsia="ru-RU"/>
            <w14:ligatures w14:val="none"/>
          </w:rPr>
          <w:t>/</w:t>
        </w:r>
        <w:r w:rsidRPr="00B44B71">
          <w:rPr>
            <w:rFonts w:ascii="Times New Roman" w:eastAsia="Times New Roman" w:hAnsi="Times New Roman" w:cs="Times New Roman"/>
            <w:color w:val="0000FF"/>
            <w:kern w:val="0"/>
            <w:sz w:val="24"/>
            <w:szCs w:val="24"/>
            <w:u w:val="single"/>
            <w:lang w:eastAsia="ru-RU"/>
            <w14:ligatures w14:val="none"/>
          </w:rPr>
          <w:t>issue</w:t>
        </w:r>
        <w:r w:rsidRPr="00B44B71">
          <w:rPr>
            <w:rFonts w:ascii="Times New Roman" w:eastAsia="Times New Roman" w:hAnsi="Times New Roman" w:cs="Times New Roman"/>
            <w:color w:val="0000FF"/>
            <w:kern w:val="0"/>
            <w:sz w:val="24"/>
            <w:szCs w:val="24"/>
            <w:u w:val="single"/>
            <w:lang w:val="uk-UA" w:eastAsia="ru-RU"/>
            <w14:ligatures w14:val="none"/>
          </w:rPr>
          <w:t>/</w:t>
        </w:r>
        <w:r w:rsidRPr="00B44B71">
          <w:rPr>
            <w:rFonts w:ascii="Times New Roman" w:eastAsia="Times New Roman" w:hAnsi="Times New Roman" w:cs="Times New Roman"/>
            <w:color w:val="0000FF"/>
            <w:kern w:val="0"/>
            <w:sz w:val="24"/>
            <w:szCs w:val="24"/>
            <w:u w:val="single"/>
            <w:lang w:eastAsia="ru-RU"/>
            <w14:ligatures w14:val="none"/>
          </w:rPr>
          <w:t>view</w:t>
        </w:r>
        <w:r w:rsidRPr="00B44B71">
          <w:rPr>
            <w:rFonts w:ascii="Times New Roman" w:eastAsia="Times New Roman" w:hAnsi="Times New Roman" w:cs="Times New Roman"/>
            <w:color w:val="0000FF"/>
            <w:kern w:val="0"/>
            <w:sz w:val="24"/>
            <w:szCs w:val="24"/>
            <w:u w:val="single"/>
            <w:lang w:val="uk-UA" w:eastAsia="ru-RU"/>
            <w14:ligatures w14:val="none"/>
          </w:rPr>
          <w:t>/7/</w:t>
        </w:r>
        <w:r w:rsidRPr="00B44B71">
          <w:rPr>
            <w:rFonts w:ascii="Times New Roman" w:eastAsia="Times New Roman" w:hAnsi="Times New Roman" w:cs="Times New Roman"/>
            <w:color w:val="0000FF"/>
            <w:kern w:val="0"/>
            <w:sz w:val="24"/>
            <w:szCs w:val="24"/>
            <w:u w:val="single"/>
            <w:lang w:eastAsia="ru-RU"/>
            <w14:ligatures w14:val="none"/>
          </w:rPr>
          <w:t>PDF</w:t>
        </w:r>
        <w:r w:rsidRPr="00B44B71">
          <w:rPr>
            <w:rFonts w:ascii="Times New Roman" w:eastAsia="Times New Roman" w:hAnsi="Times New Roman" w:cs="Times New Roman"/>
            <w:color w:val="0000FF"/>
            <w:kern w:val="0"/>
            <w:sz w:val="24"/>
            <w:szCs w:val="24"/>
            <w:u w:val="single"/>
            <w:lang w:val="uk-UA" w:eastAsia="ru-RU"/>
            <w14:ligatures w14:val="none"/>
          </w:rPr>
          <w:t>20</w:t>
        </w:r>
      </w:hyperlink>
      <w:r w:rsidRPr="00B44B71">
        <w:rPr>
          <w:rFonts w:ascii="Times New Roman" w:eastAsia="Times New Roman" w:hAnsi="Times New Roman" w:cs="Times New Roman"/>
          <w:kern w:val="0"/>
          <w:sz w:val="24"/>
          <w:szCs w:val="24"/>
          <w:lang w:val="uk-UA" w:eastAsia="ru-RU"/>
          <w14:ligatures w14:val="none"/>
        </w:rPr>
        <w:t xml:space="preserve"> (дата звернення: 23.12.2025).</w:t>
      </w:r>
    </w:p>
    <w:p w14:paraId="2B18EA0A" w14:textId="77777777" w:rsidR="00B44B71" w:rsidRPr="00B44B71" w:rsidRDefault="00B44B71" w:rsidP="00023291">
      <w:pPr>
        <w:widowControl w:val="0"/>
        <w:tabs>
          <w:tab w:val="left" w:pos="851"/>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15. Воробйов О., Власов І., Шинкаренко Ю. (2018). Напрямки підготовки фахівців з логістики Збройних Сил України та сучасні технології управління логістичним забезпеченням. </w:t>
      </w:r>
      <w:r w:rsidRPr="00B44B71">
        <w:rPr>
          <w:rFonts w:ascii="Times New Roman" w:eastAsia="Times New Roman" w:hAnsi="Times New Roman" w:cs="Times New Roman"/>
          <w:i/>
          <w:kern w:val="0"/>
          <w:sz w:val="24"/>
          <w:szCs w:val="24"/>
          <w:lang w:val="uk-UA" w:eastAsia="ru-RU"/>
          <w14:ligatures w14:val="none"/>
        </w:rPr>
        <w:t>Збірник наукових праць «Військова освіта» Національного університету оборони України імені Івана Черняховського,</w:t>
      </w:r>
      <w:r w:rsidRPr="00B44B71">
        <w:rPr>
          <w:rFonts w:ascii="Times New Roman" w:eastAsia="Times New Roman" w:hAnsi="Times New Roman" w:cs="Times New Roman"/>
          <w:kern w:val="0"/>
          <w:sz w:val="24"/>
          <w:szCs w:val="24"/>
          <w:lang w:val="uk-UA" w:eastAsia="ru-RU"/>
          <w14:ligatures w14:val="none"/>
        </w:rPr>
        <w:t xml:space="preserve"> Київ. № 1 (37). С. 66-72. URL: </w:t>
      </w:r>
      <w:hyperlink r:id="rId343" w:history="1">
        <w:r w:rsidRPr="00B44B71">
          <w:rPr>
            <w:rFonts w:ascii="Times New Roman" w:eastAsia="Times New Roman" w:hAnsi="Times New Roman" w:cs="Times New Roman"/>
            <w:color w:val="0000FF"/>
            <w:kern w:val="0"/>
            <w:sz w:val="24"/>
            <w:szCs w:val="24"/>
            <w:u w:val="single"/>
            <w:lang w:val="uk-UA" w:eastAsia="ru-RU"/>
            <w14:ligatures w14:val="none"/>
          </w:rPr>
          <w:t>http://znp-vo.nuou.org.ua/article/view/156353</w:t>
        </w:r>
      </w:hyperlink>
      <w:r w:rsidRPr="00B44B71">
        <w:rPr>
          <w:rFonts w:ascii="Times New Roman" w:eastAsia="Times New Roman" w:hAnsi="Times New Roman" w:cs="Times New Roman"/>
          <w:kern w:val="0"/>
          <w:sz w:val="24"/>
          <w:szCs w:val="24"/>
          <w:lang w:val="uk-UA" w:eastAsia="ru-RU"/>
          <w14:ligatures w14:val="none"/>
        </w:rPr>
        <w:t xml:space="preserve"> (дата звернення: 23.12.2025).</w:t>
      </w:r>
    </w:p>
    <w:p w14:paraId="75D747FD" w14:textId="77777777" w:rsidR="00B44B71" w:rsidRPr="00B44B71" w:rsidRDefault="00B44B71" w:rsidP="00023291">
      <w:pPr>
        <w:widowControl w:val="0"/>
        <w:tabs>
          <w:tab w:val="left" w:pos="851"/>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16.  Купрієнко Д.,  Саган В.,  Фролов О.  (2022). Аналіз  доцільності впровадження інформаційної системи логістичного забезпечення НАТО LOGFAS у діяльність Державної прикордонної служби України. </w:t>
      </w:r>
      <w:r w:rsidRPr="00B44B71">
        <w:rPr>
          <w:rFonts w:ascii="Times New Roman" w:eastAsia="Times New Roman" w:hAnsi="Times New Roman" w:cs="Times New Roman"/>
          <w:i/>
          <w:kern w:val="0"/>
          <w:sz w:val="24"/>
          <w:szCs w:val="24"/>
          <w:lang w:val="uk-UA" w:eastAsia="ru-RU"/>
          <w14:ligatures w14:val="none"/>
        </w:rPr>
        <w:t>Збірник наукових праць Національної академії Державної прикордонної служби України. Серія: військові та технічні науки.</w:t>
      </w:r>
      <w:r w:rsidRPr="00B44B71">
        <w:rPr>
          <w:rFonts w:ascii="Times New Roman" w:eastAsia="Times New Roman" w:hAnsi="Times New Roman" w:cs="Times New Roman"/>
          <w:kern w:val="0"/>
          <w:sz w:val="24"/>
          <w:szCs w:val="24"/>
          <w:lang w:val="uk-UA" w:eastAsia="ru-RU"/>
          <w14:ligatures w14:val="none"/>
        </w:rPr>
        <w:t xml:space="preserve"> № 4(89). С. 26–50. </w:t>
      </w:r>
    </w:p>
    <w:p w14:paraId="5EF1A441" w14:textId="77777777" w:rsidR="00B44B71" w:rsidRPr="00B44B71" w:rsidRDefault="00B44B71" w:rsidP="00023291">
      <w:pPr>
        <w:widowControl w:val="0"/>
        <w:tabs>
          <w:tab w:val="left" w:pos="851"/>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17. Литвин М. М. (2003). Сутність і перспективи реформування Прикордонних військ України. </w:t>
      </w:r>
      <w:r w:rsidRPr="00B44B71">
        <w:rPr>
          <w:rFonts w:ascii="Times New Roman" w:eastAsia="Times New Roman" w:hAnsi="Times New Roman" w:cs="Times New Roman"/>
          <w:i/>
          <w:kern w:val="0"/>
          <w:sz w:val="24"/>
          <w:szCs w:val="24"/>
          <w:lang w:val="uk-UA" w:eastAsia="ru-RU"/>
          <w14:ligatures w14:val="none"/>
        </w:rPr>
        <w:t>Наука і оборона.</w:t>
      </w:r>
      <w:r w:rsidRPr="00B44B71">
        <w:rPr>
          <w:rFonts w:ascii="Times New Roman" w:eastAsia="Times New Roman" w:hAnsi="Times New Roman" w:cs="Times New Roman"/>
          <w:kern w:val="0"/>
          <w:sz w:val="24"/>
          <w:szCs w:val="24"/>
          <w:lang w:val="uk-UA" w:eastAsia="ru-RU"/>
          <w14:ligatures w14:val="none"/>
        </w:rPr>
        <w:t xml:space="preserve"> № 3. С. 16-20.</w:t>
      </w:r>
    </w:p>
    <w:p w14:paraId="77372874" w14:textId="77777777" w:rsidR="00B44B71" w:rsidRPr="00B44B71" w:rsidRDefault="00B44B71" w:rsidP="00023291">
      <w:pPr>
        <w:widowControl w:val="0"/>
        <w:tabs>
          <w:tab w:val="left" w:pos="851"/>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18. Литвин М. М. (2007). Стратегія розвитку Державної прикордонної служби України. </w:t>
      </w:r>
      <w:r w:rsidRPr="00B44B71">
        <w:rPr>
          <w:rFonts w:ascii="Times New Roman" w:eastAsia="Times New Roman" w:hAnsi="Times New Roman" w:cs="Times New Roman"/>
          <w:i/>
          <w:kern w:val="0"/>
          <w:sz w:val="24"/>
          <w:szCs w:val="24"/>
          <w:lang w:val="uk-UA" w:eastAsia="ru-RU"/>
          <w14:ligatures w14:val="none"/>
        </w:rPr>
        <w:t xml:space="preserve">Збірник наукових праць № 39. Частина </w:t>
      </w:r>
      <w:r w:rsidRPr="00B44B71">
        <w:rPr>
          <w:rFonts w:ascii="Times New Roman" w:eastAsia="Times New Roman" w:hAnsi="Times New Roman" w:cs="Times New Roman"/>
          <w:i/>
          <w:kern w:val="0"/>
          <w:sz w:val="24"/>
          <w:szCs w:val="24"/>
          <w:lang w:eastAsia="ru-RU"/>
          <w14:ligatures w14:val="none"/>
        </w:rPr>
        <w:t>II</w:t>
      </w:r>
      <w:r w:rsidRPr="00B44B71">
        <w:rPr>
          <w:rFonts w:ascii="Times New Roman" w:eastAsia="Times New Roman" w:hAnsi="Times New Roman" w:cs="Times New Roman"/>
          <w:i/>
          <w:kern w:val="0"/>
          <w:sz w:val="24"/>
          <w:szCs w:val="24"/>
          <w:lang w:val="uk-UA" w:eastAsia="ru-RU"/>
          <w14:ligatures w14:val="none"/>
        </w:rPr>
        <w:t>.</w:t>
      </w:r>
      <w:r w:rsidRPr="00B44B71">
        <w:rPr>
          <w:rFonts w:ascii="Times New Roman" w:eastAsia="Times New Roman" w:hAnsi="Times New Roman" w:cs="Times New Roman"/>
          <w:kern w:val="0"/>
          <w:sz w:val="24"/>
          <w:szCs w:val="24"/>
          <w:lang w:val="uk-UA" w:eastAsia="ru-RU"/>
          <w14:ligatures w14:val="none"/>
        </w:rPr>
        <w:t xml:space="preserve"> Хмельницький : Видавництво Національної академії Державної прикордонної служби України імені Б. Хмельницького, С. 23-25.</w:t>
      </w:r>
    </w:p>
    <w:p w14:paraId="1A17D7FD" w14:textId="77777777" w:rsidR="00B44B71" w:rsidRPr="00B44B71" w:rsidRDefault="00B44B71" w:rsidP="00023291">
      <w:pPr>
        <w:widowControl w:val="0"/>
        <w:tabs>
          <w:tab w:val="left" w:pos="851"/>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19. Кивлюк В., Ткач М., Лойшин А., Ганненко Ю. (2019). Удосконалення освітньої діяльності з метою розвитку системи логістики у Збройних Силах України. </w:t>
      </w:r>
      <w:r w:rsidRPr="00B44B71">
        <w:rPr>
          <w:rFonts w:ascii="Times New Roman" w:eastAsia="Times New Roman" w:hAnsi="Times New Roman" w:cs="Times New Roman"/>
          <w:i/>
          <w:kern w:val="0"/>
          <w:sz w:val="24"/>
          <w:szCs w:val="24"/>
          <w:lang w:val="uk-UA" w:eastAsia="ru-RU"/>
          <w14:ligatures w14:val="none"/>
        </w:rPr>
        <w:t>Social development &amp; Security.</w:t>
      </w:r>
      <w:r w:rsidRPr="00B44B71">
        <w:rPr>
          <w:rFonts w:ascii="Times New Roman" w:eastAsia="Times New Roman" w:hAnsi="Times New Roman" w:cs="Times New Roman"/>
          <w:kern w:val="0"/>
          <w:sz w:val="24"/>
          <w:szCs w:val="24"/>
          <w:lang w:val="uk-UA" w:eastAsia="ru-RU"/>
          <w14:ligatures w14:val="none"/>
        </w:rPr>
        <w:t xml:space="preserve"> Vol. 9. Iss. 6. С. 112-124. URL: </w:t>
      </w:r>
      <w:hyperlink r:id="rId344" w:history="1">
        <w:r w:rsidRPr="00B44B71">
          <w:rPr>
            <w:rFonts w:ascii="Times New Roman" w:eastAsia="Times New Roman" w:hAnsi="Times New Roman" w:cs="Times New Roman"/>
            <w:color w:val="0000FF"/>
            <w:kern w:val="0"/>
            <w:sz w:val="24"/>
            <w:szCs w:val="24"/>
            <w:u w:val="single"/>
            <w:lang w:val="uk-UA" w:eastAsia="ru-RU"/>
            <w14:ligatures w14:val="none"/>
          </w:rPr>
          <w:t>http://nbuv.gov.ua/UJRN/socdevsec_2019_9_6_11</w:t>
        </w:r>
      </w:hyperlink>
      <w:r w:rsidRPr="00B44B71">
        <w:rPr>
          <w:rFonts w:ascii="Times New Roman" w:eastAsia="Times New Roman" w:hAnsi="Times New Roman" w:cs="Times New Roman"/>
          <w:kern w:val="0"/>
          <w:sz w:val="24"/>
          <w:szCs w:val="24"/>
          <w:lang w:val="uk-UA" w:eastAsia="ru-RU"/>
          <w14:ligatures w14:val="none"/>
        </w:rPr>
        <w:t>. (дата звернення: 23.12.2025).</w:t>
      </w:r>
    </w:p>
    <w:p w14:paraId="1FC5C37A" w14:textId="77777777" w:rsidR="00B44B71" w:rsidRPr="00B44B71" w:rsidRDefault="00B44B71" w:rsidP="00023291">
      <w:pPr>
        <w:widowControl w:val="0"/>
        <w:tabs>
          <w:tab w:val="left" w:pos="851"/>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20. Кривогуз Г. І., Іваненко Є. А., Снігур Л. А. (2020). Якість вищої освіти фахівців логістичного забезпечення (служб тилу) тактичного рівня Збройних Сил України: проблемні питання і пропозиції з їх розв’язання.  URL: </w:t>
      </w:r>
      <w:hyperlink r:id="rId345" w:history="1">
        <w:r w:rsidRPr="00B44B71">
          <w:rPr>
            <w:rFonts w:ascii="Times New Roman" w:eastAsia="Times New Roman" w:hAnsi="Times New Roman" w:cs="Times New Roman"/>
            <w:color w:val="0000FF"/>
            <w:kern w:val="0"/>
            <w:sz w:val="24"/>
            <w:szCs w:val="24"/>
            <w:u w:val="single"/>
            <w:lang w:val="uk-UA" w:eastAsia="ru-RU"/>
            <w14:ligatures w14:val="none"/>
          </w:rPr>
          <w:t>http://zbirnyk.vaodessa.org.ua/images/zbirnyk_13/%D0%A7.%D0%86%D0%86_%D0%97%D0%9D%D0%9F_113_226-239.pdf</w:t>
        </w:r>
      </w:hyperlink>
      <w:r w:rsidRPr="00B44B71">
        <w:rPr>
          <w:rFonts w:ascii="Times New Roman" w:eastAsia="Times New Roman" w:hAnsi="Times New Roman" w:cs="Times New Roman"/>
          <w:kern w:val="0"/>
          <w:sz w:val="24"/>
          <w:szCs w:val="24"/>
          <w:lang w:val="uk-UA" w:eastAsia="ru-RU"/>
          <w14:ligatures w14:val="none"/>
        </w:rPr>
        <w:t xml:space="preserve"> (дата звернення: 23.12.2025).</w:t>
      </w:r>
    </w:p>
    <w:p w14:paraId="02C5A16D" w14:textId="77777777" w:rsidR="00B44B71" w:rsidRPr="00B44B71" w:rsidRDefault="00B44B71" w:rsidP="00023291">
      <w:pPr>
        <w:widowControl w:val="0"/>
        <w:tabs>
          <w:tab w:val="left" w:pos="851"/>
          <w:tab w:val="left" w:pos="9638"/>
        </w:tabs>
        <w:spacing w:after="0" w:line="240" w:lineRule="auto"/>
        <w:jc w:val="both"/>
        <w:rPr>
          <w:rFonts w:ascii="Times New Roman" w:eastAsia="Times New Roman" w:hAnsi="Times New Roman" w:cs="Times New Roman"/>
          <w:kern w:val="0"/>
          <w:sz w:val="24"/>
          <w:szCs w:val="24"/>
          <w:lang w:val="uk-UA" w:eastAsia="ru-RU"/>
          <w14:ligatures w14:val="none"/>
        </w:rPr>
      </w:pPr>
    </w:p>
    <w:p w14:paraId="1D29E75E" w14:textId="7B132E02" w:rsidR="00B66A78" w:rsidRPr="00B44B71" w:rsidRDefault="00B44B71" w:rsidP="00E967C0">
      <w:pPr>
        <w:tabs>
          <w:tab w:val="left" w:pos="9638"/>
        </w:tabs>
        <w:spacing w:after="0" w:line="240" w:lineRule="auto"/>
        <w:jc w:val="center"/>
        <w:rPr>
          <w:rFonts w:ascii="Times New Roman" w:eastAsia="Times New Roman" w:hAnsi="Times New Roman" w:cs="Times New Roman"/>
          <w:b/>
          <w:bCs/>
          <w:kern w:val="0"/>
          <w:sz w:val="24"/>
          <w:szCs w:val="24"/>
          <w:lang w:val="uk-UA" w:eastAsia="ru-RU"/>
          <w14:ligatures w14:val="none"/>
        </w:rPr>
      </w:pPr>
      <w:r w:rsidRPr="00B44B71">
        <w:rPr>
          <w:rFonts w:ascii="Times New Roman" w:eastAsia="Times New Roman" w:hAnsi="Times New Roman" w:cs="Times New Roman"/>
          <w:b/>
          <w:bCs/>
          <w:kern w:val="0"/>
          <w:sz w:val="24"/>
          <w:szCs w:val="24"/>
          <w:lang w:val="uk-UA" w:eastAsia="ru-RU"/>
          <w14:ligatures w14:val="none"/>
        </w:rPr>
        <w:t>REFERENCES</w:t>
      </w:r>
    </w:p>
    <w:p w14:paraId="78CC3AA1"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en-GB" w:eastAsia="uk-UA"/>
          <w14:ligatures w14:val="none"/>
        </w:rPr>
        <w:t xml:space="preserve">1. Cabinet of Ministers of Ukraine. (2018). </w:t>
      </w:r>
      <w:r w:rsidRPr="00B44B71">
        <w:rPr>
          <w:rFonts w:ascii="Times New Roman" w:eastAsia="Times New Roman" w:hAnsi="Times New Roman" w:cs="Times New Roman"/>
          <w:i/>
          <w:iCs/>
          <w:kern w:val="0"/>
          <w:sz w:val="24"/>
          <w:szCs w:val="24"/>
          <w:lang w:val="en-GB" w:eastAsia="uk-UA"/>
          <w14:ligatures w14:val="none"/>
        </w:rPr>
        <w:t>On approval of the Procedure for logistical support of the defense forces during the performance of tasks for the defense of the state, protection of its sovereignty, territorial integrity and inviolability</w:t>
      </w:r>
      <w:r w:rsidRPr="00B44B71">
        <w:rPr>
          <w:rFonts w:ascii="Times New Roman" w:eastAsia="Times New Roman" w:hAnsi="Times New Roman" w:cs="Times New Roman"/>
          <w:kern w:val="0"/>
          <w:sz w:val="24"/>
          <w:szCs w:val="24"/>
          <w:lang w:val="en-GB" w:eastAsia="uk-UA"/>
          <w14:ligatures w14:val="none"/>
        </w:rPr>
        <w:t xml:space="preserve"> (Resolution №. 1208). </w:t>
      </w:r>
      <w:r w:rsidRPr="00B44B71">
        <w:rPr>
          <w:rFonts w:ascii="Times New Roman" w:eastAsia="Times New Roman" w:hAnsi="Times New Roman" w:cs="Times New Roman"/>
          <w:bCs/>
          <w:kern w:val="0"/>
          <w:sz w:val="24"/>
          <w:szCs w:val="24"/>
          <w:lang w:val="en-GB" w:eastAsia="ru-RU"/>
          <w14:ligatures w14:val="none"/>
        </w:rPr>
        <w:t>Retrieved from:</w:t>
      </w:r>
      <w:r w:rsidRPr="00B44B71">
        <w:rPr>
          <w:rFonts w:ascii="Times New Roman" w:eastAsia="Times New Roman" w:hAnsi="Times New Roman" w:cs="Times New Roman"/>
          <w:kern w:val="0"/>
          <w:sz w:val="24"/>
          <w:szCs w:val="24"/>
          <w:lang w:val="en-GB" w:eastAsia="ru-RU"/>
          <w14:ligatures w14:val="none"/>
        </w:rPr>
        <w:t xml:space="preserve"> </w:t>
      </w:r>
      <w:hyperlink r:id="rId346" w:anchor="Text" w:tgtFrame="_blank" w:history="1">
        <w:r w:rsidRPr="00B44B71">
          <w:rPr>
            <w:rFonts w:ascii="Times New Roman" w:eastAsia="Times New Roman" w:hAnsi="Times New Roman" w:cs="Times New Roman"/>
            <w:color w:val="0000FF"/>
            <w:kern w:val="0"/>
            <w:sz w:val="24"/>
            <w:szCs w:val="24"/>
            <w:u w:val="single"/>
            <w:lang w:val="en-GB" w:eastAsia="uk-UA"/>
            <w14:ligatures w14:val="none"/>
          </w:rPr>
          <w:t>https://zakon.rada.gov.ua/laws/show/1208-2018-%D0%BF#Text</w:t>
        </w:r>
      </w:hyperlink>
      <w:r w:rsidRPr="00B44B71">
        <w:rPr>
          <w:rFonts w:ascii="Times New Roman" w:eastAsia="Times New Roman" w:hAnsi="Times New Roman" w:cs="Times New Roman"/>
          <w:kern w:val="0"/>
          <w:sz w:val="24"/>
          <w:szCs w:val="24"/>
          <w:lang w:val="en-GB" w:eastAsia="uk-UA"/>
          <w14:ligatures w14:val="none"/>
        </w:rPr>
        <w:t xml:space="preserve"> </w:t>
      </w:r>
      <w:r w:rsidRPr="00B44B71">
        <w:rPr>
          <w:rFonts w:ascii="Times New Roman" w:eastAsia="Times New Roman" w:hAnsi="Times New Roman" w:cs="Times New Roman"/>
          <w:kern w:val="0"/>
          <w:sz w:val="24"/>
          <w:szCs w:val="24"/>
          <w:lang w:val="en-GB" w:eastAsia="ru-RU"/>
          <w14:ligatures w14:val="none"/>
        </w:rPr>
        <w:t>(accessed 23 December 2025)</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en-GB" w:eastAsia="ru-RU"/>
          <w14:ligatures w14:val="none"/>
        </w:rPr>
        <w:t xml:space="preserve"> </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en-GB" w:eastAsia="ru-RU"/>
          <w14:ligatures w14:val="none"/>
        </w:rPr>
        <w:t>in Ukrainian</w:t>
      </w:r>
      <w:r w:rsidRPr="00B44B71">
        <w:rPr>
          <w:rFonts w:ascii="Times New Roman" w:eastAsia="Times New Roman" w:hAnsi="Times New Roman" w:cs="Times New Roman"/>
          <w:kern w:val="0"/>
          <w:sz w:val="24"/>
          <w:szCs w:val="24"/>
          <w:lang w:val="uk-UA" w:eastAsia="ru-RU"/>
          <w14:ligatures w14:val="none"/>
        </w:rPr>
        <w:t>).</w:t>
      </w:r>
    </w:p>
    <w:p w14:paraId="4DF22FFE"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en-GB" w:eastAsia="uk-UA"/>
          <w14:ligatures w14:val="none"/>
        </w:rPr>
        <w:t xml:space="preserve">2. General Staff of the Armed Forces of Ukraine. (2020). </w:t>
      </w:r>
      <w:r w:rsidRPr="00B44B71">
        <w:rPr>
          <w:rFonts w:ascii="Times New Roman" w:eastAsia="Times New Roman" w:hAnsi="Times New Roman" w:cs="Times New Roman"/>
          <w:i/>
          <w:iCs/>
          <w:kern w:val="0"/>
          <w:sz w:val="24"/>
          <w:szCs w:val="24"/>
          <w:lang w:val="en-GB" w:eastAsia="uk-UA"/>
          <w14:ligatures w14:val="none"/>
        </w:rPr>
        <w:t>VKP 4-00(01).01. Doctrine "Joint Logistics"</w:t>
      </w:r>
      <w:r w:rsidRPr="00B44B71">
        <w:rPr>
          <w:rFonts w:ascii="Times New Roman" w:eastAsia="Times New Roman" w:hAnsi="Times New Roman" w:cs="Times New Roman"/>
          <w:kern w:val="0"/>
          <w:sz w:val="24"/>
          <w:szCs w:val="24"/>
          <w:lang w:val="en-GB" w:eastAsia="uk-UA"/>
          <w14:ligatures w14:val="none"/>
        </w:rPr>
        <w:t>. Main Directorate of Logistics.</w:t>
      </w:r>
      <w:r w:rsidRPr="00B44B71">
        <w:rPr>
          <w:rFonts w:ascii="Times New Roman" w:eastAsia="Times New Roman" w:hAnsi="Times New Roman" w:cs="Times New Roman"/>
          <w:kern w:val="0"/>
          <w:sz w:val="24"/>
          <w:szCs w:val="24"/>
          <w:lang w:val="uk-UA" w:eastAsia="ru-RU"/>
          <w14:ligatures w14:val="none"/>
        </w:rPr>
        <w:t xml:space="preserve"> (</w:t>
      </w:r>
      <w:r w:rsidRPr="00B44B71">
        <w:rPr>
          <w:rFonts w:ascii="Times New Roman" w:eastAsia="Times New Roman" w:hAnsi="Times New Roman" w:cs="Times New Roman"/>
          <w:kern w:val="0"/>
          <w:sz w:val="24"/>
          <w:szCs w:val="24"/>
          <w:lang w:val="en-GB" w:eastAsia="ru-RU"/>
          <w14:ligatures w14:val="none"/>
        </w:rPr>
        <w:t>in Ukrainian</w:t>
      </w:r>
      <w:r w:rsidRPr="00B44B71">
        <w:rPr>
          <w:rFonts w:ascii="Times New Roman" w:eastAsia="Times New Roman" w:hAnsi="Times New Roman" w:cs="Times New Roman"/>
          <w:kern w:val="0"/>
          <w:sz w:val="24"/>
          <w:szCs w:val="24"/>
          <w:lang w:val="uk-UA" w:eastAsia="ru-RU"/>
          <w14:ligatures w14:val="none"/>
        </w:rPr>
        <w:t>).</w:t>
      </w:r>
    </w:p>
    <w:p w14:paraId="5F2806B4"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en-GB" w:eastAsia="uk-UA"/>
          <w14:ligatures w14:val="none"/>
        </w:rPr>
        <w:t xml:space="preserve">3. Kryvohuz, H. (2011). The concept of "Logistics" and its application in the reform of the rear management bodies of the Armed Forces of Ukraine. </w:t>
      </w:r>
      <w:r w:rsidRPr="00B44B71">
        <w:rPr>
          <w:rFonts w:ascii="Times New Roman" w:eastAsia="Times New Roman" w:hAnsi="Times New Roman" w:cs="Times New Roman"/>
          <w:i/>
          <w:iCs/>
          <w:kern w:val="0"/>
          <w:sz w:val="24"/>
          <w:szCs w:val="24"/>
          <w:lang w:val="en-GB" w:eastAsia="uk-UA"/>
          <w14:ligatures w14:val="none"/>
        </w:rPr>
        <w:t>Actual Problems of Public Administration</w:t>
      </w:r>
      <w:r w:rsidRPr="00B44B71">
        <w:rPr>
          <w:rFonts w:ascii="Times New Roman" w:eastAsia="Times New Roman" w:hAnsi="Times New Roman" w:cs="Times New Roman"/>
          <w:kern w:val="0"/>
          <w:sz w:val="24"/>
          <w:szCs w:val="24"/>
          <w:lang w:val="en-GB" w:eastAsia="uk-UA"/>
          <w14:ligatures w14:val="none"/>
        </w:rPr>
        <w:t>, (2), 93–95.</w:t>
      </w:r>
      <w:r w:rsidRPr="00B44B71">
        <w:rPr>
          <w:rFonts w:ascii="Times New Roman" w:eastAsia="Times New Roman" w:hAnsi="Times New Roman" w:cs="Times New Roman"/>
          <w:bCs/>
          <w:kern w:val="0"/>
          <w:sz w:val="24"/>
          <w:szCs w:val="24"/>
          <w:lang w:val="en-GB" w:eastAsia="ru-RU"/>
          <w14:ligatures w14:val="none"/>
        </w:rPr>
        <w:t xml:space="preserve"> Retrieved from:</w:t>
      </w:r>
      <w:r w:rsidRPr="00B44B71">
        <w:rPr>
          <w:rFonts w:ascii="Times New Roman" w:eastAsia="Times New Roman" w:hAnsi="Times New Roman" w:cs="Times New Roman"/>
          <w:kern w:val="0"/>
          <w:sz w:val="24"/>
          <w:szCs w:val="24"/>
          <w:lang w:val="en-GB" w:eastAsia="ru-RU"/>
          <w14:ligatures w14:val="none"/>
        </w:rPr>
        <w:t xml:space="preserve"> </w:t>
      </w:r>
      <w:r w:rsidRPr="00B44B71">
        <w:rPr>
          <w:rFonts w:ascii="Times New Roman" w:eastAsia="Times New Roman" w:hAnsi="Times New Roman" w:cs="Times New Roman"/>
          <w:kern w:val="0"/>
          <w:sz w:val="24"/>
          <w:szCs w:val="24"/>
          <w:lang w:val="en-GB" w:eastAsia="uk-UA"/>
          <w14:ligatures w14:val="none"/>
        </w:rPr>
        <w:t xml:space="preserve"> </w:t>
      </w:r>
      <w:hyperlink r:id="rId347" w:tgtFrame="_blank" w:history="1">
        <w:r w:rsidRPr="00B44B71">
          <w:rPr>
            <w:rFonts w:ascii="Times New Roman" w:eastAsia="Times New Roman" w:hAnsi="Times New Roman" w:cs="Times New Roman"/>
            <w:color w:val="0000FF"/>
            <w:kern w:val="0"/>
            <w:sz w:val="24"/>
            <w:szCs w:val="24"/>
            <w:u w:val="single"/>
            <w:lang w:val="en-GB" w:eastAsia="uk-UA"/>
            <w14:ligatures w14:val="none"/>
          </w:rPr>
          <w:t>http://nbuv.gov.ua/UJRN/apdyo_2011_2_29</w:t>
        </w:r>
      </w:hyperlink>
      <w:r w:rsidRPr="00B44B71">
        <w:rPr>
          <w:rFonts w:ascii="Times New Roman" w:eastAsia="Times New Roman" w:hAnsi="Times New Roman" w:cs="Times New Roman"/>
          <w:kern w:val="0"/>
          <w:sz w:val="24"/>
          <w:szCs w:val="24"/>
          <w:lang w:val="en-GB" w:eastAsia="uk-UA"/>
          <w14:ligatures w14:val="none"/>
        </w:rPr>
        <w:t xml:space="preserve"> </w:t>
      </w:r>
      <w:r w:rsidRPr="00B44B71">
        <w:rPr>
          <w:rFonts w:ascii="Times New Roman" w:eastAsia="Times New Roman" w:hAnsi="Times New Roman" w:cs="Times New Roman"/>
          <w:kern w:val="0"/>
          <w:sz w:val="24"/>
          <w:szCs w:val="24"/>
          <w:lang w:val="en-GB" w:eastAsia="ru-RU"/>
          <w14:ligatures w14:val="none"/>
        </w:rPr>
        <w:t>(accessed 23 December 2025)</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en-GB" w:eastAsia="ru-RU"/>
          <w14:ligatures w14:val="none"/>
        </w:rPr>
        <w:t xml:space="preserve"> </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en-GB" w:eastAsia="ru-RU"/>
          <w14:ligatures w14:val="none"/>
        </w:rPr>
        <w:t>in Ukrainian</w:t>
      </w:r>
      <w:r w:rsidRPr="00B44B71">
        <w:rPr>
          <w:rFonts w:ascii="Times New Roman" w:eastAsia="Times New Roman" w:hAnsi="Times New Roman" w:cs="Times New Roman"/>
          <w:kern w:val="0"/>
          <w:sz w:val="24"/>
          <w:szCs w:val="24"/>
          <w:lang w:val="uk-UA" w:eastAsia="ru-RU"/>
          <w14:ligatures w14:val="none"/>
        </w:rPr>
        <w:t>).</w:t>
      </w:r>
    </w:p>
    <w:p w14:paraId="1D9602A8"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en-GB" w:eastAsia="uk-UA"/>
          <w14:ligatures w14:val="none"/>
        </w:rPr>
        <w:t xml:space="preserve">4. Shuienkiv, V. O. (2005). Logistics – what is it? </w:t>
      </w:r>
      <w:r w:rsidRPr="00B44B71">
        <w:rPr>
          <w:rFonts w:ascii="Times New Roman" w:eastAsia="Times New Roman" w:hAnsi="Times New Roman" w:cs="Times New Roman"/>
          <w:i/>
          <w:iCs/>
          <w:kern w:val="0"/>
          <w:sz w:val="24"/>
          <w:szCs w:val="24"/>
          <w:lang w:val="en-GB" w:eastAsia="uk-UA"/>
          <w14:ligatures w14:val="none"/>
        </w:rPr>
        <w:t>Science and Defense</w:t>
      </w:r>
      <w:r w:rsidRPr="00B44B71">
        <w:rPr>
          <w:rFonts w:ascii="Times New Roman" w:eastAsia="Times New Roman" w:hAnsi="Times New Roman" w:cs="Times New Roman"/>
          <w:kern w:val="0"/>
          <w:sz w:val="24"/>
          <w:szCs w:val="24"/>
          <w:lang w:val="en-GB" w:eastAsia="uk-UA"/>
          <w14:ligatures w14:val="none"/>
        </w:rPr>
        <w:t>, (1), 66–68.</w:t>
      </w:r>
      <w:r w:rsidRPr="00B44B71">
        <w:rPr>
          <w:rFonts w:ascii="Times New Roman" w:eastAsia="Times New Roman" w:hAnsi="Times New Roman" w:cs="Times New Roman"/>
          <w:kern w:val="0"/>
          <w:sz w:val="24"/>
          <w:szCs w:val="24"/>
          <w:lang w:val="uk-UA" w:eastAsia="uk-UA"/>
          <w14:ligatures w14:val="none"/>
        </w:rPr>
        <w:t xml:space="preserve"> </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en-GB" w:eastAsia="ru-RU"/>
          <w14:ligatures w14:val="none"/>
        </w:rPr>
        <w:t>in Ukrainian</w:t>
      </w:r>
      <w:r w:rsidRPr="00B44B71">
        <w:rPr>
          <w:rFonts w:ascii="Times New Roman" w:eastAsia="Times New Roman" w:hAnsi="Times New Roman" w:cs="Times New Roman"/>
          <w:kern w:val="0"/>
          <w:sz w:val="24"/>
          <w:szCs w:val="24"/>
          <w:lang w:val="uk-UA" w:eastAsia="ru-RU"/>
          <w14:ligatures w14:val="none"/>
        </w:rPr>
        <w:t>).</w:t>
      </w:r>
    </w:p>
    <w:p w14:paraId="1EF0A3A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en-GB" w:eastAsia="uk-UA"/>
          <w14:ligatures w14:val="none"/>
        </w:rPr>
        <w:t xml:space="preserve">5. Vorobyov, O. M., Vorobyova, V. O., Bagdasaryan, N. K., Vlasov, I. O. (2017). Analysis and prospects of logistics development from the Second World War to the present. </w:t>
      </w:r>
      <w:r w:rsidRPr="00B44B71">
        <w:rPr>
          <w:rFonts w:ascii="Times New Roman" w:eastAsia="Times New Roman" w:hAnsi="Times New Roman" w:cs="Times New Roman"/>
          <w:i/>
          <w:iCs/>
          <w:kern w:val="0"/>
          <w:sz w:val="24"/>
          <w:szCs w:val="24"/>
          <w:lang w:val="en-GB" w:eastAsia="uk-UA"/>
          <w14:ligatures w14:val="none"/>
        </w:rPr>
        <w:t>Social Development &amp; Security</w:t>
      </w:r>
      <w:r w:rsidRPr="00B44B71">
        <w:rPr>
          <w:rFonts w:ascii="Times New Roman" w:eastAsia="Times New Roman" w:hAnsi="Times New Roman" w:cs="Times New Roman"/>
          <w:kern w:val="0"/>
          <w:sz w:val="24"/>
          <w:szCs w:val="24"/>
          <w:lang w:val="en-GB" w:eastAsia="uk-UA"/>
          <w14:ligatures w14:val="none"/>
        </w:rPr>
        <w:t xml:space="preserve">, </w:t>
      </w:r>
      <w:r w:rsidRPr="00B44B71">
        <w:rPr>
          <w:rFonts w:ascii="Times New Roman" w:eastAsia="Times New Roman" w:hAnsi="Times New Roman" w:cs="Times New Roman"/>
          <w:i/>
          <w:iCs/>
          <w:kern w:val="0"/>
          <w:sz w:val="24"/>
          <w:szCs w:val="24"/>
          <w:lang w:val="en-GB" w:eastAsia="uk-UA"/>
          <w14:ligatures w14:val="none"/>
        </w:rPr>
        <w:t>2</w:t>
      </w:r>
      <w:r w:rsidRPr="00B44B71">
        <w:rPr>
          <w:rFonts w:ascii="Times New Roman" w:eastAsia="Times New Roman" w:hAnsi="Times New Roman" w:cs="Times New Roman"/>
          <w:kern w:val="0"/>
          <w:sz w:val="24"/>
          <w:szCs w:val="24"/>
          <w:lang w:val="en-GB" w:eastAsia="uk-UA"/>
          <w14:ligatures w14:val="none"/>
        </w:rPr>
        <w:t xml:space="preserve">(2), 68–75. </w:t>
      </w:r>
      <w:r w:rsidRPr="00B44B71">
        <w:rPr>
          <w:rFonts w:ascii="Times New Roman" w:eastAsia="Times New Roman" w:hAnsi="Times New Roman" w:cs="Times New Roman"/>
          <w:bCs/>
          <w:kern w:val="0"/>
          <w:sz w:val="24"/>
          <w:szCs w:val="24"/>
          <w:lang w:val="en-GB" w:eastAsia="ru-RU"/>
          <w14:ligatures w14:val="none"/>
        </w:rPr>
        <w:t>Retrieved from:</w:t>
      </w:r>
      <w:r w:rsidRPr="00B44B71">
        <w:rPr>
          <w:rFonts w:ascii="Times New Roman" w:eastAsia="Times New Roman" w:hAnsi="Times New Roman" w:cs="Times New Roman"/>
          <w:kern w:val="0"/>
          <w:sz w:val="24"/>
          <w:szCs w:val="24"/>
          <w:lang w:val="en-GB" w:eastAsia="ru-RU"/>
          <w14:ligatures w14:val="none"/>
        </w:rPr>
        <w:t xml:space="preserve"> </w:t>
      </w:r>
      <w:hyperlink r:id="rId348" w:tgtFrame="_blank" w:history="1">
        <w:r w:rsidRPr="00B44B71">
          <w:rPr>
            <w:rFonts w:ascii="Times New Roman" w:eastAsia="Times New Roman" w:hAnsi="Times New Roman" w:cs="Times New Roman"/>
            <w:color w:val="0000FF"/>
            <w:kern w:val="0"/>
            <w:sz w:val="24"/>
            <w:szCs w:val="24"/>
            <w:u w:val="single"/>
            <w:lang w:val="en-GB" w:eastAsia="uk-UA"/>
            <w14:ligatures w14:val="none"/>
          </w:rPr>
          <w:t>https://paperssds.eu/index.php/JSPSDS/article/view/20/18</w:t>
        </w:r>
      </w:hyperlink>
      <w:r w:rsidRPr="00B44B71">
        <w:rPr>
          <w:rFonts w:ascii="Times New Roman" w:eastAsia="Times New Roman" w:hAnsi="Times New Roman" w:cs="Times New Roman"/>
          <w:kern w:val="0"/>
          <w:sz w:val="24"/>
          <w:szCs w:val="24"/>
          <w:lang w:val="en-GB" w:eastAsia="uk-UA"/>
          <w14:ligatures w14:val="none"/>
        </w:rPr>
        <w:t xml:space="preserve"> </w:t>
      </w:r>
      <w:r w:rsidRPr="00B44B71">
        <w:rPr>
          <w:rFonts w:ascii="Times New Roman" w:eastAsia="Times New Roman" w:hAnsi="Times New Roman" w:cs="Times New Roman"/>
          <w:kern w:val="0"/>
          <w:sz w:val="24"/>
          <w:szCs w:val="24"/>
          <w:lang w:val="en-GB" w:eastAsia="ru-RU"/>
          <w14:ligatures w14:val="none"/>
        </w:rPr>
        <w:t>(accessed 23 December 2025)</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en-GB" w:eastAsia="ru-RU"/>
          <w14:ligatures w14:val="none"/>
        </w:rPr>
        <w:t xml:space="preserve"> </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en-GB" w:eastAsia="ru-RU"/>
          <w14:ligatures w14:val="none"/>
        </w:rPr>
        <w:t>in Ukrainian</w:t>
      </w:r>
      <w:r w:rsidRPr="00B44B71">
        <w:rPr>
          <w:rFonts w:ascii="Times New Roman" w:eastAsia="Times New Roman" w:hAnsi="Times New Roman" w:cs="Times New Roman"/>
          <w:kern w:val="0"/>
          <w:sz w:val="24"/>
          <w:szCs w:val="24"/>
          <w:lang w:val="uk-UA" w:eastAsia="ru-RU"/>
          <w14:ligatures w14:val="none"/>
        </w:rPr>
        <w:t>).</w:t>
      </w:r>
    </w:p>
    <w:p w14:paraId="10C2EF20"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en-GB" w:eastAsia="uk-UA"/>
          <w14:ligatures w14:val="none"/>
        </w:rPr>
        <w:t xml:space="preserve">6. Bondarenko, O. H., Tovma, L. F., Nesterenko, R. V., Kasim, O. H. (2018). Main provisions regarding the logistical support of the National Guard of Ukraine. </w:t>
      </w:r>
      <w:r w:rsidRPr="00B44B71">
        <w:rPr>
          <w:rFonts w:ascii="Times New Roman" w:eastAsia="Times New Roman" w:hAnsi="Times New Roman" w:cs="Times New Roman"/>
          <w:i/>
          <w:iCs/>
          <w:kern w:val="0"/>
          <w:sz w:val="24"/>
          <w:szCs w:val="24"/>
          <w:lang w:val="en-GB" w:eastAsia="uk-UA"/>
          <w14:ligatures w14:val="none"/>
        </w:rPr>
        <w:t>The Bulletin of Transport Economy and Industry</w:t>
      </w:r>
      <w:r w:rsidRPr="00B44B71">
        <w:rPr>
          <w:rFonts w:ascii="Times New Roman" w:eastAsia="Times New Roman" w:hAnsi="Times New Roman" w:cs="Times New Roman"/>
          <w:kern w:val="0"/>
          <w:sz w:val="24"/>
          <w:szCs w:val="24"/>
          <w:lang w:val="en-GB" w:eastAsia="uk-UA"/>
          <w14:ligatures w14:val="none"/>
        </w:rPr>
        <w:t xml:space="preserve">, (61), 230–240. </w:t>
      </w:r>
      <w:r w:rsidRPr="00B44B71">
        <w:rPr>
          <w:rFonts w:ascii="Times New Roman" w:eastAsia="Times New Roman" w:hAnsi="Times New Roman" w:cs="Times New Roman"/>
          <w:bCs/>
          <w:kern w:val="0"/>
          <w:sz w:val="24"/>
          <w:szCs w:val="24"/>
          <w:lang w:val="en-GB" w:eastAsia="ru-RU"/>
          <w14:ligatures w14:val="none"/>
        </w:rPr>
        <w:t>Retrieved from:</w:t>
      </w:r>
      <w:r w:rsidRPr="00B44B71">
        <w:rPr>
          <w:rFonts w:ascii="Times New Roman" w:eastAsia="Times New Roman" w:hAnsi="Times New Roman" w:cs="Times New Roman"/>
          <w:kern w:val="0"/>
          <w:sz w:val="24"/>
          <w:szCs w:val="24"/>
          <w:lang w:val="en-GB" w:eastAsia="ru-RU"/>
          <w14:ligatures w14:val="none"/>
        </w:rPr>
        <w:t xml:space="preserve"> </w:t>
      </w:r>
      <w:hyperlink r:id="rId349" w:tgtFrame="_blank" w:history="1">
        <w:r w:rsidRPr="00B44B71">
          <w:rPr>
            <w:rFonts w:ascii="Times New Roman" w:eastAsia="Times New Roman" w:hAnsi="Times New Roman" w:cs="Times New Roman"/>
            <w:color w:val="0000FF"/>
            <w:kern w:val="0"/>
            <w:sz w:val="24"/>
            <w:szCs w:val="24"/>
            <w:u w:val="single"/>
            <w:lang w:val="en-GB" w:eastAsia="uk-UA"/>
            <w14:ligatures w14:val="none"/>
          </w:rPr>
          <w:t>http://btie.kart.edu.ua/article/view/127879</w:t>
        </w:r>
      </w:hyperlink>
      <w:r w:rsidRPr="00B44B71">
        <w:rPr>
          <w:rFonts w:ascii="Times New Roman" w:eastAsia="Times New Roman" w:hAnsi="Times New Roman" w:cs="Times New Roman"/>
          <w:kern w:val="0"/>
          <w:sz w:val="24"/>
          <w:szCs w:val="24"/>
          <w:lang w:val="en-GB" w:eastAsia="uk-UA"/>
          <w14:ligatures w14:val="none"/>
        </w:rPr>
        <w:t xml:space="preserve"> </w:t>
      </w:r>
      <w:r w:rsidRPr="00B44B71">
        <w:rPr>
          <w:rFonts w:ascii="Times New Roman" w:eastAsia="Times New Roman" w:hAnsi="Times New Roman" w:cs="Times New Roman"/>
          <w:kern w:val="0"/>
          <w:sz w:val="24"/>
          <w:szCs w:val="24"/>
          <w:lang w:val="en-GB" w:eastAsia="ru-RU"/>
          <w14:ligatures w14:val="none"/>
        </w:rPr>
        <w:t xml:space="preserve">(accessed 23 December 2025). </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en-GB" w:eastAsia="ru-RU"/>
          <w14:ligatures w14:val="none"/>
        </w:rPr>
        <w:t>in Ukrainian</w:t>
      </w:r>
      <w:r w:rsidRPr="00B44B71">
        <w:rPr>
          <w:rFonts w:ascii="Times New Roman" w:eastAsia="Times New Roman" w:hAnsi="Times New Roman" w:cs="Times New Roman"/>
          <w:kern w:val="0"/>
          <w:sz w:val="24"/>
          <w:szCs w:val="24"/>
          <w:lang w:val="uk-UA" w:eastAsia="ru-RU"/>
          <w14:ligatures w14:val="none"/>
        </w:rPr>
        <w:t>).</w:t>
      </w:r>
    </w:p>
    <w:p w14:paraId="215C4D9B"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spacing w:val="-4"/>
          <w:kern w:val="0"/>
          <w:sz w:val="24"/>
          <w:szCs w:val="24"/>
          <w:lang w:val="uk-UA" w:eastAsia="ru-RU"/>
          <w14:ligatures w14:val="none"/>
        </w:rPr>
      </w:pPr>
      <w:r w:rsidRPr="00B44B71">
        <w:rPr>
          <w:rFonts w:ascii="Times New Roman" w:eastAsia="Times New Roman" w:hAnsi="Times New Roman" w:cs="Times New Roman"/>
          <w:kern w:val="0"/>
          <w:sz w:val="24"/>
          <w:szCs w:val="24"/>
          <w:lang w:val="en-GB" w:eastAsia="uk-UA"/>
          <w14:ligatures w14:val="none"/>
        </w:rPr>
        <w:t xml:space="preserve">7. </w:t>
      </w:r>
      <w:r w:rsidRPr="00B44B71">
        <w:rPr>
          <w:rFonts w:ascii="Times New Roman" w:eastAsia="Times New Roman" w:hAnsi="Times New Roman" w:cs="Times New Roman"/>
          <w:spacing w:val="-4"/>
          <w:kern w:val="0"/>
          <w:sz w:val="24"/>
          <w:szCs w:val="24"/>
          <w:lang w:eastAsia="ru-RU"/>
          <w14:ligatures w14:val="none"/>
        </w:rPr>
        <w:t xml:space="preserve">Koval V., Farion O., Kocheulov A. (2024). </w:t>
      </w:r>
      <w:r w:rsidRPr="00B44B71">
        <w:rPr>
          <w:rFonts w:ascii="Times New Roman" w:eastAsia="Times New Roman" w:hAnsi="Times New Roman" w:cs="Times New Roman"/>
          <w:i/>
          <w:spacing w:val="-4"/>
          <w:kern w:val="0"/>
          <w:sz w:val="24"/>
          <w:szCs w:val="24"/>
          <w:lang w:eastAsia="ru-RU"/>
          <w14:ligatures w14:val="none"/>
        </w:rPr>
        <w:t xml:space="preserve">Analiz dosvidu ta rekomendatsii shchodo orhanizatsii tylovoho zabezpechennia orhaniv i pidrozdiliv Derzhavnoi prykordonnoi sluzhby Ukrainy pid </w:t>
      </w:r>
      <w:r w:rsidRPr="00B44B71">
        <w:rPr>
          <w:rFonts w:ascii="Times New Roman" w:eastAsia="Times New Roman" w:hAnsi="Times New Roman" w:cs="Times New Roman"/>
          <w:i/>
          <w:spacing w:val="-4"/>
          <w:kern w:val="0"/>
          <w:sz w:val="24"/>
          <w:szCs w:val="24"/>
          <w:lang w:eastAsia="ru-RU"/>
          <w14:ligatures w14:val="none"/>
        </w:rPr>
        <w:lastRenderedPageBreak/>
        <w:t>chas vykonannia spetsialnykh (boiovykh) zavdan</w:t>
      </w:r>
      <w:r w:rsidRPr="00B44B71">
        <w:rPr>
          <w:rFonts w:ascii="Times New Roman" w:eastAsia="Times New Roman" w:hAnsi="Times New Roman" w:cs="Times New Roman"/>
          <w:spacing w:val="-4"/>
          <w:kern w:val="0"/>
          <w:sz w:val="24"/>
          <w:szCs w:val="24"/>
          <w:lang w:eastAsia="ru-RU"/>
          <w14:ligatures w14:val="none"/>
        </w:rPr>
        <w:t xml:space="preserve"> [Analysis of experience and recommendations for organizing logistical support of the State Border Guard Service of Ukraine during the execution of special (combat) tasks]. </w:t>
      </w:r>
      <w:r w:rsidRPr="00B44B71">
        <w:rPr>
          <w:rFonts w:ascii="Times New Roman" w:eastAsia="Times New Roman" w:hAnsi="Times New Roman" w:cs="Times New Roman"/>
          <w:i/>
          <w:spacing w:val="-4"/>
          <w:kern w:val="0"/>
          <w:sz w:val="24"/>
          <w:szCs w:val="24"/>
          <w:lang w:eastAsia="ru-RU"/>
          <w14:ligatures w14:val="none"/>
        </w:rPr>
        <w:t>Zbirnyk naukovykh prats Natsionalnoi akademii Derzhavnoi prykordonnoi sluzhby Ukrainy. Seriia: viiskovi ta tekhnichni nauky,</w:t>
      </w:r>
      <w:r w:rsidRPr="00B44B71">
        <w:rPr>
          <w:rFonts w:ascii="Times New Roman" w:eastAsia="Times New Roman" w:hAnsi="Times New Roman" w:cs="Times New Roman"/>
          <w:spacing w:val="-4"/>
          <w:kern w:val="0"/>
          <w:sz w:val="24"/>
          <w:szCs w:val="24"/>
          <w:lang w:eastAsia="ru-RU"/>
          <w14:ligatures w14:val="none"/>
        </w:rPr>
        <w:t xml:space="preserve"> no. 3(96), pp. 22–30. </w:t>
      </w:r>
      <w:r w:rsidRPr="00B44B71">
        <w:rPr>
          <w:rFonts w:ascii="Times New Roman" w:eastAsia="Times New Roman" w:hAnsi="Times New Roman" w:cs="Times New Roman"/>
          <w:spacing w:val="-4"/>
          <w:kern w:val="0"/>
          <w:sz w:val="24"/>
          <w:szCs w:val="24"/>
          <w:lang w:val="uk-UA" w:eastAsia="ru-RU"/>
          <w14:ligatures w14:val="none"/>
        </w:rPr>
        <w:t>(</w:t>
      </w:r>
      <w:r w:rsidRPr="00B44B71">
        <w:rPr>
          <w:rFonts w:ascii="Times New Roman" w:eastAsia="Times New Roman" w:hAnsi="Times New Roman" w:cs="Times New Roman"/>
          <w:spacing w:val="-4"/>
          <w:kern w:val="0"/>
          <w:sz w:val="24"/>
          <w:szCs w:val="24"/>
          <w:lang w:eastAsia="ru-RU"/>
          <w14:ligatures w14:val="none"/>
        </w:rPr>
        <w:t>in Ukrainian</w:t>
      </w:r>
      <w:r w:rsidRPr="00B44B71">
        <w:rPr>
          <w:rFonts w:ascii="Times New Roman" w:eastAsia="Times New Roman" w:hAnsi="Times New Roman" w:cs="Times New Roman"/>
          <w:spacing w:val="-4"/>
          <w:kern w:val="0"/>
          <w:sz w:val="24"/>
          <w:szCs w:val="24"/>
          <w:lang w:val="uk-UA" w:eastAsia="ru-RU"/>
          <w14:ligatures w14:val="none"/>
        </w:rPr>
        <w:t>).</w:t>
      </w:r>
    </w:p>
    <w:p w14:paraId="6D1A08E0"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spacing w:val="-4"/>
          <w:kern w:val="0"/>
          <w:sz w:val="24"/>
          <w:szCs w:val="24"/>
          <w:lang w:val="uk-UA" w:eastAsia="ru-RU"/>
          <w14:ligatures w14:val="none"/>
        </w:rPr>
      </w:pPr>
      <w:r w:rsidRPr="00B44B71">
        <w:rPr>
          <w:rFonts w:ascii="Times New Roman" w:eastAsia="Times New Roman" w:hAnsi="Times New Roman" w:cs="Times New Roman"/>
          <w:spacing w:val="-4"/>
          <w:kern w:val="0"/>
          <w:sz w:val="24"/>
          <w:szCs w:val="24"/>
          <w:lang w:val="uk-UA" w:eastAsia="ru-RU"/>
          <w14:ligatures w14:val="none"/>
        </w:rPr>
        <w:t xml:space="preserve">8. </w:t>
      </w:r>
      <w:r w:rsidRPr="00B44B71">
        <w:rPr>
          <w:rFonts w:ascii="Times New Roman" w:eastAsia="Times New Roman" w:hAnsi="Times New Roman" w:cs="Times New Roman"/>
          <w:kern w:val="0"/>
          <w:sz w:val="24"/>
          <w:szCs w:val="24"/>
          <w:lang w:val="uk-UA" w:eastAsia="ru-RU"/>
          <w14:ligatures w14:val="none"/>
        </w:rPr>
        <w:t xml:space="preserve">Ponomarenko, O. (2024). </w:t>
      </w:r>
      <w:r w:rsidRPr="00B44B71">
        <w:rPr>
          <w:rFonts w:ascii="Times New Roman" w:eastAsia="Times New Roman" w:hAnsi="Times New Roman" w:cs="Times New Roman"/>
          <w:i/>
          <w:kern w:val="0"/>
          <w:sz w:val="24"/>
          <w:szCs w:val="24"/>
          <w:lang w:val="uk-UA" w:eastAsia="ru-RU"/>
          <w14:ligatures w14:val="none"/>
        </w:rPr>
        <w:t xml:space="preserve">Pidhotovka maibutnikh ofitseriv: lohistychnyi aspekt </w:t>
      </w:r>
      <w:r w:rsidRPr="00B44B71">
        <w:rPr>
          <w:rFonts w:ascii="Times New Roman" w:eastAsia="Times New Roman" w:hAnsi="Times New Roman" w:cs="Times New Roman"/>
          <w:kern w:val="0"/>
          <w:sz w:val="24"/>
          <w:szCs w:val="24"/>
          <w:lang w:val="uk-UA" w:eastAsia="ru-RU"/>
          <w14:ligatures w14:val="none"/>
        </w:rPr>
        <w:t xml:space="preserve">[Training of future officers: logistical aspect]. </w:t>
      </w:r>
      <w:r w:rsidRPr="00B44B71">
        <w:rPr>
          <w:rFonts w:ascii="Times New Roman" w:eastAsia="Times New Roman" w:hAnsi="Times New Roman" w:cs="Times New Roman"/>
          <w:i/>
          <w:kern w:val="0"/>
          <w:sz w:val="24"/>
          <w:szCs w:val="24"/>
          <w:lang w:val="uk-UA" w:eastAsia="ru-RU"/>
          <w14:ligatures w14:val="none"/>
        </w:rPr>
        <w:t>Zbirnyk naukovykh prats Natsionalnoi akademii Derzhavnoi prykordonnoi sluzhby Ukrainy. Seriia: pedahohichni nauky</w:t>
      </w:r>
      <w:r w:rsidRPr="00B44B71">
        <w:rPr>
          <w:rFonts w:ascii="Times New Roman" w:eastAsia="Times New Roman" w:hAnsi="Times New Roman" w:cs="Times New Roman"/>
          <w:kern w:val="0"/>
          <w:sz w:val="24"/>
          <w:szCs w:val="24"/>
          <w:lang w:val="uk-UA" w:eastAsia="ru-RU"/>
          <w14:ligatures w14:val="none"/>
        </w:rPr>
        <w:t>, no. 2(37), pp. 155–175. (in Ukrainian).</w:t>
      </w:r>
    </w:p>
    <w:p w14:paraId="1AD363DA"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kern w:val="0"/>
          <w:sz w:val="24"/>
          <w:szCs w:val="24"/>
          <w:lang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9. </w:t>
      </w:r>
      <w:r w:rsidRPr="00B44B71">
        <w:rPr>
          <w:rFonts w:ascii="Times New Roman" w:eastAsia="Times New Roman" w:hAnsi="Times New Roman" w:cs="Times New Roman"/>
          <w:kern w:val="0"/>
          <w:sz w:val="24"/>
          <w:szCs w:val="24"/>
          <w:lang w:eastAsia="ru-RU"/>
          <w14:ligatures w14:val="none"/>
        </w:rPr>
        <w:t>Sahan</w:t>
      </w:r>
      <w:r w:rsidRPr="00B44B71">
        <w:rPr>
          <w:rFonts w:ascii="Times New Roman" w:eastAsia="Times New Roman" w:hAnsi="Times New Roman" w:cs="Times New Roman"/>
          <w:kern w:val="0"/>
          <w:sz w:val="24"/>
          <w:szCs w:val="24"/>
          <w:lang w:val="uk-UA" w:eastAsia="ru-RU"/>
          <w14:ligatures w14:val="none"/>
        </w:rPr>
        <w:t xml:space="preserve"> </w:t>
      </w:r>
      <w:r w:rsidRPr="00B44B71">
        <w:rPr>
          <w:rFonts w:ascii="Times New Roman" w:eastAsia="Times New Roman" w:hAnsi="Times New Roman" w:cs="Times New Roman"/>
          <w:kern w:val="0"/>
          <w:sz w:val="24"/>
          <w:szCs w:val="24"/>
          <w:lang w:eastAsia="ru-RU"/>
          <w14:ligatures w14:val="none"/>
        </w:rPr>
        <w:t>V</w:t>
      </w:r>
      <w:r w:rsidRPr="00B44B71">
        <w:rPr>
          <w:rFonts w:ascii="Times New Roman" w:eastAsia="Times New Roman" w:hAnsi="Times New Roman" w:cs="Times New Roman"/>
          <w:kern w:val="0"/>
          <w:sz w:val="24"/>
          <w:szCs w:val="24"/>
          <w:lang w:val="uk-UA" w:eastAsia="ru-RU"/>
          <w14:ligatures w14:val="none"/>
        </w:rPr>
        <w:t xml:space="preserve">., </w:t>
      </w:r>
      <w:r w:rsidRPr="00B44B71">
        <w:rPr>
          <w:rFonts w:ascii="Times New Roman" w:eastAsia="Times New Roman" w:hAnsi="Times New Roman" w:cs="Times New Roman"/>
          <w:kern w:val="0"/>
          <w:sz w:val="24"/>
          <w:szCs w:val="24"/>
          <w:lang w:eastAsia="ru-RU"/>
          <w14:ligatures w14:val="none"/>
        </w:rPr>
        <w:t>Ponomarenko</w:t>
      </w:r>
      <w:r w:rsidRPr="00B44B71">
        <w:rPr>
          <w:rFonts w:ascii="Times New Roman" w:eastAsia="Times New Roman" w:hAnsi="Times New Roman" w:cs="Times New Roman"/>
          <w:kern w:val="0"/>
          <w:sz w:val="24"/>
          <w:szCs w:val="24"/>
          <w:lang w:val="uk-UA" w:eastAsia="ru-RU"/>
          <w14:ligatures w14:val="none"/>
        </w:rPr>
        <w:t xml:space="preserve"> </w:t>
      </w:r>
      <w:r w:rsidRPr="00B44B71">
        <w:rPr>
          <w:rFonts w:ascii="Times New Roman" w:eastAsia="Times New Roman" w:hAnsi="Times New Roman" w:cs="Times New Roman"/>
          <w:kern w:val="0"/>
          <w:sz w:val="24"/>
          <w:szCs w:val="24"/>
          <w:lang w:eastAsia="ru-RU"/>
          <w14:ligatures w14:val="none"/>
        </w:rPr>
        <w:t>O</w:t>
      </w:r>
      <w:r w:rsidRPr="00B44B71">
        <w:rPr>
          <w:rFonts w:ascii="Times New Roman" w:eastAsia="Times New Roman" w:hAnsi="Times New Roman" w:cs="Times New Roman"/>
          <w:kern w:val="0"/>
          <w:sz w:val="24"/>
          <w:szCs w:val="24"/>
          <w:lang w:val="uk-UA" w:eastAsia="ru-RU"/>
          <w14:ligatures w14:val="none"/>
        </w:rPr>
        <w:t xml:space="preserve">., </w:t>
      </w:r>
      <w:r w:rsidRPr="00B44B71">
        <w:rPr>
          <w:rFonts w:ascii="Times New Roman" w:eastAsia="Times New Roman" w:hAnsi="Times New Roman" w:cs="Times New Roman"/>
          <w:kern w:val="0"/>
          <w:sz w:val="24"/>
          <w:szCs w:val="24"/>
          <w:lang w:eastAsia="ru-RU"/>
          <w14:ligatures w14:val="none"/>
        </w:rPr>
        <w:t>Kocheulov</w:t>
      </w:r>
      <w:r w:rsidRPr="00B44B71">
        <w:rPr>
          <w:rFonts w:ascii="Times New Roman" w:eastAsia="Times New Roman" w:hAnsi="Times New Roman" w:cs="Times New Roman"/>
          <w:kern w:val="0"/>
          <w:sz w:val="24"/>
          <w:szCs w:val="24"/>
          <w:lang w:val="uk-UA" w:eastAsia="ru-RU"/>
          <w14:ligatures w14:val="none"/>
        </w:rPr>
        <w:t xml:space="preserve"> </w:t>
      </w:r>
      <w:r w:rsidRPr="00B44B71">
        <w:rPr>
          <w:rFonts w:ascii="Times New Roman" w:eastAsia="Times New Roman" w:hAnsi="Times New Roman" w:cs="Times New Roman"/>
          <w:kern w:val="0"/>
          <w:sz w:val="24"/>
          <w:szCs w:val="24"/>
          <w:lang w:eastAsia="ru-RU"/>
          <w14:ligatures w14:val="none"/>
        </w:rPr>
        <w:t>A</w:t>
      </w:r>
      <w:r w:rsidRPr="00B44B71">
        <w:rPr>
          <w:rFonts w:ascii="Times New Roman" w:eastAsia="Times New Roman" w:hAnsi="Times New Roman" w:cs="Times New Roman"/>
          <w:kern w:val="0"/>
          <w:sz w:val="24"/>
          <w:szCs w:val="24"/>
          <w:lang w:val="uk-UA" w:eastAsia="ru-RU"/>
          <w14:ligatures w14:val="none"/>
        </w:rPr>
        <w:t xml:space="preserve">., </w:t>
      </w:r>
      <w:r w:rsidRPr="00B44B71">
        <w:rPr>
          <w:rFonts w:ascii="Times New Roman" w:eastAsia="Times New Roman" w:hAnsi="Times New Roman" w:cs="Times New Roman"/>
          <w:kern w:val="0"/>
          <w:sz w:val="24"/>
          <w:szCs w:val="24"/>
          <w:lang w:eastAsia="ru-RU"/>
          <w14:ligatures w14:val="none"/>
        </w:rPr>
        <w:t>Pyatkov</w:t>
      </w:r>
      <w:r w:rsidRPr="00B44B71">
        <w:rPr>
          <w:rFonts w:ascii="Times New Roman" w:eastAsia="Times New Roman" w:hAnsi="Times New Roman" w:cs="Times New Roman"/>
          <w:kern w:val="0"/>
          <w:sz w:val="24"/>
          <w:szCs w:val="24"/>
          <w:lang w:val="uk-UA" w:eastAsia="ru-RU"/>
          <w14:ligatures w14:val="none"/>
        </w:rPr>
        <w:t xml:space="preserve"> </w:t>
      </w:r>
      <w:r w:rsidRPr="00B44B71">
        <w:rPr>
          <w:rFonts w:ascii="Times New Roman" w:eastAsia="Times New Roman" w:hAnsi="Times New Roman" w:cs="Times New Roman"/>
          <w:kern w:val="0"/>
          <w:sz w:val="24"/>
          <w:szCs w:val="24"/>
          <w:lang w:eastAsia="ru-RU"/>
          <w14:ligatures w14:val="none"/>
        </w:rPr>
        <w:t>M</w:t>
      </w:r>
      <w:r w:rsidRPr="00B44B71">
        <w:rPr>
          <w:rFonts w:ascii="Times New Roman" w:eastAsia="Times New Roman" w:hAnsi="Times New Roman" w:cs="Times New Roman"/>
          <w:kern w:val="0"/>
          <w:sz w:val="24"/>
          <w:szCs w:val="24"/>
          <w:lang w:val="uk-UA" w:eastAsia="ru-RU"/>
          <w14:ligatures w14:val="none"/>
        </w:rPr>
        <w:t xml:space="preserve">., </w:t>
      </w:r>
      <w:r w:rsidRPr="00B44B71">
        <w:rPr>
          <w:rFonts w:ascii="Times New Roman" w:eastAsia="Times New Roman" w:hAnsi="Times New Roman" w:cs="Times New Roman"/>
          <w:kern w:val="0"/>
          <w:sz w:val="24"/>
          <w:szCs w:val="24"/>
          <w:lang w:eastAsia="ru-RU"/>
          <w14:ligatures w14:val="none"/>
        </w:rPr>
        <w:t>Kravchuk</w:t>
      </w:r>
      <w:r w:rsidRPr="00B44B71">
        <w:rPr>
          <w:rFonts w:ascii="Times New Roman" w:eastAsia="Times New Roman" w:hAnsi="Times New Roman" w:cs="Times New Roman"/>
          <w:kern w:val="0"/>
          <w:sz w:val="24"/>
          <w:szCs w:val="24"/>
          <w:lang w:val="uk-UA" w:eastAsia="ru-RU"/>
          <w14:ligatures w14:val="none"/>
        </w:rPr>
        <w:t xml:space="preserve"> </w:t>
      </w:r>
      <w:r w:rsidRPr="00B44B71">
        <w:rPr>
          <w:rFonts w:ascii="Times New Roman" w:eastAsia="Times New Roman" w:hAnsi="Times New Roman" w:cs="Times New Roman"/>
          <w:kern w:val="0"/>
          <w:sz w:val="24"/>
          <w:szCs w:val="24"/>
          <w:lang w:eastAsia="ru-RU"/>
          <w14:ligatures w14:val="none"/>
        </w:rPr>
        <w:t>V</w:t>
      </w:r>
      <w:r w:rsidRPr="00B44B71">
        <w:rPr>
          <w:rFonts w:ascii="Times New Roman" w:eastAsia="Times New Roman" w:hAnsi="Times New Roman" w:cs="Times New Roman"/>
          <w:kern w:val="0"/>
          <w:sz w:val="24"/>
          <w:szCs w:val="24"/>
          <w:lang w:val="uk-UA" w:eastAsia="ru-RU"/>
          <w14:ligatures w14:val="none"/>
        </w:rPr>
        <w:t xml:space="preserve">. (2025). </w:t>
      </w:r>
      <w:r w:rsidRPr="00B44B71">
        <w:rPr>
          <w:rFonts w:ascii="Times New Roman" w:eastAsia="Times New Roman" w:hAnsi="Times New Roman" w:cs="Times New Roman"/>
          <w:i/>
          <w:kern w:val="0"/>
          <w:sz w:val="24"/>
          <w:szCs w:val="24"/>
          <w:lang w:eastAsia="ru-RU"/>
          <w14:ligatures w14:val="none"/>
        </w:rPr>
        <w:t>Orhanizatsiia</w:t>
      </w:r>
      <w:r w:rsidRPr="00B44B71">
        <w:rPr>
          <w:rFonts w:ascii="Times New Roman" w:eastAsia="Times New Roman" w:hAnsi="Times New Roman" w:cs="Times New Roman"/>
          <w:i/>
          <w:kern w:val="0"/>
          <w:sz w:val="24"/>
          <w:szCs w:val="24"/>
          <w:lang w:val="uk-UA" w:eastAsia="ru-RU"/>
          <w14:ligatures w14:val="none"/>
        </w:rPr>
        <w:t xml:space="preserve"> </w:t>
      </w:r>
      <w:r w:rsidRPr="00B44B71">
        <w:rPr>
          <w:rFonts w:ascii="Times New Roman" w:eastAsia="Times New Roman" w:hAnsi="Times New Roman" w:cs="Times New Roman"/>
          <w:i/>
          <w:kern w:val="0"/>
          <w:sz w:val="24"/>
          <w:szCs w:val="24"/>
          <w:lang w:eastAsia="ru-RU"/>
          <w14:ligatures w14:val="none"/>
        </w:rPr>
        <w:t>lohistychnoho</w:t>
      </w:r>
      <w:r w:rsidRPr="00B44B71">
        <w:rPr>
          <w:rFonts w:ascii="Times New Roman" w:eastAsia="Times New Roman" w:hAnsi="Times New Roman" w:cs="Times New Roman"/>
          <w:i/>
          <w:kern w:val="0"/>
          <w:sz w:val="24"/>
          <w:szCs w:val="24"/>
          <w:lang w:val="uk-UA" w:eastAsia="ru-RU"/>
          <w14:ligatures w14:val="none"/>
        </w:rPr>
        <w:t xml:space="preserve"> </w:t>
      </w:r>
      <w:r w:rsidRPr="00B44B71">
        <w:rPr>
          <w:rFonts w:ascii="Times New Roman" w:eastAsia="Times New Roman" w:hAnsi="Times New Roman" w:cs="Times New Roman"/>
          <w:i/>
          <w:kern w:val="0"/>
          <w:sz w:val="24"/>
          <w:szCs w:val="24"/>
          <w:lang w:eastAsia="ru-RU"/>
          <w14:ligatures w14:val="none"/>
        </w:rPr>
        <w:t>zabezpechennia</w:t>
      </w:r>
      <w:r w:rsidRPr="00B44B71">
        <w:rPr>
          <w:rFonts w:ascii="Times New Roman" w:eastAsia="Times New Roman" w:hAnsi="Times New Roman" w:cs="Times New Roman"/>
          <w:i/>
          <w:kern w:val="0"/>
          <w:sz w:val="24"/>
          <w:szCs w:val="24"/>
          <w:lang w:val="uk-UA" w:eastAsia="ru-RU"/>
          <w14:ligatures w14:val="none"/>
        </w:rPr>
        <w:t xml:space="preserve"> </w:t>
      </w:r>
      <w:r w:rsidRPr="00B44B71">
        <w:rPr>
          <w:rFonts w:ascii="Times New Roman" w:eastAsia="Times New Roman" w:hAnsi="Times New Roman" w:cs="Times New Roman"/>
          <w:i/>
          <w:kern w:val="0"/>
          <w:sz w:val="24"/>
          <w:szCs w:val="24"/>
          <w:lang w:eastAsia="ru-RU"/>
          <w14:ligatures w14:val="none"/>
        </w:rPr>
        <w:t>ta</w:t>
      </w:r>
      <w:r w:rsidRPr="00B44B71">
        <w:rPr>
          <w:rFonts w:ascii="Times New Roman" w:eastAsia="Times New Roman" w:hAnsi="Times New Roman" w:cs="Times New Roman"/>
          <w:i/>
          <w:kern w:val="0"/>
          <w:sz w:val="24"/>
          <w:szCs w:val="24"/>
          <w:lang w:val="uk-UA" w:eastAsia="ru-RU"/>
          <w14:ligatures w14:val="none"/>
        </w:rPr>
        <w:t xml:space="preserve"> </w:t>
      </w:r>
      <w:r w:rsidRPr="00B44B71">
        <w:rPr>
          <w:rFonts w:ascii="Times New Roman" w:eastAsia="Times New Roman" w:hAnsi="Times New Roman" w:cs="Times New Roman"/>
          <w:i/>
          <w:kern w:val="0"/>
          <w:sz w:val="24"/>
          <w:szCs w:val="24"/>
          <w:lang w:eastAsia="ru-RU"/>
          <w14:ligatures w14:val="none"/>
        </w:rPr>
        <w:t>rekomendatsii</w:t>
      </w:r>
      <w:r w:rsidRPr="00B44B71">
        <w:rPr>
          <w:rFonts w:ascii="Times New Roman" w:eastAsia="Times New Roman" w:hAnsi="Times New Roman" w:cs="Times New Roman"/>
          <w:i/>
          <w:kern w:val="0"/>
          <w:sz w:val="24"/>
          <w:szCs w:val="24"/>
          <w:lang w:val="uk-UA" w:eastAsia="ru-RU"/>
          <w14:ligatures w14:val="none"/>
        </w:rPr>
        <w:t xml:space="preserve"> </w:t>
      </w:r>
      <w:r w:rsidRPr="00B44B71">
        <w:rPr>
          <w:rFonts w:ascii="Times New Roman" w:eastAsia="Times New Roman" w:hAnsi="Times New Roman" w:cs="Times New Roman"/>
          <w:i/>
          <w:kern w:val="0"/>
          <w:sz w:val="24"/>
          <w:szCs w:val="24"/>
          <w:lang w:eastAsia="ru-RU"/>
          <w14:ligatures w14:val="none"/>
        </w:rPr>
        <w:t>shchodo</w:t>
      </w:r>
      <w:r w:rsidRPr="00B44B71">
        <w:rPr>
          <w:rFonts w:ascii="Times New Roman" w:eastAsia="Times New Roman" w:hAnsi="Times New Roman" w:cs="Times New Roman"/>
          <w:i/>
          <w:kern w:val="0"/>
          <w:sz w:val="24"/>
          <w:szCs w:val="24"/>
          <w:lang w:val="uk-UA" w:eastAsia="ru-RU"/>
          <w14:ligatures w14:val="none"/>
        </w:rPr>
        <w:t xml:space="preserve"> </w:t>
      </w:r>
      <w:r w:rsidRPr="00B44B71">
        <w:rPr>
          <w:rFonts w:ascii="Times New Roman" w:eastAsia="Times New Roman" w:hAnsi="Times New Roman" w:cs="Times New Roman"/>
          <w:i/>
          <w:kern w:val="0"/>
          <w:sz w:val="24"/>
          <w:szCs w:val="24"/>
          <w:lang w:eastAsia="ru-RU"/>
          <w14:ligatures w14:val="none"/>
        </w:rPr>
        <w:t>postachannia</w:t>
      </w:r>
      <w:r w:rsidRPr="00B44B71">
        <w:rPr>
          <w:rFonts w:ascii="Times New Roman" w:eastAsia="Times New Roman" w:hAnsi="Times New Roman" w:cs="Times New Roman"/>
          <w:i/>
          <w:kern w:val="0"/>
          <w:sz w:val="24"/>
          <w:szCs w:val="24"/>
          <w:lang w:val="uk-UA" w:eastAsia="ru-RU"/>
          <w14:ligatures w14:val="none"/>
        </w:rPr>
        <w:t xml:space="preserve"> </w:t>
      </w:r>
      <w:r w:rsidRPr="00B44B71">
        <w:rPr>
          <w:rFonts w:ascii="Times New Roman" w:eastAsia="Times New Roman" w:hAnsi="Times New Roman" w:cs="Times New Roman"/>
          <w:i/>
          <w:kern w:val="0"/>
          <w:sz w:val="24"/>
          <w:szCs w:val="24"/>
          <w:lang w:eastAsia="ru-RU"/>
          <w14:ligatures w14:val="none"/>
        </w:rPr>
        <w:t>ekspluatatsiinykh</w:t>
      </w:r>
      <w:r w:rsidRPr="00B44B71">
        <w:rPr>
          <w:rFonts w:ascii="Times New Roman" w:eastAsia="Times New Roman" w:hAnsi="Times New Roman" w:cs="Times New Roman"/>
          <w:i/>
          <w:kern w:val="0"/>
          <w:sz w:val="24"/>
          <w:szCs w:val="24"/>
          <w:lang w:val="uk-UA" w:eastAsia="ru-RU"/>
          <w14:ligatures w14:val="none"/>
        </w:rPr>
        <w:t xml:space="preserve"> </w:t>
      </w:r>
      <w:r w:rsidRPr="00B44B71">
        <w:rPr>
          <w:rFonts w:ascii="Times New Roman" w:eastAsia="Times New Roman" w:hAnsi="Times New Roman" w:cs="Times New Roman"/>
          <w:i/>
          <w:kern w:val="0"/>
          <w:sz w:val="24"/>
          <w:szCs w:val="24"/>
          <w:lang w:eastAsia="ru-RU"/>
          <w14:ligatures w14:val="none"/>
        </w:rPr>
        <w:t>materialiv</w:t>
      </w:r>
      <w:r w:rsidRPr="00B44B71">
        <w:rPr>
          <w:rFonts w:ascii="Times New Roman" w:eastAsia="Times New Roman" w:hAnsi="Times New Roman" w:cs="Times New Roman"/>
          <w:i/>
          <w:kern w:val="0"/>
          <w:sz w:val="24"/>
          <w:szCs w:val="24"/>
          <w:lang w:val="uk-UA" w:eastAsia="ru-RU"/>
          <w14:ligatures w14:val="none"/>
        </w:rPr>
        <w:t xml:space="preserve"> </w:t>
      </w:r>
      <w:r w:rsidRPr="00B44B71">
        <w:rPr>
          <w:rFonts w:ascii="Times New Roman" w:eastAsia="Times New Roman" w:hAnsi="Times New Roman" w:cs="Times New Roman"/>
          <w:i/>
          <w:kern w:val="0"/>
          <w:sz w:val="24"/>
          <w:szCs w:val="24"/>
          <w:lang w:eastAsia="ru-RU"/>
          <w14:ligatures w14:val="none"/>
        </w:rPr>
        <w:t>pid</w:t>
      </w:r>
      <w:r w:rsidRPr="00B44B71">
        <w:rPr>
          <w:rFonts w:ascii="Times New Roman" w:eastAsia="Times New Roman" w:hAnsi="Times New Roman" w:cs="Times New Roman"/>
          <w:i/>
          <w:kern w:val="0"/>
          <w:sz w:val="24"/>
          <w:szCs w:val="24"/>
          <w:lang w:val="uk-UA" w:eastAsia="ru-RU"/>
          <w14:ligatures w14:val="none"/>
        </w:rPr>
        <w:t xml:space="preserve"> </w:t>
      </w:r>
      <w:r w:rsidRPr="00B44B71">
        <w:rPr>
          <w:rFonts w:ascii="Times New Roman" w:eastAsia="Times New Roman" w:hAnsi="Times New Roman" w:cs="Times New Roman"/>
          <w:i/>
          <w:kern w:val="0"/>
          <w:sz w:val="24"/>
          <w:szCs w:val="24"/>
          <w:lang w:eastAsia="ru-RU"/>
          <w14:ligatures w14:val="none"/>
        </w:rPr>
        <w:t>chas</w:t>
      </w:r>
      <w:r w:rsidRPr="00B44B71">
        <w:rPr>
          <w:rFonts w:ascii="Times New Roman" w:eastAsia="Times New Roman" w:hAnsi="Times New Roman" w:cs="Times New Roman"/>
          <w:i/>
          <w:kern w:val="0"/>
          <w:sz w:val="24"/>
          <w:szCs w:val="24"/>
          <w:lang w:val="uk-UA" w:eastAsia="ru-RU"/>
          <w14:ligatures w14:val="none"/>
        </w:rPr>
        <w:t xml:space="preserve"> </w:t>
      </w:r>
      <w:r w:rsidRPr="00B44B71">
        <w:rPr>
          <w:rFonts w:ascii="Times New Roman" w:eastAsia="Times New Roman" w:hAnsi="Times New Roman" w:cs="Times New Roman"/>
          <w:i/>
          <w:kern w:val="0"/>
          <w:sz w:val="24"/>
          <w:szCs w:val="24"/>
          <w:lang w:eastAsia="ru-RU"/>
          <w14:ligatures w14:val="none"/>
        </w:rPr>
        <w:t>voiennoho stanu.</w:t>
      </w:r>
      <w:r w:rsidRPr="00B44B71">
        <w:rPr>
          <w:rFonts w:ascii="Times New Roman" w:eastAsia="Times New Roman" w:hAnsi="Times New Roman" w:cs="Times New Roman"/>
          <w:kern w:val="0"/>
          <w:sz w:val="24"/>
          <w:szCs w:val="24"/>
          <w:lang w:eastAsia="ru-RU"/>
          <w14:ligatures w14:val="none"/>
        </w:rPr>
        <w:t xml:space="preserve">[Organisation of logistics support and recommendations for the supply of operational materials during martial law]. </w:t>
      </w:r>
      <w:r w:rsidRPr="00B44B71">
        <w:rPr>
          <w:rFonts w:ascii="Times New Roman" w:eastAsia="Times New Roman" w:hAnsi="Times New Roman" w:cs="Times New Roman"/>
          <w:i/>
          <w:iCs/>
          <w:kern w:val="0"/>
          <w:sz w:val="24"/>
          <w:szCs w:val="24"/>
          <w:lang w:eastAsia="ru-RU"/>
          <w14:ligatures w14:val="none"/>
        </w:rPr>
        <w:t>Zbirnyk naukovykh prats Natsionalnoi akademii Derzhavnoi prykordonnoi sluzhby Ukrainy. Seriia : viiskovi ta tekhnichni nauky</w:t>
      </w:r>
      <w:r w:rsidRPr="00B44B71">
        <w:rPr>
          <w:rFonts w:ascii="Times New Roman" w:eastAsia="Times New Roman" w:hAnsi="Times New Roman" w:cs="Times New Roman"/>
          <w:kern w:val="0"/>
          <w:sz w:val="24"/>
          <w:szCs w:val="24"/>
          <w:lang w:eastAsia="ru-RU"/>
          <w14:ligatures w14:val="none"/>
        </w:rPr>
        <w:t xml:space="preserve">. Khmelnytskyi : NADPSU, vol. 1(98). pp. 57‒69. </w:t>
      </w:r>
      <w:r w:rsidRPr="00B44B71">
        <w:rPr>
          <w:rFonts w:ascii="Times New Roman" w:eastAsia="Times New Roman" w:hAnsi="Times New Roman" w:cs="Times New Roman"/>
          <w:kern w:val="0"/>
          <w:sz w:val="24"/>
          <w:szCs w:val="24"/>
          <w:lang w:val="uk-UA" w:eastAsia="ru-RU"/>
          <w14:ligatures w14:val="none"/>
        </w:rPr>
        <w:t>(in Ukrainian)</w:t>
      </w:r>
      <w:r w:rsidRPr="00B44B71">
        <w:rPr>
          <w:rFonts w:ascii="Times New Roman" w:eastAsia="Times New Roman" w:hAnsi="Times New Roman" w:cs="Times New Roman"/>
          <w:kern w:val="0"/>
          <w:sz w:val="24"/>
          <w:szCs w:val="24"/>
          <w:lang w:eastAsia="ru-RU"/>
          <w14:ligatures w14:val="none"/>
        </w:rPr>
        <w:t>.</w:t>
      </w:r>
    </w:p>
    <w:p w14:paraId="3AAA5A04"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10. Sahan, V. (2026). </w:t>
      </w:r>
      <w:r w:rsidRPr="00B44B71">
        <w:rPr>
          <w:rFonts w:ascii="Times New Roman" w:eastAsia="Times New Roman" w:hAnsi="Times New Roman" w:cs="Times New Roman"/>
          <w:i/>
          <w:kern w:val="0"/>
          <w:sz w:val="24"/>
          <w:szCs w:val="24"/>
          <w:lang w:val="uk-UA" w:eastAsia="ru-RU"/>
          <w14:ligatures w14:val="none"/>
        </w:rPr>
        <w:t>Analiz zmistu pidhotovky zdobuvachiv vyshchoi osvity za osvitno-profesiinoiu prohramoiu “Orhanizatsiia diialnosti tylovykh pidrozdiliv Derzhavnoi prykordonnoi sluzhby Ukrainy” za napriamom zabezpechennia palno-mastylnymy materialamy</w:t>
      </w:r>
      <w:r w:rsidRPr="00B44B71">
        <w:rPr>
          <w:rFonts w:ascii="Times New Roman" w:eastAsia="Times New Roman" w:hAnsi="Times New Roman" w:cs="Times New Roman"/>
          <w:kern w:val="0"/>
          <w:sz w:val="24"/>
          <w:szCs w:val="24"/>
          <w:lang w:val="uk-UA" w:eastAsia="ru-RU"/>
          <w14:ligatures w14:val="none"/>
        </w:rPr>
        <w:t xml:space="preserve"> [Analysis of the content of training of higher education students under the educational and professional programme “Organisation of activities of rear units of the State Border Guard Service of Ukraine” in the field of fuel and lubricants supply]. </w:t>
      </w:r>
      <w:r w:rsidRPr="00B44B71">
        <w:rPr>
          <w:rFonts w:ascii="Times New Roman" w:eastAsia="Times New Roman" w:hAnsi="Times New Roman" w:cs="Times New Roman"/>
          <w:i/>
          <w:kern w:val="0"/>
          <w:sz w:val="24"/>
          <w:szCs w:val="24"/>
          <w:lang w:val="uk-UA" w:eastAsia="ru-RU"/>
          <w14:ligatures w14:val="none"/>
        </w:rPr>
        <w:t>Zbirnyk naukovykh prats Natsionalnoi akademii Derzhavnoi prykordonnoi sluzhby Ukrainy. Seriia: pedahohichni nauky</w:t>
      </w:r>
      <w:r w:rsidRPr="00B44B71">
        <w:rPr>
          <w:rFonts w:ascii="Times New Roman" w:eastAsia="Times New Roman" w:hAnsi="Times New Roman" w:cs="Times New Roman"/>
          <w:kern w:val="0"/>
          <w:sz w:val="24"/>
          <w:szCs w:val="24"/>
          <w:lang w:val="uk-UA" w:eastAsia="ru-RU"/>
          <w14:ligatures w14:val="none"/>
        </w:rPr>
        <w:t>, no. 1(44), pp. 161–183. (in Ukrainian).</w:t>
      </w:r>
    </w:p>
    <w:p w14:paraId="344C31A8"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spacing w:val="-4"/>
          <w:kern w:val="0"/>
          <w:sz w:val="24"/>
          <w:szCs w:val="24"/>
          <w:lang w:val="uk-UA" w:eastAsia="ru-RU"/>
          <w14:ligatures w14:val="none"/>
        </w:rPr>
        <w:t xml:space="preserve">11. </w:t>
      </w:r>
      <w:r w:rsidRPr="00B44B71">
        <w:rPr>
          <w:rFonts w:ascii="Times New Roman" w:eastAsia="Times New Roman" w:hAnsi="Times New Roman" w:cs="Times New Roman"/>
          <w:kern w:val="0"/>
          <w:sz w:val="24"/>
          <w:szCs w:val="24"/>
          <w:lang w:val="uk-UA" w:eastAsia="ru-RU"/>
          <w14:ligatures w14:val="none"/>
        </w:rPr>
        <w:t xml:space="preserve">Shalimov, Yu., Sahan, V., Ponomarenko, O., Kocheulov, A., &amp; Koval, V. (2025). Analysis of the functioning of the logistical support system during the execution of combat (special) tasks. </w:t>
      </w:r>
      <w:r w:rsidRPr="00B44B71">
        <w:rPr>
          <w:rFonts w:ascii="Times New Roman" w:eastAsia="Times New Roman" w:hAnsi="Times New Roman" w:cs="Times New Roman"/>
          <w:i/>
          <w:iCs/>
          <w:kern w:val="0"/>
          <w:sz w:val="24"/>
          <w:szCs w:val="24"/>
          <w:lang w:val="uk-UA" w:eastAsia="ru-RU"/>
          <w14:ligatures w14:val="none"/>
        </w:rPr>
        <w:t>Collection of Scientific Works of the National Academy of the State Border Guard Service of Ukraine. Series: Military and Technical Sciences</w:t>
      </w:r>
      <w:r w:rsidRPr="00B44B71">
        <w:rPr>
          <w:rFonts w:ascii="Times New Roman" w:eastAsia="Times New Roman" w:hAnsi="Times New Roman" w:cs="Times New Roman"/>
          <w:kern w:val="0"/>
          <w:sz w:val="24"/>
          <w:szCs w:val="24"/>
          <w:lang w:val="uk-UA" w:eastAsia="ru-RU"/>
          <w14:ligatures w14:val="none"/>
        </w:rPr>
        <w:t>. Khmelnytskyi: NADPSU, 3(100), 142–151. (in Ukrainian).</w:t>
      </w:r>
    </w:p>
    <w:p w14:paraId="6A19CA94"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12. Sahan, V. (2025). </w:t>
      </w:r>
      <w:r w:rsidRPr="00B44B71">
        <w:rPr>
          <w:rFonts w:ascii="Times New Roman" w:eastAsia="Times New Roman" w:hAnsi="Times New Roman" w:cs="Times New Roman"/>
          <w:i/>
          <w:kern w:val="0"/>
          <w:sz w:val="24"/>
          <w:szCs w:val="24"/>
          <w:lang w:val="uk-UA" w:eastAsia="ru-RU"/>
          <w14:ligatures w14:val="none"/>
        </w:rPr>
        <w:t>Analiz zmistu pidhotovky zdobuvachiv vyshchoi osvity za osvitno-profesiinoiu prohramoiu “Orhanizatsiia diialnosti tylovykh pidrozdiliv Derzhavnoi prykordonnoi sluzhby Ukrainy” za napriamom rechovoho zabezpechennia</w:t>
      </w:r>
      <w:r w:rsidRPr="00B44B71">
        <w:rPr>
          <w:rFonts w:ascii="Times New Roman" w:eastAsia="Times New Roman" w:hAnsi="Times New Roman" w:cs="Times New Roman"/>
          <w:kern w:val="0"/>
          <w:sz w:val="24"/>
          <w:szCs w:val="24"/>
          <w:lang w:val="uk-UA" w:eastAsia="ru-RU"/>
          <w14:ligatures w14:val="none"/>
        </w:rPr>
        <w:t xml:space="preserve"> [Analysis of the content of training of higher education students under the educational and professional programme “Organisation of activities of rear units of the State Border Guard Service of Ukraine” in the field of clothing supply]. </w:t>
      </w:r>
      <w:r w:rsidRPr="00B44B71">
        <w:rPr>
          <w:rFonts w:ascii="Times New Roman" w:eastAsia="Times New Roman" w:hAnsi="Times New Roman" w:cs="Times New Roman"/>
          <w:i/>
          <w:kern w:val="0"/>
          <w:sz w:val="24"/>
          <w:szCs w:val="24"/>
          <w:lang w:val="uk-UA" w:eastAsia="ru-RU"/>
          <w14:ligatures w14:val="none"/>
        </w:rPr>
        <w:t>Zbirnyk naukovykh prats Natsionalnoi akademii Derzhavnoi prykordonnoi sluzhby Ukrainy. Seriia: pedahohichni nauky</w:t>
      </w:r>
      <w:r w:rsidRPr="00B44B71">
        <w:rPr>
          <w:rFonts w:ascii="Times New Roman" w:eastAsia="Times New Roman" w:hAnsi="Times New Roman" w:cs="Times New Roman"/>
          <w:kern w:val="0"/>
          <w:sz w:val="24"/>
          <w:szCs w:val="24"/>
          <w:lang w:val="uk-UA" w:eastAsia="ru-RU"/>
          <w14:ligatures w14:val="none"/>
        </w:rPr>
        <w:t>, no. 3(42), pp. 163–184. (in Ukrainian).</w:t>
      </w:r>
    </w:p>
    <w:p w14:paraId="7A7D73B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spacing w:val="-4"/>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13. Ponomarenko, O. (2025). </w:t>
      </w:r>
      <w:r w:rsidRPr="00B44B71">
        <w:rPr>
          <w:rFonts w:ascii="Times New Roman" w:eastAsia="Times New Roman" w:hAnsi="Times New Roman" w:cs="Times New Roman"/>
          <w:i/>
          <w:kern w:val="0"/>
          <w:sz w:val="24"/>
          <w:szCs w:val="24"/>
          <w:lang w:val="uk-UA" w:eastAsia="ru-RU"/>
          <w14:ligatures w14:val="none"/>
        </w:rPr>
        <w:t>Obgruntuvannia fakhovykh kompetentnostei spetsializatsii osvitnoi prohramy “Orhanizatsiia diialnosti tylovykh pidrozdiliv DPSU”</w:t>
      </w:r>
      <w:r w:rsidRPr="00B44B71">
        <w:rPr>
          <w:rFonts w:ascii="Times New Roman" w:eastAsia="Times New Roman" w:hAnsi="Times New Roman" w:cs="Times New Roman"/>
          <w:kern w:val="0"/>
          <w:sz w:val="24"/>
          <w:szCs w:val="24"/>
          <w:lang w:val="uk-UA" w:eastAsia="ru-RU"/>
          <w14:ligatures w14:val="none"/>
        </w:rPr>
        <w:t xml:space="preserve"> [Substantiation of professional competencies of the specialization of the educational programme “Organisation of activities of rear units of the State Border Guard Service of Ukraine”]. </w:t>
      </w:r>
      <w:r w:rsidRPr="00B44B71">
        <w:rPr>
          <w:rFonts w:ascii="Times New Roman" w:eastAsia="Times New Roman" w:hAnsi="Times New Roman" w:cs="Times New Roman"/>
          <w:i/>
          <w:kern w:val="0"/>
          <w:sz w:val="24"/>
          <w:szCs w:val="24"/>
          <w:lang w:val="uk-UA" w:eastAsia="ru-RU"/>
          <w14:ligatures w14:val="none"/>
        </w:rPr>
        <w:t>Zbirnyk naukovykh prats Natsionalnoi akademii Derzhavnoi prykordonnoi sluzhby Ukrainy. Seriia: pedahohichni nauky,</w:t>
      </w:r>
      <w:r w:rsidRPr="00B44B71">
        <w:rPr>
          <w:rFonts w:ascii="Times New Roman" w:eastAsia="Times New Roman" w:hAnsi="Times New Roman" w:cs="Times New Roman"/>
          <w:kern w:val="0"/>
          <w:sz w:val="24"/>
          <w:szCs w:val="24"/>
          <w:lang w:val="uk-UA" w:eastAsia="ru-RU"/>
          <w14:ligatures w14:val="none"/>
        </w:rPr>
        <w:t xml:space="preserve"> no. 3(42), pp. 144–161. (in Ukrainian).</w:t>
      </w:r>
    </w:p>
    <w:p w14:paraId="39CD3F86"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uk-UA"/>
          <w14:ligatures w14:val="none"/>
        </w:rPr>
        <w:t xml:space="preserve">14. </w:t>
      </w:r>
      <w:r w:rsidRPr="00B44B71">
        <w:rPr>
          <w:rFonts w:ascii="Times New Roman" w:eastAsia="Times New Roman" w:hAnsi="Times New Roman" w:cs="Times New Roman"/>
          <w:kern w:val="0"/>
          <w:sz w:val="24"/>
          <w:szCs w:val="24"/>
          <w:lang w:val="en-GB" w:eastAsia="uk-UA"/>
          <w14:ligatures w14:val="none"/>
        </w:rPr>
        <w:t xml:space="preserve">Garmash, T. A. (n.d.). Professional activity of logistics specialists, their characteristics. </w:t>
      </w:r>
      <w:r w:rsidRPr="00B44B71">
        <w:rPr>
          <w:rFonts w:ascii="Times New Roman" w:eastAsia="Times New Roman" w:hAnsi="Times New Roman" w:cs="Times New Roman"/>
          <w:i/>
          <w:iCs/>
          <w:kern w:val="0"/>
          <w:sz w:val="24"/>
          <w:szCs w:val="24"/>
          <w:lang w:val="en-GB" w:eastAsia="uk-UA"/>
          <w14:ligatures w14:val="none"/>
        </w:rPr>
        <w:t>International Chelpanov Psychological and Pedagogical Readings</w:t>
      </w:r>
      <w:r w:rsidRPr="00B44B71">
        <w:rPr>
          <w:rFonts w:ascii="Times New Roman" w:eastAsia="Times New Roman" w:hAnsi="Times New Roman" w:cs="Times New Roman"/>
          <w:kern w:val="0"/>
          <w:sz w:val="24"/>
          <w:szCs w:val="24"/>
          <w:lang w:val="en-GB" w:eastAsia="uk-UA"/>
          <w14:ligatures w14:val="none"/>
        </w:rPr>
        <w:t xml:space="preserve">, </w:t>
      </w:r>
      <w:r w:rsidRPr="00B44B71">
        <w:rPr>
          <w:rFonts w:ascii="Times New Roman" w:eastAsia="Times New Roman" w:hAnsi="Times New Roman" w:cs="Times New Roman"/>
          <w:i/>
          <w:iCs/>
          <w:kern w:val="0"/>
          <w:sz w:val="24"/>
          <w:szCs w:val="24"/>
          <w:lang w:val="en-GB" w:eastAsia="uk-UA"/>
          <w14:ligatures w14:val="none"/>
        </w:rPr>
        <w:t>20</w:t>
      </w:r>
      <w:r w:rsidRPr="00B44B71">
        <w:rPr>
          <w:rFonts w:ascii="Times New Roman" w:eastAsia="Times New Roman" w:hAnsi="Times New Roman" w:cs="Times New Roman"/>
          <w:kern w:val="0"/>
          <w:sz w:val="24"/>
          <w:szCs w:val="24"/>
          <w:lang w:val="en-GB" w:eastAsia="uk-UA"/>
          <w14:ligatures w14:val="none"/>
        </w:rPr>
        <w:t xml:space="preserve">, 141–148. </w:t>
      </w:r>
      <w:r w:rsidRPr="00B44B71">
        <w:rPr>
          <w:rFonts w:ascii="Times New Roman" w:eastAsia="Times New Roman" w:hAnsi="Times New Roman" w:cs="Times New Roman"/>
          <w:bCs/>
          <w:kern w:val="0"/>
          <w:sz w:val="24"/>
          <w:szCs w:val="24"/>
          <w:lang w:val="en-GB" w:eastAsia="ru-RU"/>
          <w14:ligatures w14:val="none"/>
        </w:rPr>
        <w:t>Retrieved from:</w:t>
      </w:r>
      <w:r w:rsidRPr="00B44B71">
        <w:rPr>
          <w:rFonts w:ascii="Times New Roman" w:eastAsia="Times New Roman" w:hAnsi="Times New Roman" w:cs="Times New Roman"/>
          <w:kern w:val="0"/>
          <w:sz w:val="24"/>
          <w:szCs w:val="24"/>
          <w:lang w:val="en-GB" w:eastAsia="ru-RU"/>
          <w14:ligatures w14:val="none"/>
        </w:rPr>
        <w:t xml:space="preserve"> </w:t>
      </w:r>
      <w:hyperlink r:id="rId350" w:tgtFrame="_blank" w:history="1">
        <w:r w:rsidRPr="00B44B71">
          <w:rPr>
            <w:rFonts w:ascii="Times New Roman" w:eastAsia="Times New Roman" w:hAnsi="Times New Roman" w:cs="Times New Roman"/>
            <w:color w:val="0000FF"/>
            <w:kern w:val="0"/>
            <w:sz w:val="24"/>
            <w:szCs w:val="24"/>
            <w:u w:val="single"/>
            <w:lang w:val="en-GB" w:eastAsia="uk-UA"/>
            <w14:ligatures w14:val="none"/>
          </w:rPr>
          <w:t>https://chelpanov.eeipsy.org/index.php/eeip/issue/view/7/PDF20</w:t>
        </w:r>
      </w:hyperlink>
      <w:r w:rsidRPr="00B44B71">
        <w:rPr>
          <w:rFonts w:ascii="Times New Roman" w:eastAsia="Times New Roman" w:hAnsi="Times New Roman" w:cs="Times New Roman"/>
          <w:kern w:val="0"/>
          <w:sz w:val="24"/>
          <w:szCs w:val="24"/>
          <w:lang w:val="en-GB" w:eastAsia="uk-UA"/>
          <w14:ligatures w14:val="none"/>
        </w:rPr>
        <w:t xml:space="preserve"> </w:t>
      </w:r>
      <w:r w:rsidRPr="00B44B71">
        <w:rPr>
          <w:rFonts w:ascii="Times New Roman" w:eastAsia="Times New Roman" w:hAnsi="Times New Roman" w:cs="Times New Roman"/>
          <w:kern w:val="0"/>
          <w:sz w:val="24"/>
          <w:szCs w:val="24"/>
          <w:lang w:val="en-GB" w:eastAsia="ru-RU"/>
          <w14:ligatures w14:val="none"/>
        </w:rPr>
        <w:t>(accessed 23 December 2025)</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en-GB" w:eastAsia="ru-RU"/>
          <w14:ligatures w14:val="none"/>
        </w:rPr>
        <w:t xml:space="preserve"> </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en-GB" w:eastAsia="ru-RU"/>
          <w14:ligatures w14:val="none"/>
        </w:rPr>
        <w:t>in Ukrainian</w:t>
      </w:r>
      <w:r w:rsidRPr="00B44B71">
        <w:rPr>
          <w:rFonts w:ascii="Times New Roman" w:eastAsia="Times New Roman" w:hAnsi="Times New Roman" w:cs="Times New Roman"/>
          <w:kern w:val="0"/>
          <w:sz w:val="24"/>
          <w:szCs w:val="24"/>
          <w:lang w:val="uk-UA" w:eastAsia="ru-RU"/>
          <w14:ligatures w14:val="none"/>
        </w:rPr>
        <w:t>).</w:t>
      </w:r>
    </w:p>
    <w:p w14:paraId="120ABDE4"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en-GB" w:eastAsia="uk-UA"/>
          <w14:ligatures w14:val="none"/>
        </w:rPr>
        <w:t xml:space="preserve">15. Vorobyov, O., Vlasov, I., Shynkarenko, Yu. (2018). Directions for training logistics specialists of the Armed Forces of Ukraine and modern technologies for managing logistical support. </w:t>
      </w:r>
      <w:r w:rsidRPr="00B44B71">
        <w:rPr>
          <w:rFonts w:ascii="Times New Roman" w:eastAsia="Times New Roman" w:hAnsi="Times New Roman" w:cs="Times New Roman"/>
          <w:i/>
          <w:iCs/>
          <w:kern w:val="0"/>
          <w:sz w:val="24"/>
          <w:szCs w:val="24"/>
          <w:lang w:val="en-GB" w:eastAsia="uk-UA"/>
          <w14:ligatures w14:val="none"/>
        </w:rPr>
        <w:t>Military Education</w:t>
      </w:r>
      <w:r w:rsidRPr="00B44B71">
        <w:rPr>
          <w:rFonts w:ascii="Times New Roman" w:eastAsia="Times New Roman" w:hAnsi="Times New Roman" w:cs="Times New Roman"/>
          <w:kern w:val="0"/>
          <w:sz w:val="24"/>
          <w:szCs w:val="24"/>
          <w:lang w:val="en-GB" w:eastAsia="uk-UA"/>
          <w14:ligatures w14:val="none"/>
        </w:rPr>
        <w:t>, (1), 66–72.</w:t>
      </w:r>
      <w:r w:rsidRPr="00B44B71">
        <w:rPr>
          <w:rFonts w:ascii="Times New Roman" w:eastAsia="Times New Roman" w:hAnsi="Times New Roman" w:cs="Times New Roman"/>
          <w:bCs/>
          <w:kern w:val="0"/>
          <w:sz w:val="24"/>
          <w:szCs w:val="24"/>
          <w:lang w:val="en-GB" w:eastAsia="ru-RU"/>
          <w14:ligatures w14:val="none"/>
        </w:rPr>
        <w:t xml:space="preserve"> Retrieved from:</w:t>
      </w:r>
      <w:r w:rsidRPr="00B44B71">
        <w:rPr>
          <w:rFonts w:ascii="Times New Roman" w:eastAsia="Times New Roman" w:hAnsi="Times New Roman" w:cs="Times New Roman"/>
          <w:kern w:val="0"/>
          <w:sz w:val="24"/>
          <w:szCs w:val="24"/>
          <w:lang w:val="en-GB" w:eastAsia="ru-RU"/>
          <w14:ligatures w14:val="none"/>
        </w:rPr>
        <w:t xml:space="preserve"> </w:t>
      </w:r>
      <w:r w:rsidRPr="00B44B71">
        <w:rPr>
          <w:rFonts w:ascii="Times New Roman" w:eastAsia="Times New Roman" w:hAnsi="Times New Roman" w:cs="Times New Roman"/>
          <w:kern w:val="0"/>
          <w:sz w:val="24"/>
          <w:szCs w:val="24"/>
          <w:lang w:val="en-GB" w:eastAsia="uk-UA"/>
          <w14:ligatures w14:val="none"/>
        </w:rPr>
        <w:t xml:space="preserve"> </w:t>
      </w:r>
      <w:hyperlink r:id="rId351" w:tgtFrame="_blank" w:history="1">
        <w:r w:rsidRPr="00B44B71">
          <w:rPr>
            <w:rFonts w:ascii="Times New Roman" w:eastAsia="Times New Roman" w:hAnsi="Times New Roman" w:cs="Times New Roman"/>
            <w:color w:val="0000FF"/>
            <w:kern w:val="0"/>
            <w:sz w:val="24"/>
            <w:szCs w:val="24"/>
            <w:u w:val="single"/>
            <w:lang w:val="en-GB" w:eastAsia="uk-UA"/>
            <w14:ligatures w14:val="none"/>
          </w:rPr>
          <w:t>http://znp-vo.nuou.org.ua/article/view/156353</w:t>
        </w:r>
      </w:hyperlink>
      <w:r w:rsidRPr="00B44B71">
        <w:rPr>
          <w:rFonts w:ascii="Times New Roman" w:eastAsia="Times New Roman" w:hAnsi="Times New Roman" w:cs="Times New Roman"/>
          <w:kern w:val="0"/>
          <w:sz w:val="24"/>
          <w:szCs w:val="24"/>
          <w:lang w:val="en-GB" w:eastAsia="uk-UA"/>
          <w14:ligatures w14:val="none"/>
        </w:rPr>
        <w:t xml:space="preserve"> </w:t>
      </w:r>
      <w:r w:rsidRPr="00B44B71">
        <w:rPr>
          <w:rFonts w:ascii="Times New Roman" w:eastAsia="Times New Roman" w:hAnsi="Times New Roman" w:cs="Times New Roman"/>
          <w:kern w:val="0"/>
          <w:sz w:val="24"/>
          <w:szCs w:val="24"/>
          <w:lang w:val="en-GB" w:eastAsia="ru-RU"/>
          <w14:ligatures w14:val="none"/>
        </w:rPr>
        <w:t>(accessed 23 December 2025)</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en-GB" w:eastAsia="ru-RU"/>
          <w14:ligatures w14:val="none"/>
        </w:rPr>
        <w:t xml:space="preserve"> </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en-GB" w:eastAsia="ru-RU"/>
          <w14:ligatures w14:val="none"/>
        </w:rPr>
        <w:t>in Ukrainian</w:t>
      </w:r>
      <w:r w:rsidRPr="00B44B71">
        <w:rPr>
          <w:rFonts w:ascii="Times New Roman" w:eastAsia="Times New Roman" w:hAnsi="Times New Roman" w:cs="Times New Roman"/>
          <w:kern w:val="0"/>
          <w:sz w:val="24"/>
          <w:szCs w:val="24"/>
          <w:lang w:val="uk-UA" w:eastAsia="ru-RU"/>
          <w14:ligatures w14:val="none"/>
        </w:rPr>
        <w:t>).</w:t>
      </w:r>
    </w:p>
    <w:p w14:paraId="41238EDF"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en-GB" w:eastAsia="uk-UA"/>
          <w14:ligatures w14:val="none"/>
        </w:rPr>
      </w:pPr>
      <w:r w:rsidRPr="00B44B71">
        <w:rPr>
          <w:rFonts w:ascii="Times New Roman" w:eastAsia="Times New Roman" w:hAnsi="Times New Roman" w:cs="Times New Roman"/>
          <w:kern w:val="0"/>
          <w:sz w:val="24"/>
          <w:szCs w:val="24"/>
          <w:lang w:val="en-GB" w:eastAsia="uk-UA"/>
          <w14:ligatures w14:val="none"/>
        </w:rPr>
        <w:t xml:space="preserve">16. Kupriienko, D., Sahan, V., Frolov, O. (2022). Analysis of the feasibility of introducing the NATO LOGFAS logistics information system into the activities of the State Border Guard Service of Ukraine. </w:t>
      </w:r>
      <w:r w:rsidRPr="00B44B71">
        <w:rPr>
          <w:rFonts w:ascii="Times New Roman" w:eastAsia="Times New Roman" w:hAnsi="Times New Roman" w:cs="Times New Roman"/>
          <w:i/>
          <w:iCs/>
          <w:kern w:val="0"/>
          <w:sz w:val="24"/>
          <w:szCs w:val="24"/>
          <w:lang w:val="en-GB" w:eastAsia="uk-UA"/>
          <w14:ligatures w14:val="none"/>
        </w:rPr>
        <w:t>Collection of Scientific Papers of the National Academy of the State Border Guard Service of Ukraine. Series: Military and Technical Sciences</w:t>
      </w:r>
      <w:r w:rsidRPr="00B44B71">
        <w:rPr>
          <w:rFonts w:ascii="Times New Roman" w:eastAsia="Times New Roman" w:hAnsi="Times New Roman" w:cs="Times New Roman"/>
          <w:kern w:val="0"/>
          <w:sz w:val="24"/>
          <w:szCs w:val="24"/>
          <w:lang w:val="en-GB" w:eastAsia="uk-UA"/>
          <w14:ligatures w14:val="none"/>
        </w:rPr>
        <w:t>, (4), 26–50.</w:t>
      </w:r>
      <w:r w:rsidRPr="00B44B71">
        <w:rPr>
          <w:rFonts w:ascii="Times New Roman" w:eastAsia="Times New Roman" w:hAnsi="Times New Roman" w:cs="Times New Roman"/>
          <w:kern w:val="0"/>
          <w:sz w:val="24"/>
          <w:szCs w:val="24"/>
          <w:lang w:val="uk-UA" w:eastAsia="ru-RU"/>
          <w14:ligatures w14:val="none"/>
        </w:rPr>
        <w:t xml:space="preserve"> (</w:t>
      </w:r>
      <w:r w:rsidRPr="00B44B71">
        <w:rPr>
          <w:rFonts w:ascii="Times New Roman" w:eastAsia="Times New Roman" w:hAnsi="Times New Roman" w:cs="Times New Roman"/>
          <w:kern w:val="0"/>
          <w:sz w:val="24"/>
          <w:szCs w:val="24"/>
          <w:lang w:val="en-GB" w:eastAsia="ru-RU"/>
          <w14:ligatures w14:val="none"/>
        </w:rPr>
        <w:t>in Ukrainian</w:t>
      </w:r>
      <w:r w:rsidRPr="00B44B71">
        <w:rPr>
          <w:rFonts w:ascii="Times New Roman" w:eastAsia="Times New Roman" w:hAnsi="Times New Roman" w:cs="Times New Roman"/>
          <w:kern w:val="0"/>
          <w:sz w:val="24"/>
          <w:szCs w:val="24"/>
          <w:lang w:val="uk-UA" w:eastAsia="ru-RU"/>
          <w14:ligatures w14:val="none"/>
        </w:rPr>
        <w:t>).</w:t>
      </w:r>
    </w:p>
    <w:p w14:paraId="0C2CDFF3"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en-GB" w:eastAsia="uk-UA"/>
          <w14:ligatures w14:val="none"/>
        </w:rPr>
      </w:pPr>
      <w:r w:rsidRPr="00B44B71">
        <w:rPr>
          <w:rFonts w:ascii="Times New Roman" w:eastAsia="Times New Roman" w:hAnsi="Times New Roman" w:cs="Times New Roman"/>
          <w:kern w:val="0"/>
          <w:sz w:val="24"/>
          <w:szCs w:val="24"/>
          <w:lang w:val="en-GB" w:eastAsia="uk-UA"/>
          <w14:ligatures w14:val="none"/>
        </w:rPr>
        <w:lastRenderedPageBreak/>
        <w:t xml:space="preserve">17. Lytvyn, M. M. (2003). The essence and prospects of reforming the Border Troops of Ukraine. </w:t>
      </w:r>
      <w:r w:rsidRPr="00B44B71">
        <w:rPr>
          <w:rFonts w:ascii="Times New Roman" w:eastAsia="Times New Roman" w:hAnsi="Times New Roman" w:cs="Times New Roman"/>
          <w:i/>
          <w:iCs/>
          <w:kern w:val="0"/>
          <w:sz w:val="24"/>
          <w:szCs w:val="24"/>
          <w:lang w:val="en-GB" w:eastAsia="uk-UA"/>
          <w14:ligatures w14:val="none"/>
        </w:rPr>
        <w:t>Science and Defense</w:t>
      </w:r>
      <w:r w:rsidRPr="00B44B71">
        <w:rPr>
          <w:rFonts w:ascii="Times New Roman" w:eastAsia="Times New Roman" w:hAnsi="Times New Roman" w:cs="Times New Roman"/>
          <w:kern w:val="0"/>
          <w:sz w:val="24"/>
          <w:szCs w:val="24"/>
          <w:lang w:val="en-GB" w:eastAsia="uk-UA"/>
          <w14:ligatures w14:val="none"/>
        </w:rPr>
        <w:t>, (3), 16–20.</w:t>
      </w:r>
      <w:r w:rsidRPr="00B44B71">
        <w:rPr>
          <w:rFonts w:ascii="Times New Roman" w:eastAsia="Times New Roman" w:hAnsi="Times New Roman" w:cs="Times New Roman"/>
          <w:kern w:val="0"/>
          <w:sz w:val="24"/>
          <w:szCs w:val="24"/>
          <w:lang w:val="uk-UA" w:eastAsia="ru-RU"/>
          <w14:ligatures w14:val="none"/>
        </w:rPr>
        <w:t xml:space="preserve"> (</w:t>
      </w:r>
      <w:r w:rsidRPr="00B44B71">
        <w:rPr>
          <w:rFonts w:ascii="Times New Roman" w:eastAsia="Times New Roman" w:hAnsi="Times New Roman" w:cs="Times New Roman"/>
          <w:kern w:val="0"/>
          <w:sz w:val="24"/>
          <w:szCs w:val="24"/>
          <w:lang w:val="en-GB" w:eastAsia="ru-RU"/>
          <w14:ligatures w14:val="none"/>
        </w:rPr>
        <w:t>in Ukrainian</w:t>
      </w:r>
      <w:r w:rsidRPr="00B44B71">
        <w:rPr>
          <w:rFonts w:ascii="Times New Roman" w:eastAsia="Times New Roman" w:hAnsi="Times New Roman" w:cs="Times New Roman"/>
          <w:kern w:val="0"/>
          <w:sz w:val="24"/>
          <w:szCs w:val="24"/>
          <w:lang w:val="uk-UA" w:eastAsia="ru-RU"/>
          <w14:ligatures w14:val="none"/>
        </w:rPr>
        <w:t>).</w:t>
      </w:r>
    </w:p>
    <w:p w14:paraId="30982613"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en-GB" w:eastAsia="uk-UA"/>
          <w14:ligatures w14:val="none"/>
        </w:rPr>
      </w:pPr>
      <w:r w:rsidRPr="00B44B71">
        <w:rPr>
          <w:rFonts w:ascii="Times New Roman" w:eastAsia="Times New Roman" w:hAnsi="Times New Roman" w:cs="Times New Roman"/>
          <w:kern w:val="0"/>
          <w:sz w:val="24"/>
          <w:szCs w:val="24"/>
          <w:lang w:val="en-GB" w:eastAsia="uk-UA"/>
          <w14:ligatures w14:val="none"/>
        </w:rPr>
        <w:t xml:space="preserve">18. Lytvyn, M. M. (2007). Strategy for the development of the State Border Guard Service of Ukraine. </w:t>
      </w:r>
      <w:r w:rsidRPr="00B44B71">
        <w:rPr>
          <w:rFonts w:ascii="Times New Roman" w:eastAsia="Times New Roman" w:hAnsi="Times New Roman" w:cs="Times New Roman"/>
          <w:i/>
          <w:iCs/>
          <w:kern w:val="0"/>
          <w:sz w:val="24"/>
          <w:szCs w:val="24"/>
          <w:lang w:val="en-GB" w:eastAsia="uk-UA"/>
          <w14:ligatures w14:val="none"/>
        </w:rPr>
        <w:t>Collection of Scientific Papers No. 39 (Part II)</w:t>
      </w:r>
      <w:r w:rsidRPr="00B44B71">
        <w:rPr>
          <w:rFonts w:ascii="Times New Roman" w:eastAsia="Times New Roman" w:hAnsi="Times New Roman" w:cs="Times New Roman"/>
          <w:kern w:val="0"/>
          <w:sz w:val="24"/>
          <w:szCs w:val="24"/>
          <w:lang w:val="en-GB" w:eastAsia="uk-UA"/>
          <w14:ligatures w14:val="none"/>
        </w:rPr>
        <w:t>, 23–25. National Academy of the State Border Guard Service of Ukraine.</w:t>
      </w:r>
      <w:r w:rsidRPr="00B44B71">
        <w:rPr>
          <w:rFonts w:ascii="Times New Roman" w:eastAsia="Times New Roman" w:hAnsi="Times New Roman" w:cs="Times New Roman"/>
          <w:kern w:val="0"/>
          <w:sz w:val="24"/>
          <w:szCs w:val="24"/>
          <w:lang w:val="uk-UA" w:eastAsia="ru-RU"/>
          <w14:ligatures w14:val="none"/>
        </w:rPr>
        <w:t xml:space="preserve"> (</w:t>
      </w:r>
      <w:r w:rsidRPr="00B44B71">
        <w:rPr>
          <w:rFonts w:ascii="Times New Roman" w:eastAsia="Times New Roman" w:hAnsi="Times New Roman" w:cs="Times New Roman"/>
          <w:kern w:val="0"/>
          <w:sz w:val="24"/>
          <w:szCs w:val="24"/>
          <w:lang w:val="en-GB" w:eastAsia="ru-RU"/>
          <w14:ligatures w14:val="none"/>
        </w:rPr>
        <w:t>in Ukrainian</w:t>
      </w:r>
      <w:r w:rsidRPr="00B44B71">
        <w:rPr>
          <w:rFonts w:ascii="Times New Roman" w:eastAsia="Times New Roman" w:hAnsi="Times New Roman" w:cs="Times New Roman"/>
          <w:kern w:val="0"/>
          <w:sz w:val="24"/>
          <w:szCs w:val="24"/>
          <w:lang w:val="uk-UA" w:eastAsia="ru-RU"/>
          <w14:ligatures w14:val="none"/>
        </w:rPr>
        <w:t>).</w:t>
      </w:r>
    </w:p>
    <w:p w14:paraId="57F9749A"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en-GB" w:eastAsia="uk-UA"/>
          <w14:ligatures w14:val="none"/>
        </w:rPr>
        <w:t xml:space="preserve">19. Kyvliuk, V., Tkach, M., Loishyn, A., Gannenko, Yu. (2019). Improvement of educational activities in order to develop the logistics system in the Armed Forces of Ukraine. </w:t>
      </w:r>
      <w:r w:rsidRPr="00B44B71">
        <w:rPr>
          <w:rFonts w:ascii="Times New Roman" w:eastAsia="Times New Roman" w:hAnsi="Times New Roman" w:cs="Times New Roman"/>
          <w:i/>
          <w:iCs/>
          <w:kern w:val="0"/>
          <w:sz w:val="24"/>
          <w:szCs w:val="24"/>
          <w:lang w:val="en-GB" w:eastAsia="uk-UA"/>
          <w14:ligatures w14:val="none"/>
        </w:rPr>
        <w:t>Social Development &amp; Security</w:t>
      </w:r>
      <w:r w:rsidRPr="00B44B71">
        <w:rPr>
          <w:rFonts w:ascii="Times New Roman" w:eastAsia="Times New Roman" w:hAnsi="Times New Roman" w:cs="Times New Roman"/>
          <w:kern w:val="0"/>
          <w:sz w:val="24"/>
          <w:szCs w:val="24"/>
          <w:lang w:val="en-GB" w:eastAsia="uk-UA"/>
          <w14:ligatures w14:val="none"/>
        </w:rPr>
        <w:t xml:space="preserve">, </w:t>
      </w:r>
      <w:r w:rsidRPr="00B44B71">
        <w:rPr>
          <w:rFonts w:ascii="Times New Roman" w:eastAsia="Times New Roman" w:hAnsi="Times New Roman" w:cs="Times New Roman"/>
          <w:i/>
          <w:iCs/>
          <w:kern w:val="0"/>
          <w:sz w:val="24"/>
          <w:szCs w:val="24"/>
          <w:lang w:val="en-GB" w:eastAsia="uk-UA"/>
          <w14:ligatures w14:val="none"/>
        </w:rPr>
        <w:t>9</w:t>
      </w:r>
      <w:r w:rsidRPr="00B44B71">
        <w:rPr>
          <w:rFonts w:ascii="Times New Roman" w:eastAsia="Times New Roman" w:hAnsi="Times New Roman" w:cs="Times New Roman"/>
          <w:kern w:val="0"/>
          <w:sz w:val="24"/>
          <w:szCs w:val="24"/>
          <w:lang w:val="en-GB" w:eastAsia="uk-UA"/>
          <w14:ligatures w14:val="none"/>
        </w:rPr>
        <w:t xml:space="preserve">(6), 112–124. </w:t>
      </w:r>
      <w:r w:rsidRPr="00B44B71">
        <w:rPr>
          <w:rFonts w:ascii="Times New Roman" w:eastAsia="Times New Roman" w:hAnsi="Times New Roman" w:cs="Times New Roman"/>
          <w:bCs/>
          <w:kern w:val="0"/>
          <w:sz w:val="24"/>
          <w:szCs w:val="24"/>
          <w:lang w:val="en-GB" w:eastAsia="ru-RU"/>
          <w14:ligatures w14:val="none"/>
        </w:rPr>
        <w:t>Retrieved from:</w:t>
      </w:r>
      <w:r w:rsidRPr="00B44B71">
        <w:rPr>
          <w:rFonts w:ascii="Times New Roman" w:eastAsia="Times New Roman" w:hAnsi="Times New Roman" w:cs="Times New Roman"/>
          <w:kern w:val="0"/>
          <w:sz w:val="24"/>
          <w:szCs w:val="24"/>
          <w:lang w:val="en-GB" w:eastAsia="ru-RU"/>
          <w14:ligatures w14:val="none"/>
        </w:rPr>
        <w:t xml:space="preserve"> </w:t>
      </w:r>
      <w:hyperlink r:id="rId352" w:tgtFrame="_blank" w:history="1">
        <w:r w:rsidRPr="00B44B71">
          <w:rPr>
            <w:rFonts w:ascii="Times New Roman" w:eastAsia="Times New Roman" w:hAnsi="Times New Roman" w:cs="Times New Roman"/>
            <w:color w:val="0000FF"/>
            <w:kern w:val="0"/>
            <w:sz w:val="24"/>
            <w:szCs w:val="24"/>
            <w:u w:val="single"/>
            <w:lang w:val="en-GB" w:eastAsia="uk-UA"/>
            <w14:ligatures w14:val="none"/>
          </w:rPr>
          <w:t>http://nbuv.gov.ua/UJRN/socdevsec_2019_9_6_11</w:t>
        </w:r>
      </w:hyperlink>
      <w:r w:rsidRPr="00B44B71">
        <w:rPr>
          <w:rFonts w:ascii="Times New Roman" w:eastAsia="Times New Roman" w:hAnsi="Times New Roman" w:cs="Times New Roman"/>
          <w:kern w:val="0"/>
          <w:sz w:val="24"/>
          <w:szCs w:val="24"/>
          <w:lang w:val="en-GB" w:eastAsia="uk-UA"/>
          <w14:ligatures w14:val="none"/>
        </w:rPr>
        <w:t xml:space="preserve"> </w:t>
      </w:r>
      <w:r w:rsidRPr="00B44B71">
        <w:rPr>
          <w:rFonts w:ascii="Times New Roman" w:eastAsia="Times New Roman" w:hAnsi="Times New Roman" w:cs="Times New Roman"/>
          <w:kern w:val="0"/>
          <w:sz w:val="24"/>
          <w:szCs w:val="24"/>
          <w:lang w:val="en-GB" w:eastAsia="ru-RU"/>
          <w14:ligatures w14:val="none"/>
        </w:rPr>
        <w:t>(accessed 23 December 2025)</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en-GB" w:eastAsia="ru-RU"/>
          <w14:ligatures w14:val="none"/>
        </w:rPr>
        <w:t xml:space="preserve"> </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en-GB" w:eastAsia="ru-RU"/>
          <w14:ligatures w14:val="none"/>
        </w:rPr>
        <w:t>in Ukrainian</w:t>
      </w:r>
      <w:r w:rsidRPr="00B44B71">
        <w:rPr>
          <w:rFonts w:ascii="Times New Roman" w:eastAsia="Times New Roman" w:hAnsi="Times New Roman" w:cs="Times New Roman"/>
          <w:kern w:val="0"/>
          <w:sz w:val="24"/>
          <w:szCs w:val="24"/>
          <w:lang w:val="uk-UA" w:eastAsia="ru-RU"/>
          <w14:ligatures w14:val="none"/>
        </w:rPr>
        <w:t>).</w:t>
      </w:r>
    </w:p>
    <w:p w14:paraId="17FB1FA6"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en-GB" w:eastAsia="uk-UA"/>
          <w14:ligatures w14:val="none"/>
        </w:rPr>
        <w:t xml:space="preserve">20. Kryvohuz, H. I., Ivanenko, Ye. A., &amp; Snihur, L. A. (n.d.). </w:t>
      </w:r>
      <w:r w:rsidRPr="00B44B71">
        <w:rPr>
          <w:rFonts w:ascii="Times New Roman" w:eastAsia="Times New Roman" w:hAnsi="Times New Roman" w:cs="Times New Roman"/>
          <w:i/>
          <w:iCs/>
          <w:kern w:val="0"/>
          <w:sz w:val="24"/>
          <w:szCs w:val="24"/>
          <w:lang w:val="en-GB" w:eastAsia="uk-UA"/>
          <w14:ligatures w14:val="none"/>
        </w:rPr>
        <w:t>Quality of higher education of logistics support specialists (rear services) of the tactical level of the Armed Forces of Ukraine: Problematic issues and proposals for their solution</w:t>
      </w:r>
      <w:r w:rsidRPr="00B44B71">
        <w:rPr>
          <w:rFonts w:ascii="Times New Roman" w:eastAsia="Times New Roman" w:hAnsi="Times New Roman" w:cs="Times New Roman"/>
          <w:kern w:val="0"/>
          <w:sz w:val="24"/>
          <w:szCs w:val="24"/>
          <w:lang w:val="en-GB" w:eastAsia="uk-UA"/>
          <w14:ligatures w14:val="none"/>
        </w:rPr>
        <w:t xml:space="preserve">. </w:t>
      </w:r>
      <w:r w:rsidRPr="00B44B71">
        <w:rPr>
          <w:rFonts w:ascii="Times New Roman" w:eastAsia="Times New Roman" w:hAnsi="Times New Roman" w:cs="Times New Roman"/>
          <w:bCs/>
          <w:kern w:val="0"/>
          <w:sz w:val="24"/>
          <w:szCs w:val="24"/>
          <w:lang w:val="en-GB" w:eastAsia="ru-RU"/>
          <w14:ligatures w14:val="none"/>
        </w:rPr>
        <w:t>Retrieved from:</w:t>
      </w:r>
      <w:r w:rsidRPr="00B44B71">
        <w:rPr>
          <w:rFonts w:ascii="Times New Roman" w:eastAsia="Times New Roman" w:hAnsi="Times New Roman" w:cs="Times New Roman"/>
          <w:kern w:val="0"/>
          <w:sz w:val="24"/>
          <w:szCs w:val="24"/>
          <w:lang w:val="en-GB" w:eastAsia="ru-RU"/>
          <w14:ligatures w14:val="none"/>
        </w:rPr>
        <w:t xml:space="preserve"> </w:t>
      </w:r>
      <w:hyperlink r:id="rId353" w:tgtFrame="_blank" w:history="1">
        <w:r w:rsidRPr="00B44B71">
          <w:rPr>
            <w:rFonts w:ascii="Times New Roman" w:eastAsia="Times New Roman" w:hAnsi="Times New Roman" w:cs="Times New Roman"/>
            <w:color w:val="0000FF"/>
            <w:kern w:val="0"/>
            <w:sz w:val="24"/>
            <w:szCs w:val="24"/>
            <w:u w:val="single"/>
            <w:lang w:val="en-GB" w:eastAsia="uk-UA"/>
            <w14:ligatures w14:val="none"/>
          </w:rPr>
          <w:t>http://zbirnyk.vaodessa.org.ua/images/zbirnyk_13/%D0%A7.%D0%86%D0%86_%D0%97%D0%9D%D0%9F_113_226-239.pdf</w:t>
        </w:r>
      </w:hyperlink>
      <w:r w:rsidRPr="00B44B71">
        <w:rPr>
          <w:rFonts w:ascii="Times New Roman" w:eastAsia="Times New Roman" w:hAnsi="Times New Roman" w:cs="Times New Roman"/>
          <w:kern w:val="0"/>
          <w:sz w:val="24"/>
          <w:szCs w:val="24"/>
          <w:lang w:val="en-GB" w:eastAsia="uk-UA"/>
          <w14:ligatures w14:val="none"/>
        </w:rPr>
        <w:t xml:space="preserve"> </w:t>
      </w:r>
      <w:r w:rsidRPr="00B44B71">
        <w:rPr>
          <w:rFonts w:ascii="Times New Roman" w:eastAsia="Times New Roman" w:hAnsi="Times New Roman" w:cs="Times New Roman"/>
          <w:kern w:val="0"/>
          <w:sz w:val="24"/>
          <w:szCs w:val="24"/>
          <w:lang w:val="en-GB" w:eastAsia="ru-RU"/>
          <w14:ligatures w14:val="none"/>
        </w:rPr>
        <w:t>(accessed 23 December 2025)</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en-GB" w:eastAsia="ru-RU"/>
          <w14:ligatures w14:val="none"/>
        </w:rPr>
        <w:t xml:space="preserve"> </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en-GB" w:eastAsia="ru-RU"/>
          <w14:ligatures w14:val="none"/>
        </w:rPr>
        <w:t>in Ukrainian</w:t>
      </w:r>
      <w:r w:rsidRPr="00B44B71">
        <w:rPr>
          <w:rFonts w:ascii="Times New Roman" w:eastAsia="Times New Roman" w:hAnsi="Times New Roman" w:cs="Times New Roman"/>
          <w:kern w:val="0"/>
          <w:sz w:val="24"/>
          <w:szCs w:val="24"/>
          <w:lang w:val="uk-UA" w:eastAsia="ru-RU"/>
          <w14:ligatures w14:val="none"/>
        </w:rPr>
        <w:t>).</w:t>
      </w:r>
    </w:p>
    <w:p w14:paraId="17F9E5C5"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kern w:val="0"/>
          <w:sz w:val="24"/>
          <w:szCs w:val="24"/>
          <w:lang w:eastAsia="uk-UA"/>
          <w14:ligatures w14:val="none"/>
        </w:rPr>
      </w:pPr>
    </w:p>
    <w:p w14:paraId="1C5DCD58" w14:textId="29D8F79E" w:rsidR="00B66A78" w:rsidRPr="00E967C0" w:rsidRDefault="00B44B71" w:rsidP="00E967C0">
      <w:pPr>
        <w:widowControl w:val="0"/>
        <w:tabs>
          <w:tab w:val="left" w:pos="9638"/>
        </w:tabs>
        <w:spacing w:after="0" w:line="240" w:lineRule="auto"/>
        <w:ind w:firstLine="567"/>
        <w:jc w:val="center"/>
        <w:rPr>
          <w:rFonts w:ascii="Times New Roman" w:eastAsia="Times New Roman" w:hAnsi="Times New Roman" w:cs="Times New Roman"/>
          <w:b/>
          <w:spacing w:val="-4"/>
          <w:kern w:val="0"/>
          <w:sz w:val="24"/>
          <w:szCs w:val="24"/>
          <w:lang w:val="uk-UA" w:eastAsia="ru-RU"/>
          <w14:ligatures w14:val="none"/>
        </w:rPr>
      </w:pPr>
      <w:r w:rsidRPr="00B44B71">
        <w:rPr>
          <w:rFonts w:ascii="Times New Roman" w:eastAsia="Times New Roman" w:hAnsi="Times New Roman" w:cs="Times New Roman"/>
          <w:b/>
          <w:spacing w:val="-4"/>
          <w:kern w:val="0"/>
          <w:sz w:val="24"/>
          <w:szCs w:val="24"/>
          <w:lang w:eastAsia="ru-RU"/>
          <w14:ligatures w14:val="none"/>
        </w:rPr>
        <w:t>SUMMARY</w:t>
      </w:r>
    </w:p>
    <w:p w14:paraId="6ACA9209" w14:textId="6B9DB60C" w:rsidR="00B44B71" w:rsidRPr="00B44B71" w:rsidRDefault="00B44B71" w:rsidP="00023291">
      <w:pPr>
        <w:widowControl w:val="0"/>
        <w:tabs>
          <w:tab w:val="left" w:pos="9638"/>
        </w:tabs>
        <w:spacing w:after="0" w:line="240" w:lineRule="auto"/>
        <w:jc w:val="right"/>
        <w:rPr>
          <w:rFonts w:ascii="Times New Roman" w:eastAsia="Times New Roman" w:hAnsi="Times New Roman" w:cs="Times New Roman"/>
          <w:b/>
          <w:kern w:val="0"/>
          <w:sz w:val="24"/>
          <w:szCs w:val="24"/>
          <w:lang w:val="en-GB" w:eastAsia="ru-RU"/>
          <w14:ligatures w14:val="none"/>
        </w:rPr>
      </w:pPr>
      <w:r w:rsidRPr="00B44B71">
        <w:rPr>
          <w:rFonts w:ascii="Times New Roman" w:eastAsia="Times New Roman" w:hAnsi="Times New Roman" w:cs="Times New Roman"/>
          <w:b/>
          <w:kern w:val="0"/>
          <w:sz w:val="24"/>
          <w:szCs w:val="24"/>
          <w:lang w:val="en-GB" w:eastAsia="ru-RU"/>
          <w14:ligatures w14:val="none"/>
        </w:rPr>
        <w:t>Vitalii SAHAN,</w:t>
      </w:r>
    </w:p>
    <w:p w14:paraId="7851560E" w14:textId="7DDA6C35" w:rsidR="00B44B71" w:rsidRPr="00B15B58" w:rsidRDefault="00B15B58" w:rsidP="00023291">
      <w:pPr>
        <w:widowControl w:val="0"/>
        <w:tabs>
          <w:tab w:val="left" w:pos="9638"/>
        </w:tabs>
        <w:spacing w:after="0" w:line="240" w:lineRule="auto"/>
        <w:jc w:val="right"/>
        <w:rPr>
          <w:rFonts w:ascii="Times New Roman" w:eastAsia="Times New Roman" w:hAnsi="Times New Roman" w:cs="Times New Roman"/>
          <w:kern w:val="0"/>
          <w:sz w:val="24"/>
          <w:szCs w:val="24"/>
          <w:lang w:val="uk-UA" w:eastAsia="ru-RU"/>
          <w14:ligatures w14:val="none"/>
        </w:rPr>
      </w:pPr>
      <w:r>
        <w:rPr>
          <w:rFonts w:ascii="Times New Roman" w:eastAsia="Times New Roman" w:hAnsi="Times New Roman" w:cs="Times New Roman"/>
          <w:kern w:val="0"/>
          <w:sz w:val="24"/>
          <w:szCs w:val="24"/>
          <w:lang w:val="en-GB" w:eastAsia="ru-RU"/>
          <w14:ligatures w14:val="none"/>
        </w:rPr>
        <w:t>Doctor of Philosophy</w:t>
      </w:r>
    </w:p>
    <w:p w14:paraId="635F61C7" w14:textId="77777777" w:rsidR="00B44B71" w:rsidRPr="00B44B71" w:rsidRDefault="00B44B71" w:rsidP="00023291">
      <w:pPr>
        <w:widowControl w:val="0"/>
        <w:tabs>
          <w:tab w:val="left" w:pos="9638"/>
        </w:tabs>
        <w:spacing w:after="0" w:line="240" w:lineRule="auto"/>
        <w:jc w:val="right"/>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en-GB" w:eastAsia="ru-RU"/>
          <w14:ligatures w14:val="none"/>
        </w:rPr>
        <w:t xml:space="preserve">Bogdan Khmelnytsky National Academy of the State </w:t>
      </w:r>
    </w:p>
    <w:p w14:paraId="5D36F186" w14:textId="77777777" w:rsidR="00B44B71" w:rsidRPr="00B44B71" w:rsidRDefault="00B44B71" w:rsidP="00023291">
      <w:pPr>
        <w:widowControl w:val="0"/>
        <w:tabs>
          <w:tab w:val="left" w:pos="9638"/>
        </w:tabs>
        <w:spacing w:after="0" w:line="240" w:lineRule="auto"/>
        <w:jc w:val="right"/>
        <w:rPr>
          <w:rFonts w:ascii="Times New Roman" w:eastAsia="Times New Roman" w:hAnsi="Times New Roman" w:cs="Times New Roman"/>
          <w:kern w:val="0"/>
          <w:sz w:val="24"/>
          <w:szCs w:val="24"/>
          <w:lang w:val="en-GB" w:eastAsia="ru-RU"/>
          <w14:ligatures w14:val="none"/>
        </w:rPr>
      </w:pPr>
      <w:r w:rsidRPr="00B44B71">
        <w:rPr>
          <w:rFonts w:ascii="Times New Roman" w:eastAsia="Times New Roman" w:hAnsi="Times New Roman" w:cs="Times New Roman"/>
          <w:kern w:val="0"/>
          <w:sz w:val="24"/>
          <w:szCs w:val="24"/>
          <w:lang w:val="en-GB" w:eastAsia="ru-RU"/>
          <w14:ligatures w14:val="none"/>
        </w:rPr>
        <w:t>Border Guard Service of Ukraine</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en-GB" w:eastAsia="ru-RU"/>
          <w14:ligatures w14:val="none"/>
        </w:rPr>
        <w:t xml:space="preserve"> Khmelnytsky </w:t>
      </w:r>
    </w:p>
    <w:p w14:paraId="1FDC808B" w14:textId="77777777" w:rsidR="00B44B71" w:rsidRPr="00B44B71" w:rsidRDefault="00B44B71" w:rsidP="00023291">
      <w:pPr>
        <w:widowControl w:val="0"/>
        <w:tabs>
          <w:tab w:val="left" w:pos="9638"/>
        </w:tabs>
        <w:spacing w:after="0" w:line="240" w:lineRule="auto"/>
        <w:jc w:val="center"/>
        <w:rPr>
          <w:rFonts w:ascii="Times New Roman" w:eastAsia="Times New Roman" w:hAnsi="Times New Roman" w:cs="Times New Roman"/>
          <w:kern w:val="0"/>
          <w:sz w:val="24"/>
          <w:szCs w:val="24"/>
          <w:lang w:val="en-GB" w:eastAsia="ru-RU"/>
          <w14:ligatures w14:val="none"/>
        </w:rPr>
      </w:pPr>
    </w:p>
    <w:p w14:paraId="326B1A41" w14:textId="77777777" w:rsidR="00E967C0" w:rsidRDefault="00487A53" w:rsidP="00023291">
      <w:pPr>
        <w:tabs>
          <w:tab w:val="left" w:pos="9638"/>
        </w:tabs>
        <w:spacing w:after="0" w:line="240" w:lineRule="auto"/>
        <w:jc w:val="center"/>
        <w:rPr>
          <w:rFonts w:ascii="Times New Roman" w:eastAsia="Times New Roman" w:hAnsi="Times New Roman" w:cs="Times New Roman"/>
          <w:b/>
          <w:bCs/>
          <w:kern w:val="0"/>
          <w:sz w:val="24"/>
          <w:szCs w:val="24"/>
          <w:lang w:val="uk-UA" w:eastAsia="ru-RU"/>
          <w14:ligatures w14:val="none"/>
        </w:rPr>
      </w:pPr>
      <w:r w:rsidRPr="00B44B71">
        <w:rPr>
          <w:rFonts w:ascii="Times New Roman" w:eastAsia="Times New Roman" w:hAnsi="Times New Roman" w:cs="Times New Roman"/>
          <w:b/>
          <w:bCs/>
          <w:kern w:val="0"/>
          <w:sz w:val="24"/>
          <w:szCs w:val="24"/>
          <w:lang w:val="en-GB" w:eastAsia="ru-RU"/>
          <w14:ligatures w14:val="none"/>
        </w:rPr>
        <w:t xml:space="preserve">Training of logistics officers in the state Border </w:t>
      </w:r>
      <w:r w:rsidR="000A38F3" w:rsidRPr="00B44B71">
        <w:rPr>
          <w:rFonts w:ascii="Times New Roman" w:eastAsia="Times New Roman" w:hAnsi="Times New Roman" w:cs="Times New Roman"/>
          <w:b/>
          <w:bCs/>
          <w:kern w:val="0"/>
          <w:sz w:val="24"/>
          <w:szCs w:val="24"/>
          <w:lang w:val="en-GB" w:eastAsia="ru-RU"/>
          <w14:ligatures w14:val="none"/>
        </w:rPr>
        <w:t xml:space="preserve">guard service </w:t>
      </w:r>
      <w:r w:rsidRPr="00B44B71">
        <w:rPr>
          <w:rFonts w:ascii="Times New Roman" w:eastAsia="Times New Roman" w:hAnsi="Times New Roman" w:cs="Times New Roman"/>
          <w:b/>
          <w:bCs/>
          <w:kern w:val="0"/>
          <w:sz w:val="24"/>
          <w:szCs w:val="24"/>
          <w:lang w:val="en-GB" w:eastAsia="ru-RU"/>
          <w14:ligatures w14:val="none"/>
        </w:rPr>
        <w:t xml:space="preserve">of Ukraine in the current </w:t>
      </w:r>
    </w:p>
    <w:p w14:paraId="693C0652" w14:textId="03A029AA" w:rsidR="00B44B71" w:rsidRPr="00B44B71" w:rsidRDefault="00487A53" w:rsidP="00023291">
      <w:pPr>
        <w:tabs>
          <w:tab w:val="left" w:pos="9638"/>
        </w:tabs>
        <w:spacing w:after="0" w:line="240" w:lineRule="auto"/>
        <w:jc w:val="center"/>
        <w:rPr>
          <w:rFonts w:ascii="Times New Roman" w:eastAsia="Times New Roman" w:hAnsi="Times New Roman" w:cs="Times New Roman"/>
          <w:b/>
          <w:bCs/>
          <w:kern w:val="0"/>
          <w:sz w:val="24"/>
          <w:szCs w:val="24"/>
          <w:lang w:val="uk-UA" w:eastAsia="ru-RU"/>
          <w14:ligatures w14:val="none"/>
        </w:rPr>
      </w:pPr>
      <w:r w:rsidRPr="00B44B71">
        <w:rPr>
          <w:rFonts w:ascii="Times New Roman" w:eastAsia="Times New Roman" w:hAnsi="Times New Roman" w:cs="Times New Roman"/>
          <w:b/>
          <w:bCs/>
          <w:kern w:val="0"/>
          <w:sz w:val="24"/>
          <w:szCs w:val="24"/>
          <w:lang w:val="en-GB" w:eastAsia="ru-RU"/>
          <w14:ligatures w14:val="none"/>
        </w:rPr>
        <w:t>context of hostilities</w:t>
      </w:r>
    </w:p>
    <w:p w14:paraId="3ECB6FF9" w14:textId="77777777" w:rsidR="00B44B71" w:rsidRPr="00B44B71" w:rsidRDefault="00B44B71" w:rsidP="00023291">
      <w:pPr>
        <w:tabs>
          <w:tab w:val="left" w:pos="9638"/>
        </w:tabs>
        <w:spacing w:after="0" w:line="240" w:lineRule="auto"/>
        <w:jc w:val="center"/>
        <w:rPr>
          <w:rFonts w:ascii="Times New Roman" w:eastAsia="Times New Roman" w:hAnsi="Times New Roman" w:cs="Times New Roman"/>
          <w:b/>
          <w:bCs/>
          <w:kern w:val="0"/>
          <w:sz w:val="24"/>
          <w:szCs w:val="24"/>
          <w:lang w:val="uk-UA" w:eastAsia="ru-RU"/>
          <w14:ligatures w14:val="none"/>
        </w:rPr>
      </w:pPr>
    </w:p>
    <w:p w14:paraId="1D938AC9"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i/>
          <w:kern w:val="0"/>
          <w:sz w:val="24"/>
          <w:szCs w:val="24"/>
          <w:lang w:eastAsia="ru-RU"/>
          <w14:ligatures w14:val="none"/>
        </w:rPr>
      </w:pPr>
      <w:r w:rsidRPr="00B44B71">
        <w:rPr>
          <w:rFonts w:ascii="Times New Roman" w:eastAsia="Times New Roman" w:hAnsi="Times New Roman" w:cs="Times New Roman"/>
          <w:b/>
          <w:i/>
          <w:kern w:val="0"/>
          <w:sz w:val="24"/>
          <w:szCs w:val="24"/>
          <w:lang w:eastAsia="ru-RU"/>
          <w14:ligatures w14:val="none"/>
        </w:rPr>
        <w:t>Introduction.</w:t>
      </w:r>
      <w:r w:rsidRPr="00B44B71">
        <w:rPr>
          <w:rFonts w:ascii="Times New Roman" w:eastAsia="Times New Roman" w:hAnsi="Times New Roman" w:cs="Times New Roman"/>
          <w:kern w:val="0"/>
          <w:sz w:val="24"/>
          <w:szCs w:val="24"/>
          <w:lang w:eastAsia="ru-RU"/>
          <w14:ligatures w14:val="none"/>
        </w:rPr>
        <w:t xml:space="preserve"> </w:t>
      </w:r>
      <w:r w:rsidRPr="00B44B71">
        <w:rPr>
          <w:rFonts w:ascii="Times New Roman" w:eastAsia="Times New Roman" w:hAnsi="Times New Roman" w:cs="Times New Roman"/>
          <w:i/>
          <w:kern w:val="0"/>
          <w:sz w:val="24"/>
          <w:szCs w:val="24"/>
          <w:lang w:eastAsia="ru-RU"/>
          <w14:ligatures w14:val="none"/>
        </w:rPr>
        <w:t>Despite the regulatory introduction of logistical approaches in the security and defence sector, the training of logistics officers within the State Border Guard Service of Ukraine does not fully meet the modern requirements of combat operations and functioning within the Defence Forces’ integrated logistics system. This is evident in the gap between theoretical training models and the practical needs of units, as well as in institutional and terminological inconsistencies with the logistics support system of the Armed Forces of Ukraine.</w:t>
      </w:r>
    </w:p>
    <w:p w14:paraId="40400701"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i/>
          <w:kern w:val="0"/>
          <w:sz w:val="24"/>
          <w:szCs w:val="24"/>
          <w:lang w:eastAsia="ru-RU"/>
          <w14:ligatures w14:val="none"/>
        </w:rPr>
      </w:pPr>
      <w:r w:rsidRPr="00B44B71">
        <w:rPr>
          <w:rFonts w:ascii="Times New Roman" w:eastAsia="Times New Roman" w:hAnsi="Times New Roman" w:cs="Times New Roman"/>
          <w:b/>
          <w:bCs/>
          <w:i/>
          <w:kern w:val="0"/>
          <w:sz w:val="24"/>
          <w:szCs w:val="24"/>
          <w:lang w:eastAsia="ru-RU"/>
          <w14:ligatures w14:val="none"/>
        </w:rPr>
        <w:t>Purpose.</w:t>
      </w:r>
      <w:r w:rsidRPr="00B44B71">
        <w:rPr>
          <w:rFonts w:ascii="Times New Roman" w:eastAsia="Times New Roman" w:hAnsi="Times New Roman" w:cs="Times New Roman"/>
          <w:i/>
          <w:kern w:val="0"/>
          <w:sz w:val="24"/>
          <w:szCs w:val="24"/>
          <w:lang w:eastAsia="ru-RU"/>
          <w14:ligatures w14:val="none"/>
        </w:rPr>
        <w:t xml:space="preserve"> The aim of this article is to justify the need to improve the training content for logistics officers of the State Border Guard Service of Ukraine, taking into account modern combat conditions, the implementation of logistics support standards for the Defence Forces, and integration into a unified information space.</w:t>
      </w:r>
    </w:p>
    <w:p w14:paraId="73597DDD"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i/>
          <w:kern w:val="0"/>
          <w:sz w:val="24"/>
          <w:szCs w:val="24"/>
          <w:lang w:eastAsia="ru-RU"/>
          <w14:ligatures w14:val="none"/>
        </w:rPr>
      </w:pPr>
      <w:r w:rsidRPr="00B44B71">
        <w:rPr>
          <w:rFonts w:ascii="Times New Roman" w:eastAsia="Times New Roman" w:hAnsi="Times New Roman" w:cs="Times New Roman"/>
          <w:b/>
          <w:bCs/>
          <w:i/>
          <w:kern w:val="0"/>
          <w:sz w:val="24"/>
          <w:szCs w:val="24"/>
          <w:lang w:eastAsia="ru-RU"/>
          <w14:ligatures w14:val="none"/>
        </w:rPr>
        <w:t>Methods.</w:t>
      </w:r>
      <w:r w:rsidRPr="00B44B71">
        <w:rPr>
          <w:rFonts w:ascii="Times New Roman" w:eastAsia="Times New Roman" w:hAnsi="Times New Roman" w:cs="Times New Roman"/>
          <w:i/>
          <w:kern w:val="0"/>
          <w:sz w:val="24"/>
          <w:szCs w:val="24"/>
          <w:lang w:eastAsia="ru-RU"/>
          <w14:ligatures w14:val="none"/>
        </w:rPr>
        <w:t xml:space="preserve"> To achieve the set objective, a range of general and specialised research methods were employed, including: the analysis and synthesis of academic sources, comparative and retrospective analysis, the generalisation of combat experience, as well as pedagogical observation and expert evaluation.</w:t>
      </w:r>
    </w:p>
    <w:p w14:paraId="4B3E7295"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i/>
          <w:kern w:val="0"/>
          <w:sz w:val="24"/>
          <w:szCs w:val="24"/>
          <w:lang w:eastAsia="ru-RU"/>
          <w14:ligatures w14:val="none"/>
        </w:rPr>
      </w:pPr>
      <w:r w:rsidRPr="00B44B71">
        <w:rPr>
          <w:rFonts w:ascii="Times New Roman" w:eastAsia="Times New Roman" w:hAnsi="Times New Roman" w:cs="Times New Roman"/>
          <w:b/>
          <w:bCs/>
          <w:i/>
          <w:kern w:val="0"/>
          <w:sz w:val="24"/>
          <w:szCs w:val="24"/>
          <w:lang w:eastAsia="ru-RU"/>
          <w14:ligatures w14:val="none"/>
        </w:rPr>
        <w:t>Results.</w:t>
      </w:r>
      <w:r w:rsidRPr="00B44B71">
        <w:rPr>
          <w:rFonts w:ascii="Times New Roman" w:eastAsia="Times New Roman" w:hAnsi="Times New Roman" w:cs="Times New Roman"/>
          <w:i/>
          <w:kern w:val="0"/>
          <w:sz w:val="24"/>
          <w:szCs w:val="24"/>
          <w:lang w:eastAsia="ru-RU"/>
          <w14:ligatures w14:val="none"/>
        </w:rPr>
        <w:t xml:space="preserve"> It has been established that there is a need to transition from the traditional model of logistical support to an integrated logistics management system in the context of modern combat operations. It has been demonstrated that the effective training of logistics officers requires the modernisation of the educational process, based on practice-oriented learning, digital technologies and the development of resource management competencies within the unified logistics space of the Defence Forces.</w:t>
      </w:r>
    </w:p>
    <w:p w14:paraId="35BE9C2A"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i/>
          <w:kern w:val="0"/>
          <w:sz w:val="24"/>
          <w:szCs w:val="24"/>
          <w:lang w:eastAsia="ru-RU"/>
          <w14:ligatures w14:val="none"/>
        </w:rPr>
      </w:pPr>
      <w:r w:rsidRPr="00B44B71">
        <w:rPr>
          <w:rFonts w:ascii="Times New Roman" w:eastAsia="Times New Roman" w:hAnsi="Times New Roman" w:cs="Times New Roman"/>
          <w:b/>
          <w:bCs/>
          <w:i/>
          <w:kern w:val="0"/>
          <w:sz w:val="24"/>
          <w:szCs w:val="24"/>
          <w:lang w:eastAsia="ru-RU"/>
          <w14:ligatures w14:val="none"/>
        </w:rPr>
        <w:t>Originality.</w:t>
      </w:r>
      <w:r w:rsidRPr="00B44B71">
        <w:rPr>
          <w:rFonts w:ascii="Times New Roman" w:eastAsia="Times New Roman" w:hAnsi="Times New Roman" w:cs="Times New Roman"/>
          <w:i/>
          <w:kern w:val="0"/>
          <w:sz w:val="24"/>
          <w:szCs w:val="24"/>
          <w:lang w:eastAsia="ru-RU"/>
          <w14:ligatures w14:val="none"/>
        </w:rPr>
        <w:t xml:space="preserve"> The scientific novelty lies in the justification of an approach to training State Border Guard Service logistics officers as systematic resource managers and in refining the content of their training to take account of NATO standards, digitalisation and modern combat conditions. The practical significance of the results lies in the possibility of using them to modernise educational and professional programmes, develop academic disciplines and improve the effectiveness of </w:t>
      </w:r>
      <w:r w:rsidRPr="00B44B71">
        <w:rPr>
          <w:rFonts w:ascii="Times New Roman" w:eastAsia="Times New Roman" w:hAnsi="Times New Roman" w:cs="Times New Roman"/>
          <w:i/>
          <w:kern w:val="0"/>
          <w:sz w:val="24"/>
          <w:szCs w:val="24"/>
          <w:lang w:eastAsia="ru-RU"/>
          <w14:ligatures w14:val="none"/>
        </w:rPr>
        <w:lastRenderedPageBreak/>
        <w:t>logistical support for State Border Guard Service units in the context of integration into the unified logistical space of the Defence Forces.</w:t>
      </w:r>
    </w:p>
    <w:p w14:paraId="6C79CF85"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i/>
          <w:kern w:val="0"/>
          <w:sz w:val="24"/>
          <w:szCs w:val="24"/>
          <w:lang w:eastAsia="ru-RU"/>
          <w14:ligatures w14:val="none"/>
        </w:rPr>
      </w:pPr>
      <w:r w:rsidRPr="00B44B71">
        <w:rPr>
          <w:rFonts w:ascii="Times New Roman" w:eastAsia="Times New Roman" w:hAnsi="Times New Roman" w:cs="Times New Roman"/>
          <w:b/>
          <w:bCs/>
          <w:i/>
          <w:kern w:val="0"/>
          <w:sz w:val="24"/>
          <w:szCs w:val="24"/>
          <w:lang w:eastAsia="ru-RU"/>
          <w14:ligatures w14:val="none"/>
        </w:rPr>
        <w:t>Conclusion.</w:t>
      </w:r>
      <w:r w:rsidRPr="00B44B71">
        <w:rPr>
          <w:rFonts w:ascii="Times New Roman" w:eastAsia="Times New Roman" w:hAnsi="Times New Roman" w:cs="Times New Roman"/>
          <w:i/>
          <w:kern w:val="0"/>
          <w:sz w:val="24"/>
          <w:szCs w:val="24"/>
          <w:lang w:eastAsia="ru-RU"/>
          <w14:ligatures w14:val="none"/>
        </w:rPr>
        <w:t xml:space="preserve"> It has been established that there is a need to transition to a modern model of logistical support and to modernise the training of State Border Guard Service officers, with a focus on integration into the Defence Forces’ unified logistical space. Prospects for further research lie in the development of a conceptual model for the training of logistics officers, the improvement of teaching materials, and the introduction of digital and robotic technologies into the educational process.</w:t>
      </w:r>
    </w:p>
    <w:p w14:paraId="181B2079"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i/>
          <w:kern w:val="0"/>
          <w:sz w:val="24"/>
          <w:szCs w:val="24"/>
          <w:lang w:val="uk-UA" w:eastAsia="ru-RU"/>
          <w14:ligatures w14:val="none"/>
        </w:rPr>
      </w:pPr>
      <w:r w:rsidRPr="00B44B71">
        <w:rPr>
          <w:rFonts w:ascii="Times New Roman" w:eastAsia="Times New Roman" w:hAnsi="Times New Roman" w:cs="Times New Roman"/>
          <w:b/>
          <w:bCs/>
          <w:i/>
          <w:kern w:val="0"/>
          <w:sz w:val="24"/>
          <w:szCs w:val="24"/>
          <w:lang w:eastAsia="ru-RU"/>
          <w14:ligatures w14:val="none"/>
        </w:rPr>
        <w:t>Keywords:</w:t>
      </w:r>
      <w:r w:rsidRPr="00B44B71">
        <w:rPr>
          <w:rFonts w:ascii="Times New Roman" w:eastAsia="Times New Roman" w:hAnsi="Times New Roman" w:cs="Times New Roman"/>
          <w:i/>
          <w:kern w:val="0"/>
          <w:sz w:val="24"/>
          <w:szCs w:val="24"/>
          <w:lang w:eastAsia="ru-RU"/>
          <w14:ligatures w14:val="none"/>
        </w:rPr>
        <w:t xml:space="preserve"> higher education students; National Academy of the State Border Guard Service of Ukraine; vocational training programme; training; logistics; rear support; combat operations.</w:t>
      </w:r>
    </w:p>
    <w:p w14:paraId="63B97EDF"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i/>
          <w:kern w:val="0"/>
          <w:sz w:val="24"/>
          <w:szCs w:val="24"/>
          <w:lang w:val="uk-UA" w:eastAsia="ru-RU"/>
          <w14:ligatures w14:val="none"/>
        </w:rPr>
      </w:pPr>
    </w:p>
    <w:p w14:paraId="5E4524B3"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надійшов до редакції 11.01.2026</w:t>
      </w:r>
    </w:p>
    <w:p w14:paraId="1D9DD241"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прийнято до друку після рецензування 06.04.2026</w:t>
      </w:r>
    </w:p>
    <w:p w14:paraId="4A97B851"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Дата публікації 25.05.2026</w:t>
      </w:r>
    </w:p>
    <w:p w14:paraId="3986D7D0"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i/>
          <w:kern w:val="0"/>
          <w:sz w:val="24"/>
          <w:szCs w:val="24"/>
          <w:lang w:val="uk-UA" w:eastAsia="ru-RU"/>
          <w14:ligatures w14:val="none"/>
        </w:rPr>
      </w:pPr>
    </w:p>
    <w:p w14:paraId="6917FFE9" w14:textId="568E6C48" w:rsidR="00875829" w:rsidRPr="00E967C0" w:rsidRDefault="00E967C0" w:rsidP="00E967C0">
      <w:pPr>
        <w:tabs>
          <w:tab w:val="left" w:pos="9638"/>
        </w:tabs>
        <w:spacing w:after="0" w:line="240" w:lineRule="auto"/>
        <w:jc w:val="both"/>
        <w:rPr>
          <w:rFonts w:ascii="Times New Roman" w:eastAsia="Times New Roman" w:hAnsi="Times New Roman" w:cs="Times New Roman"/>
          <w:b/>
          <w:color w:val="000000"/>
          <w:spacing w:val="8"/>
          <w:kern w:val="0"/>
          <w:sz w:val="24"/>
          <w:szCs w:val="24"/>
          <w:lang w:val="uk-UA" w:eastAsia="ru-RU"/>
          <w14:ligatures w14:val="none"/>
        </w:rPr>
      </w:pPr>
      <w:r>
        <w:rPr>
          <w:rFonts w:ascii="Times New Roman" w:eastAsia="Times New Roman" w:hAnsi="Times New Roman" w:cs="Times New Roman"/>
          <w:b/>
          <w:color w:val="000000"/>
          <w:spacing w:val="8"/>
          <w:kern w:val="0"/>
          <w:sz w:val="24"/>
          <w:szCs w:val="24"/>
          <w:lang w:val="uk-UA" w:eastAsia="ru-RU"/>
          <w14:ligatures w14:val="none"/>
        </w:rPr>
        <w:br w:type="column"/>
      </w:r>
      <w:r w:rsidR="00875829" w:rsidRPr="00875829">
        <w:rPr>
          <w:rFonts w:ascii="Times New Roman" w:eastAsia="Times New Roman" w:hAnsi="Times New Roman" w:cs="Times New Roman"/>
          <w:kern w:val="0"/>
          <w:sz w:val="24"/>
          <w:szCs w:val="24"/>
          <w:lang w:val="uk-UA" w:eastAsia="ru-RU"/>
          <w14:ligatures w14:val="none"/>
        </w:rPr>
        <w:lastRenderedPageBreak/>
        <w:t>ISSN:2617-1775</w:t>
      </w:r>
      <w:r w:rsidR="00875829" w:rsidRPr="00875829">
        <w:rPr>
          <w:rFonts w:ascii="Times New Roman" w:eastAsia="Calibri" w:hAnsi="Times New Roman" w:cs="Times New Roman"/>
          <w:b/>
          <w:kern w:val="0"/>
          <w:sz w:val="24"/>
          <w:szCs w:val="24"/>
          <w:lang w:val="uk-UA"/>
          <w14:ligatures w14:val="none"/>
        </w:rPr>
        <w:t xml:space="preserve">                                                                  </w:t>
      </w:r>
      <w:r w:rsidR="00875829">
        <w:rPr>
          <w:rFonts w:ascii="Times New Roman" w:eastAsia="Calibri" w:hAnsi="Times New Roman" w:cs="Times New Roman"/>
          <w:b/>
          <w:kern w:val="0"/>
          <w:sz w:val="24"/>
          <w:szCs w:val="24"/>
          <w:lang w:val="uk-UA"/>
          <w14:ligatures w14:val="none"/>
        </w:rPr>
        <w:t xml:space="preserve">   </w:t>
      </w:r>
      <w:r w:rsidR="006F3E56" w:rsidRPr="007B09E7">
        <w:rPr>
          <w:rFonts w:ascii="Times New Roman" w:eastAsia="Calibri" w:hAnsi="Times New Roman" w:cs="Times New Roman"/>
          <w:b/>
          <w:kern w:val="0"/>
          <w:sz w:val="24"/>
          <w:szCs w:val="24"/>
          <w:lang w:val="uk-UA"/>
          <w14:ligatures w14:val="none"/>
        </w:rPr>
        <w:t xml:space="preserve">                                   </w:t>
      </w:r>
      <w:r w:rsidR="00875829" w:rsidRPr="00875829">
        <w:rPr>
          <w:rFonts w:ascii="Times New Roman" w:eastAsia="Times New Roman" w:hAnsi="Times New Roman" w:cs="Times New Roman"/>
          <w:b/>
          <w:bCs/>
          <w:color w:val="000000"/>
          <w:kern w:val="0"/>
          <w:sz w:val="24"/>
          <w:szCs w:val="24"/>
          <w:lang w:val="uk-UA" w:eastAsia="uk-UA"/>
          <w14:ligatures w14:val="none"/>
        </w:rPr>
        <w:t>УДК</w:t>
      </w:r>
      <w:r w:rsidR="00875829" w:rsidRPr="00875829">
        <w:rPr>
          <w:rFonts w:ascii="Times New Roman" w:eastAsia="Times New Roman" w:hAnsi="Times New Roman" w:cs="Times New Roman"/>
          <w:b/>
          <w:color w:val="000000"/>
          <w:spacing w:val="8"/>
          <w:kern w:val="0"/>
          <w:sz w:val="24"/>
          <w:szCs w:val="24"/>
          <w:lang w:val="uk-UA" w:eastAsia="ru-RU"/>
          <w14:ligatures w14:val="none"/>
        </w:rPr>
        <w:t>378:355:796</w:t>
      </w:r>
      <w:r w:rsidR="00875829" w:rsidRPr="00875829">
        <w:rPr>
          <w:rFonts w:ascii="Times New Roman" w:eastAsia="Times New Roman" w:hAnsi="Times New Roman" w:cs="Times New Roman"/>
          <w:b/>
          <w:bCs/>
          <w:color w:val="000000"/>
          <w:kern w:val="0"/>
          <w:sz w:val="24"/>
          <w:szCs w:val="24"/>
          <w:lang w:val="uk-UA" w:eastAsia="uk-UA"/>
          <w14:ligatures w14:val="none"/>
        </w:rPr>
        <w:t xml:space="preserve"> </w:t>
      </w:r>
    </w:p>
    <w:p w14:paraId="233B438D" w14:textId="604A4D89" w:rsidR="00B44B71" w:rsidRPr="007B09E7" w:rsidRDefault="00875829" w:rsidP="00875829">
      <w:pPr>
        <w:tabs>
          <w:tab w:val="left" w:pos="9638"/>
        </w:tabs>
        <w:spacing w:after="0" w:line="240" w:lineRule="auto"/>
        <w:rPr>
          <w:rFonts w:ascii="Times New Roman" w:eastAsia="Times New Roman" w:hAnsi="Times New Roman" w:cs="Times New Roman"/>
          <w:bCs/>
          <w:smallCaps/>
          <w:color w:val="000000"/>
          <w:kern w:val="0"/>
          <w:sz w:val="24"/>
          <w:szCs w:val="24"/>
          <w:lang w:val="uk-UA" w:eastAsia="ru-RU"/>
          <w14:ligatures w14:val="none"/>
        </w:rPr>
      </w:pPr>
      <w:r w:rsidRPr="00875829">
        <w:rPr>
          <w:rFonts w:ascii="Times New Roman" w:eastAsia="Times New Roman" w:hAnsi="Times New Roman" w:cs="Times New Roman"/>
          <w:kern w:val="0"/>
          <w:sz w:val="24"/>
          <w:szCs w:val="24"/>
          <w:lang w:val="uk-UA" w:eastAsia="ru-RU"/>
          <w14:ligatures w14:val="none"/>
        </w:rPr>
        <w:t xml:space="preserve">ISSN: 2617-1783 (online)                                                 </w:t>
      </w:r>
      <w:r w:rsidRPr="00875829">
        <w:rPr>
          <w:rFonts w:ascii="Times New Roman" w:eastAsia="Times New Roman" w:hAnsi="Times New Roman" w:cs="Times New Roman"/>
          <w:bCs/>
          <w:smallCaps/>
          <w:color w:val="000000"/>
          <w:kern w:val="0"/>
          <w:sz w:val="24"/>
          <w:szCs w:val="24"/>
          <w:lang w:eastAsia="ru-RU"/>
          <w14:ligatures w14:val="none"/>
        </w:rPr>
        <w:t>DOI</w:t>
      </w:r>
      <w:r w:rsidRPr="00875829">
        <w:rPr>
          <w:rFonts w:ascii="Times New Roman" w:eastAsia="Times New Roman" w:hAnsi="Times New Roman" w:cs="Times New Roman"/>
          <w:bCs/>
          <w:smallCaps/>
          <w:color w:val="000000"/>
          <w:kern w:val="0"/>
          <w:sz w:val="24"/>
          <w:szCs w:val="24"/>
          <w:lang w:val="uk-UA" w:eastAsia="ru-RU"/>
          <w14:ligatures w14:val="none"/>
        </w:rPr>
        <w:t>: 10.33099/2617-1775/2026-01/</w:t>
      </w:r>
      <w:r w:rsidR="006F3E56" w:rsidRPr="007B09E7">
        <w:rPr>
          <w:rFonts w:ascii="Times New Roman" w:eastAsia="Times New Roman" w:hAnsi="Times New Roman" w:cs="Times New Roman"/>
          <w:bCs/>
          <w:smallCaps/>
          <w:color w:val="000000"/>
          <w:kern w:val="0"/>
          <w:sz w:val="24"/>
          <w:szCs w:val="24"/>
          <w:lang w:val="uk-UA" w:eastAsia="ru-RU"/>
          <w14:ligatures w14:val="none"/>
        </w:rPr>
        <w:t>276-290</w:t>
      </w:r>
    </w:p>
    <w:p w14:paraId="50470B66" w14:textId="77777777" w:rsidR="00875829" w:rsidRPr="00875829" w:rsidRDefault="00875829" w:rsidP="00875829">
      <w:pPr>
        <w:tabs>
          <w:tab w:val="left" w:pos="9638"/>
        </w:tabs>
        <w:spacing w:after="0" w:line="240" w:lineRule="auto"/>
        <w:rPr>
          <w:rFonts w:ascii="Times New Roman" w:eastAsia="Times New Roman" w:hAnsi="Times New Roman" w:cs="Times New Roman"/>
          <w:color w:val="000000"/>
          <w:kern w:val="0"/>
          <w:sz w:val="24"/>
          <w:szCs w:val="24"/>
          <w:lang w:val="uk-UA" w:eastAsia="ru-RU"/>
          <w14:ligatures w14:val="none"/>
        </w:rPr>
      </w:pPr>
    </w:p>
    <w:p w14:paraId="339B2CD3" w14:textId="77777777" w:rsidR="00B44B71" w:rsidRPr="00875829" w:rsidRDefault="00B44B71" w:rsidP="00023291">
      <w:pPr>
        <w:tabs>
          <w:tab w:val="left" w:pos="9638"/>
        </w:tabs>
        <w:spacing w:after="0" w:line="240" w:lineRule="auto"/>
        <w:jc w:val="right"/>
        <w:rPr>
          <w:rFonts w:ascii="Times New Roman" w:eastAsia="Times New Roman" w:hAnsi="Times New Roman" w:cs="Times New Roman"/>
          <w:bCs/>
          <w:color w:val="000000"/>
          <w:kern w:val="0"/>
          <w:sz w:val="24"/>
          <w:szCs w:val="24"/>
          <w:lang w:val="uk-UA" w:eastAsia="ru-RU"/>
          <w14:ligatures w14:val="none"/>
        </w:rPr>
      </w:pPr>
      <w:r w:rsidRPr="00875829">
        <w:rPr>
          <w:rFonts w:ascii="Times New Roman" w:eastAsia="Times New Roman" w:hAnsi="Times New Roman" w:cs="Times New Roman"/>
          <w:b/>
          <w:bCs/>
          <w:color w:val="000000"/>
          <w:kern w:val="0"/>
          <w:sz w:val="24"/>
          <w:szCs w:val="24"/>
          <w:lang w:val="uk-UA" w:eastAsia="ru-RU"/>
          <w14:ligatures w14:val="none"/>
        </w:rPr>
        <w:t>Валентина Свистун,</w:t>
      </w:r>
      <w:r w:rsidRPr="00875829">
        <w:rPr>
          <w:rFonts w:ascii="Times New Roman" w:eastAsia="Times New Roman" w:hAnsi="Times New Roman" w:cs="Times New Roman"/>
          <w:bCs/>
          <w:color w:val="000000"/>
          <w:kern w:val="0"/>
          <w:sz w:val="24"/>
          <w:szCs w:val="24"/>
          <w:lang w:val="uk-UA" w:eastAsia="ru-RU"/>
          <w14:ligatures w14:val="none"/>
        </w:rPr>
        <w:t xml:space="preserve"> </w:t>
      </w:r>
    </w:p>
    <w:p w14:paraId="631361C2" w14:textId="77777777" w:rsidR="00B44B71" w:rsidRPr="00875829" w:rsidRDefault="00B44B71" w:rsidP="00023291">
      <w:pPr>
        <w:tabs>
          <w:tab w:val="left" w:pos="9638"/>
        </w:tabs>
        <w:spacing w:after="0" w:line="240" w:lineRule="auto"/>
        <w:jc w:val="right"/>
        <w:rPr>
          <w:rFonts w:ascii="Times New Roman" w:eastAsia="Times New Roman" w:hAnsi="Times New Roman" w:cs="Times New Roman"/>
          <w:bCs/>
          <w:color w:val="000000"/>
          <w:kern w:val="0"/>
          <w:sz w:val="24"/>
          <w:szCs w:val="24"/>
          <w:lang w:val="uk-UA" w:eastAsia="ru-RU"/>
          <w14:ligatures w14:val="none"/>
        </w:rPr>
      </w:pPr>
      <w:r w:rsidRPr="00875829">
        <w:rPr>
          <w:rFonts w:ascii="Times New Roman" w:eastAsia="Times New Roman" w:hAnsi="Times New Roman" w:cs="Times New Roman"/>
          <w:bCs/>
          <w:color w:val="000000"/>
          <w:kern w:val="0"/>
          <w:sz w:val="24"/>
          <w:szCs w:val="24"/>
          <w:lang w:val="uk-UA" w:eastAsia="ru-RU"/>
          <w14:ligatures w14:val="none"/>
        </w:rPr>
        <w:t xml:space="preserve">доктор педагогічних наук, професор </w:t>
      </w:r>
    </w:p>
    <w:p w14:paraId="799A37C6" w14:textId="0F3511DD" w:rsidR="00B44B71" w:rsidRPr="00875829" w:rsidRDefault="00B44B71" w:rsidP="00023291">
      <w:pPr>
        <w:tabs>
          <w:tab w:val="left" w:pos="9638"/>
        </w:tabs>
        <w:spacing w:after="0" w:line="240" w:lineRule="auto"/>
        <w:jc w:val="right"/>
        <w:rPr>
          <w:rFonts w:ascii="Times New Roman" w:eastAsia="Times New Roman" w:hAnsi="Times New Roman" w:cs="Times New Roman"/>
          <w:bCs/>
          <w:color w:val="000000"/>
          <w:kern w:val="0"/>
          <w:sz w:val="24"/>
          <w:szCs w:val="24"/>
          <w:lang w:val="uk-UA" w:eastAsia="ru-RU"/>
          <w14:ligatures w14:val="none"/>
        </w:rPr>
      </w:pPr>
      <w:r w:rsidRPr="00875829">
        <w:rPr>
          <w:rFonts w:ascii="Times New Roman" w:eastAsia="Times New Roman" w:hAnsi="Times New Roman" w:cs="Times New Roman"/>
          <w:bCs/>
          <w:color w:val="000000"/>
          <w:kern w:val="0"/>
          <w:sz w:val="24"/>
          <w:szCs w:val="24"/>
          <w:lang w:val="uk-UA" w:eastAsia="ru-RU"/>
          <w14:ligatures w14:val="none"/>
        </w:rPr>
        <w:t xml:space="preserve">Національного університету оборони України, м. Київ </w:t>
      </w:r>
    </w:p>
    <w:p w14:paraId="2C5AA124" w14:textId="77777777" w:rsidR="00B44B71" w:rsidRPr="00875829" w:rsidRDefault="00B44B71" w:rsidP="00023291">
      <w:pPr>
        <w:tabs>
          <w:tab w:val="left" w:pos="9638"/>
        </w:tabs>
        <w:spacing w:after="0" w:line="240" w:lineRule="auto"/>
        <w:jc w:val="right"/>
        <w:rPr>
          <w:rFonts w:ascii="Times New Roman" w:eastAsia="Times New Roman" w:hAnsi="Times New Roman" w:cs="Times New Roman"/>
          <w:bCs/>
          <w:color w:val="000000"/>
          <w:kern w:val="0"/>
          <w:sz w:val="24"/>
          <w:szCs w:val="24"/>
          <w:u w:val="single"/>
          <w:lang w:val="uk-UA" w:eastAsia="ru-RU"/>
          <w14:ligatures w14:val="none"/>
        </w:rPr>
      </w:pPr>
      <w:hyperlink r:id="rId354" w:history="1">
        <w:r w:rsidRPr="00875829">
          <w:rPr>
            <w:rFonts w:ascii="Times New Roman" w:eastAsia="Times New Roman" w:hAnsi="Times New Roman" w:cs="Times New Roman"/>
            <w:bCs/>
            <w:color w:val="000000"/>
            <w:kern w:val="0"/>
            <w:sz w:val="24"/>
            <w:szCs w:val="24"/>
            <w:u w:val="single"/>
            <w:lang w:val="uk-UA" w:eastAsia="ru-RU"/>
            <w14:ligatures w14:val="none"/>
          </w:rPr>
          <w:t>https://orcid.org/0000-0002-7934-023X</w:t>
        </w:r>
      </w:hyperlink>
    </w:p>
    <w:p w14:paraId="2BE49F72" w14:textId="77777777" w:rsidR="00B44B71" w:rsidRPr="00875829" w:rsidRDefault="00B44B71" w:rsidP="00023291">
      <w:pPr>
        <w:tabs>
          <w:tab w:val="left" w:pos="9638"/>
        </w:tabs>
        <w:spacing w:after="0" w:line="240" w:lineRule="auto"/>
        <w:jc w:val="right"/>
        <w:rPr>
          <w:rFonts w:ascii="Times New Roman" w:eastAsia="Times New Roman" w:hAnsi="Times New Roman" w:cs="Times New Roman"/>
          <w:bCs/>
          <w:color w:val="000000"/>
          <w:kern w:val="0"/>
          <w:sz w:val="24"/>
          <w:szCs w:val="24"/>
          <w:lang w:val="uk-UA" w:eastAsia="ru-RU"/>
          <w14:ligatures w14:val="none"/>
        </w:rPr>
      </w:pPr>
      <w:r w:rsidRPr="00875829">
        <w:rPr>
          <w:rFonts w:ascii="Times New Roman" w:eastAsia="Times New Roman" w:hAnsi="Times New Roman" w:cs="Times New Roman"/>
          <w:b/>
          <w:bCs/>
          <w:color w:val="000000"/>
          <w:kern w:val="0"/>
          <w:sz w:val="24"/>
          <w:szCs w:val="24"/>
          <w:lang w:val="uk-UA" w:eastAsia="ru-RU"/>
          <w14:ligatures w14:val="none"/>
        </w:rPr>
        <w:t>Юрій Фіногенов,</w:t>
      </w:r>
      <w:r w:rsidRPr="00875829">
        <w:rPr>
          <w:rFonts w:ascii="Times New Roman" w:eastAsia="Times New Roman" w:hAnsi="Times New Roman" w:cs="Times New Roman"/>
          <w:bCs/>
          <w:color w:val="000000"/>
          <w:kern w:val="0"/>
          <w:sz w:val="24"/>
          <w:szCs w:val="24"/>
          <w:lang w:val="uk-UA" w:eastAsia="ru-RU"/>
          <w14:ligatures w14:val="none"/>
        </w:rPr>
        <w:t xml:space="preserve"> </w:t>
      </w:r>
    </w:p>
    <w:p w14:paraId="7CC5A92F" w14:textId="77777777" w:rsidR="00B44B71" w:rsidRPr="00875829" w:rsidRDefault="00B44B71" w:rsidP="00023291">
      <w:pPr>
        <w:tabs>
          <w:tab w:val="left" w:pos="9638"/>
        </w:tabs>
        <w:spacing w:after="0" w:line="240" w:lineRule="auto"/>
        <w:jc w:val="right"/>
        <w:rPr>
          <w:rFonts w:ascii="Times New Roman" w:eastAsia="Times New Roman" w:hAnsi="Times New Roman" w:cs="Times New Roman"/>
          <w:bCs/>
          <w:color w:val="000000"/>
          <w:kern w:val="0"/>
          <w:sz w:val="24"/>
          <w:szCs w:val="24"/>
          <w:lang w:val="uk-UA" w:eastAsia="ru-RU"/>
          <w14:ligatures w14:val="none"/>
        </w:rPr>
      </w:pPr>
      <w:r w:rsidRPr="00875829">
        <w:rPr>
          <w:rFonts w:ascii="Times New Roman" w:eastAsia="Times New Roman" w:hAnsi="Times New Roman" w:cs="Times New Roman"/>
          <w:bCs/>
          <w:color w:val="000000"/>
          <w:kern w:val="0"/>
          <w:sz w:val="24"/>
          <w:szCs w:val="24"/>
          <w:lang w:val="uk-UA" w:eastAsia="ru-RU"/>
          <w14:ligatures w14:val="none"/>
        </w:rPr>
        <w:t>кандидат педагогічних наук, професор</w:t>
      </w:r>
    </w:p>
    <w:p w14:paraId="45F868EF" w14:textId="3673FFB0" w:rsidR="00B44B71" w:rsidRPr="00875829" w:rsidRDefault="00B44B71" w:rsidP="00023291">
      <w:pPr>
        <w:tabs>
          <w:tab w:val="left" w:pos="9638"/>
        </w:tabs>
        <w:spacing w:after="0" w:line="240" w:lineRule="auto"/>
        <w:jc w:val="right"/>
        <w:rPr>
          <w:rFonts w:ascii="Times New Roman" w:eastAsia="Times New Roman" w:hAnsi="Times New Roman" w:cs="Times New Roman"/>
          <w:bCs/>
          <w:color w:val="000000"/>
          <w:kern w:val="0"/>
          <w:sz w:val="24"/>
          <w:szCs w:val="24"/>
          <w:lang w:val="uk-UA" w:eastAsia="ru-RU"/>
          <w14:ligatures w14:val="none"/>
        </w:rPr>
      </w:pPr>
      <w:r w:rsidRPr="00875829">
        <w:rPr>
          <w:rFonts w:ascii="Times New Roman" w:eastAsia="Times New Roman" w:hAnsi="Times New Roman" w:cs="Times New Roman"/>
          <w:bCs/>
          <w:color w:val="000000"/>
          <w:kern w:val="0"/>
          <w:sz w:val="24"/>
          <w:szCs w:val="24"/>
          <w:lang w:val="uk-UA" w:eastAsia="ru-RU"/>
          <w14:ligatures w14:val="none"/>
        </w:rPr>
        <w:t xml:space="preserve">  Національного університету оборони України, м. Київ</w:t>
      </w:r>
    </w:p>
    <w:p w14:paraId="65DE7236" w14:textId="3EEC6E2C" w:rsidR="00B44B71" w:rsidRPr="00875829" w:rsidRDefault="00B44B71" w:rsidP="00023291">
      <w:pPr>
        <w:tabs>
          <w:tab w:val="left" w:pos="9638"/>
        </w:tabs>
        <w:spacing w:after="0" w:line="240" w:lineRule="auto"/>
        <w:jc w:val="right"/>
        <w:rPr>
          <w:rFonts w:ascii="Times New Roman" w:eastAsia="Times New Roman" w:hAnsi="Times New Roman" w:cs="Times New Roman"/>
          <w:bCs/>
          <w:color w:val="000000"/>
          <w:kern w:val="0"/>
          <w:sz w:val="24"/>
          <w:szCs w:val="24"/>
          <w:u w:val="single"/>
          <w:lang w:val="uk-UA" w:eastAsia="ru-RU"/>
          <w14:ligatures w14:val="none"/>
        </w:rPr>
      </w:pPr>
      <w:r w:rsidRPr="00875829">
        <w:rPr>
          <w:rFonts w:ascii="Times New Roman" w:eastAsia="Times New Roman" w:hAnsi="Times New Roman" w:cs="Times New Roman"/>
          <w:bCs/>
          <w:color w:val="000000"/>
          <w:kern w:val="0"/>
          <w:sz w:val="24"/>
          <w:szCs w:val="24"/>
          <w:lang w:val="uk-UA" w:eastAsia="ru-RU"/>
          <w14:ligatures w14:val="none"/>
        </w:rPr>
        <w:t xml:space="preserve"> </w:t>
      </w:r>
      <w:hyperlink r:id="rId355" w:history="1">
        <w:r w:rsidR="00B8709F" w:rsidRPr="00875829">
          <w:rPr>
            <w:rStyle w:val="Hyperlink"/>
            <w:rFonts w:ascii="Times New Roman" w:eastAsia="Times New Roman" w:hAnsi="Times New Roman"/>
            <w:bCs/>
            <w:kern w:val="0"/>
            <w:sz w:val="24"/>
            <w:szCs w:val="24"/>
            <w:lang w:val="uk-UA" w:eastAsia="ru-RU"/>
            <w14:ligatures w14:val="none"/>
          </w:rPr>
          <w:t>https://orcid.org/0009-0005-3993-0664</w:t>
        </w:r>
      </w:hyperlink>
    </w:p>
    <w:p w14:paraId="635475B0" w14:textId="77777777" w:rsidR="00B8709F" w:rsidRPr="00875829" w:rsidRDefault="00B8709F" w:rsidP="00023291">
      <w:pPr>
        <w:tabs>
          <w:tab w:val="left" w:pos="993"/>
          <w:tab w:val="left" w:pos="9638"/>
        </w:tabs>
        <w:spacing w:after="0" w:line="240" w:lineRule="auto"/>
        <w:jc w:val="right"/>
        <w:rPr>
          <w:rFonts w:ascii="Times New Roman" w:eastAsia="Calibri" w:hAnsi="Times New Roman" w:cs="Times New Roman"/>
          <w:kern w:val="0"/>
          <w:sz w:val="24"/>
          <w:szCs w:val="24"/>
          <w:lang w:val="uk-UA"/>
          <w14:ligatures w14:val="none"/>
        </w:rPr>
      </w:pPr>
    </w:p>
    <w:p w14:paraId="55539B01" w14:textId="77777777" w:rsidR="00B44B71" w:rsidRPr="00875829" w:rsidRDefault="00B44B71" w:rsidP="00023291">
      <w:pPr>
        <w:widowControl w:val="0"/>
        <w:tabs>
          <w:tab w:val="left" w:pos="9638"/>
        </w:tabs>
        <w:spacing w:after="0" w:line="240" w:lineRule="auto"/>
        <w:jc w:val="center"/>
        <w:rPr>
          <w:rFonts w:ascii="Times New Roman" w:eastAsia="Times New Roman" w:hAnsi="Times New Roman" w:cs="Times New Roman"/>
          <w:b/>
          <w:color w:val="000000"/>
          <w:kern w:val="0"/>
          <w:sz w:val="24"/>
          <w:szCs w:val="24"/>
          <w:lang w:val="uk-UA" w:eastAsia="ru-RU"/>
          <w14:ligatures w14:val="none"/>
        </w:rPr>
      </w:pPr>
      <w:r w:rsidRPr="00875829">
        <w:rPr>
          <w:rFonts w:ascii="Times New Roman" w:eastAsia="Times New Roman" w:hAnsi="Times New Roman" w:cs="Times New Roman"/>
          <w:b/>
          <w:color w:val="000000"/>
          <w:kern w:val="0"/>
          <w:sz w:val="24"/>
          <w:szCs w:val="24"/>
          <w:lang w:val="uk-UA" w:eastAsia="ru-RU"/>
          <w14:ligatures w14:val="none"/>
        </w:rPr>
        <w:t>ПЕДАГОГІЧНІ УМОВИ ФОРМУВАННЯ ПРОФЕСІЙНОЇ КОМПЕТЕНТНОСТІ МАЙБУТНІХ ОФІЦЕРІВ – ФАХІВЦІВ З ФІЗИЧНОЇ КУЛЬТУРИ І СПОРТУ ЗБРОЙНИХ СИЛ УКРАЇНИ</w:t>
      </w:r>
    </w:p>
    <w:p w14:paraId="036E67B5" w14:textId="77777777" w:rsidR="00B44B71" w:rsidRPr="00B44B71" w:rsidRDefault="00B44B71" w:rsidP="00023291">
      <w:pPr>
        <w:widowControl w:val="0"/>
        <w:tabs>
          <w:tab w:val="left" w:pos="9638"/>
        </w:tabs>
        <w:spacing w:after="0" w:line="240" w:lineRule="auto"/>
        <w:jc w:val="center"/>
        <w:rPr>
          <w:rFonts w:ascii="Times New Roman" w:eastAsia="Times New Roman" w:hAnsi="Times New Roman" w:cs="Times New Roman"/>
          <w:b/>
          <w:color w:val="000000"/>
          <w:kern w:val="0"/>
          <w:sz w:val="28"/>
          <w:szCs w:val="28"/>
          <w:lang w:val="uk-UA" w:eastAsia="ru-RU"/>
          <w14:ligatures w14:val="none"/>
        </w:rPr>
      </w:pPr>
    </w:p>
    <w:p w14:paraId="3D8D4546"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i/>
          <w:color w:val="000000"/>
          <w:kern w:val="0"/>
          <w:sz w:val="24"/>
          <w:szCs w:val="24"/>
          <w:lang w:val="uk-UA" w:eastAsia="ru-RU"/>
          <w14:ligatures w14:val="none"/>
        </w:rPr>
      </w:pPr>
      <w:r w:rsidRPr="00B44B71">
        <w:rPr>
          <w:rFonts w:ascii="Times New Roman" w:eastAsia="Times New Roman" w:hAnsi="Times New Roman" w:cs="Times New Roman"/>
          <w:b/>
          <w:i/>
          <w:color w:val="000000"/>
          <w:kern w:val="0"/>
          <w:sz w:val="24"/>
          <w:szCs w:val="24"/>
          <w:lang w:val="uk-UA" w:eastAsia="ru-RU"/>
          <w14:ligatures w14:val="none"/>
        </w:rPr>
        <w:t xml:space="preserve">Анотація. </w:t>
      </w:r>
      <w:r w:rsidRPr="00B44B71">
        <w:rPr>
          <w:rFonts w:ascii="Times New Roman" w:eastAsia="Times New Roman" w:hAnsi="Times New Roman" w:cs="Times New Roman"/>
          <w:i/>
          <w:color w:val="000000"/>
          <w:kern w:val="0"/>
          <w:sz w:val="24"/>
          <w:szCs w:val="24"/>
          <w:lang w:val="uk-UA" w:eastAsia="ru-RU"/>
          <w14:ligatures w14:val="none"/>
        </w:rPr>
        <w:t>У статті здійснено ґрунтовний теоретичний аналіз сутності поняття «педагогічні умови» та обґрунтовано педагогічні умови формування професійної компетентності майбутніх офіцерів – фахівців з фізичної культури і спорту Збройних Сил України у системі вищих військових навчальних закладів. Актуальність дослідження зумовлена необхідністю підвищення якості професійної підготовки військових фахівців в умовах воєнного стану, модернізації системи військової освіти відповідно до стандартів НАТО, а також впровадження компетентнісного підходу, що орієнтує освітній процес на формування інтегрованих знань, умінь і професійно важливих якостей особистості офіцера.</w:t>
      </w:r>
    </w:p>
    <w:p w14:paraId="6FA762F2"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i/>
          <w:color w:val="000000"/>
          <w:kern w:val="0"/>
          <w:sz w:val="24"/>
          <w:szCs w:val="24"/>
          <w:lang w:val="uk-UA" w:eastAsia="ru-RU"/>
          <w14:ligatures w14:val="none"/>
        </w:rPr>
      </w:pPr>
      <w:r w:rsidRPr="00B44B71">
        <w:rPr>
          <w:rFonts w:ascii="Times New Roman" w:eastAsia="Times New Roman" w:hAnsi="Times New Roman" w:cs="Times New Roman"/>
          <w:i/>
          <w:color w:val="000000"/>
          <w:kern w:val="0"/>
          <w:sz w:val="24"/>
          <w:szCs w:val="24"/>
          <w:lang w:val="uk-UA" w:eastAsia="ru-RU"/>
          <w14:ligatures w14:val="none"/>
        </w:rPr>
        <w:t>У роботі використано комплекс взаємодоповнювальних методів дослідження, зокрема аналіз і узагальнення науково-педагогічної літератури, порівняння, систематизацію, індукцію та дедукцію, що дозволило визначити теоретико-методологічні засади досліджуваної проблеми. Для підвищення об’єктивності результатів застосовано метод експертного оцінювання із залученням групи висококваліфікованих фахівців у галузі фізичної підготовки і спорту. Результати експертного оцінювання оброблено з використанням коефіцієнта узгодженості Кендала (W=0,75) та критерію χ², що засвідчило достатній рівень узгодженості думок експертів і статистичну значущість отриманих даних.</w:t>
      </w:r>
    </w:p>
    <w:p w14:paraId="038BD9ED"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i/>
          <w:color w:val="000000"/>
          <w:kern w:val="0"/>
          <w:sz w:val="24"/>
          <w:szCs w:val="24"/>
          <w:lang w:val="uk-UA" w:eastAsia="ru-RU"/>
          <w14:ligatures w14:val="none"/>
        </w:rPr>
      </w:pPr>
      <w:r w:rsidRPr="00B44B71">
        <w:rPr>
          <w:rFonts w:ascii="Times New Roman" w:eastAsia="Times New Roman" w:hAnsi="Times New Roman" w:cs="Times New Roman"/>
          <w:i/>
          <w:color w:val="000000"/>
          <w:kern w:val="0"/>
          <w:sz w:val="24"/>
          <w:szCs w:val="24"/>
          <w:lang w:val="uk-UA" w:eastAsia="ru-RU"/>
          <w14:ligatures w14:val="none"/>
        </w:rPr>
        <w:t>За результатами дослідження визначено, систематизовано та науково обґрунтовано комплекс педагогічних умов формування професійної компетентності майбутніх офіцерів – фахівців з фізичної культури і спорту, зокрема: визначення об’єктивних критеріїв і показників оцінювання рівня її сформованості; забезпечення стійкого ціннісно-мотиваційного ставлення курсантів до майбутньої професійної діяльності; педагогічне моделювання процесу формування професійної компетентності; удосконалення змісту та методики професійно орієнтованої підготовки із урахуванням сучасних вимог бойової діяльності.</w:t>
      </w:r>
    </w:p>
    <w:p w14:paraId="2733FDE4"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i/>
          <w:color w:val="000000"/>
          <w:kern w:val="0"/>
          <w:sz w:val="24"/>
          <w:szCs w:val="24"/>
          <w:lang w:val="uk-UA" w:eastAsia="ru-RU"/>
          <w14:ligatures w14:val="none"/>
        </w:rPr>
      </w:pPr>
      <w:r w:rsidRPr="00B44B71">
        <w:rPr>
          <w:rFonts w:ascii="Times New Roman" w:eastAsia="Times New Roman" w:hAnsi="Times New Roman" w:cs="Times New Roman"/>
          <w:i/>
          <w:color w:val="000000"/>
          <w:kern w:val="0"/>
          <w:sz w:val="24"/>
          <w:szCs w:val="24"/>
          <w:lang w:val="uk-UA" w:eastAsia="ru-RU"/>
          <w14:ligatures w14:val="none"/>
        </w:rPr>
        <w:t>Практичне значення дослідження полягає у можливості впровадження обґрунтованих педагогічних умов у освітній процес вищих військових навчальних закладів з метою підвищення ефективності професійної підготовки майбутніх офіцерів та забезпечення їх готовності до виконання завдань за призначенням.</w:t>
      </w:r>
    </w:p>
    <w:p w14:paraId="109FCE6D"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bCs/>
          <w:i/>
          <w:iCs/>
          <w:color w:val="000000"/>
          <w:kern w:val="0"/>
          <w:sz w:val="24"/>
          <w:szCs w:val="24"/>
          <w:lang w:val="uk-UA" w:eastAsia="ru-RU"/>
          <w14:ligatures w14:val="none"/>
        </w:rPr>
      </w:pPr>
      <w:r w:rsidRPr="00B44B71">
        <w:rPr>
          <w:rFonts w:ascii="Times New Roman" w:eastAsia="Times New Roman" w:hAnsi="Times New Roman" w:cs="Times New Roman"/>
          <w:b/>
          <w:i/>
          <w:color w:val="000000"/>
          <w:kern w:val="0"/>
          <w:sz w:val="24"/>
          <w:szCs w:val="24"/>
          <w:lang w:val="uk-UA" w:eastAsia="ru-RU"/>
          <w14:ligatures w14:val="none"/>
        </w:rPr>
        <w:t xml:space="preserve">Ключові слова: </w:t>
      </w:r>
      <w:r w:rsidRPr="00B44B71">
        <w:rPr>
          <w:rFonts w:ascii="Times New Roman" w:eastAsia="Times New Roman" w:hAnsi="Times New Roman" w:cs="Times New Roman"/>
          <w:bCs/>
          <w:i/>
          <w:iCs/>
          <w:color w:val="000000"/>
          <w:kern w:val="0"/>
          <w:sz w:val="24"/>
          <w:szCs w:val="24"/>
          <w:lang w:val="uk-UA" w:eastAsia="ru-RU"/>
          <w14:ligatures w14:val="none"/>
        </w:rPr>
        <w:t>професійна компетентність, майбутні офіцери, фахівці з фізичної культури і спорту, педагогічні умови, військова освіта, експертне оцінювання.</w:t>
      </w:r>
    </w:p>
    <w:p w14:paraId="5DBEE0B8"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bCs/>
          <w:i/>
          <w:iCs/>
          <w:color w:val="000000"/>
          <w:kern w:val="0"/>
          <w:sz w:val="24"/>
          <w:szCs w:val="24"/>
          <w:lang w:val="uk-UA" w:eastAsia="ru-RU"/>
          <w14:ligatures w14:val="none"/>
        </w:rPr>
      </w:pPr>
    </w:p>
    <w:p w14:paraId="7EBFEABA"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b/>
          <w:color w:val="000000"/>
          <w:kern w:val="0"/>
          <w:sz w:val="24"/>
          <w:szCs w:val="24"/>
          <w:lang w:val="uk-UA" w:eastAsia="ru-RU"/>
          <w14:ligatures w14:val="none"/>
        </w:rPr>
      </w:pPr>
      <w:bookmarkStart w:id="40" w:name="_Hlk224310036"/>
      <w:r w:rsidRPr="00B44B71">
        <w:rPr>
          <w:rFonts w:ascii="Times New Roman" w:eastAsia="Times New Roman" w:hAnsi="Times New Roman" w:cs="Times New Roman"/>
          <w:b/>
          <w:color w:val="000000"/>
          <w:kern w:val="0"/>
          <w:sz w:val="24"/>
          <w:szCs w:val="24"/>
          <w:lang w:eastAsia="ru-RU"/>
          <w14:ligatures w14:val="none"/>
        </w:rPr>
        <w:t>Valentyna Svystun,</w:t>
      </w:r>
    </w:p>
    <w:p w14:paraId="239CD363"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b/>
          <w:color w:val="000000"/>
          <w:kern w:val="0"/>
          <w:sz w:val="24"/>
          <w:szCs w:val="24"/>
          <w:lang w:eastAsia="ru-RU"/>
          <w14:ligatures w14:val="none"/>
        </w:rPr>
        <w:t xml:space="preserve"> </w:t>
      </w:r>
      <w:r w:rsidRPr="00B44B71">
        <w:rPr>
          <w:rFonts w:ascii="Times New Roman" w:eastAsia="Times New Roman" w:hAnsi="Times New Roman" w:cs="Times New Roman"/>
          <w:color w:val="000000"/>
          <w:kern w:val="0"/>
          <w:sz w:val="24"/>
          <w:szCs w:val="24"/>
          <w:lang w:eastAsia="ru-RU"/>
          <w14:ligatures w14:val="none"/>
        </w:rPr>
        <w:t xml:space="preserve">Doctor of Pedagogical Sciences, Professor, </w:t>
      </w:r>
    </w:p>
    <w:p w14:paraId="52665382" w14:textId="24E9EA5C" w:rsidR="00B44B71" w:rsidRPr="00B44B71" w:rsidRDefault="00B44B71" w:rsidP="00023291">
      <w:pPr>
        <w:tabs>
          <w:tab w:val="left" w:pos="9638"/>
        </w:tabs>
        <w:spacing w:after="0" w:line="240" w:lineRule="auto"/>
        <w:jc w:val="right"/>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 xml:space="preserve"> National Defense University of Ukraine, Kyiv </w:t>
      </w:r>
    </w:p>
    <w:p w14:paraId="3A9E7433"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b/>
          <w:bCs/>
          <w:color w:val="000000"/>
          <w:kern w:val="0"/>
          <w:sz w:val="24"/>
          <w:szCs w:val="24"/>
          <w:lang w:eastAsia="ru-RU"/>
          <w14:ligatures w14:val="none"/>
        </w:rPr>
      </w:pPr>
      <w:r w:rsidRPr="00B44B71">
        <w:rPr>
          <w:rFonts w:ascii="Times New Roman" w:eastAsia="Times New Roman" w:hAnsi="Times New Roman" w:cs="Times New Roman"/>
          <w:b/>
          <w:bCs/>
          <w:color w:val="000000"/>
          <w:kern w:val="0"/>
          <w:sz w:val="24"/>
          <w:szCs w:val="24"/>
          <w:lang w:eastAsia="ru-RU"/>
          <w14:ligatures w14:val="none"/>
        </w:rPr>
        <w:t xml:space="preserve">Yuriy Finohenov, </w:t>
      </w:r>
    </w:p>
    <w:p w14:paraId="6BDC976D"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color w:val="000000"/>
          <w:kern w:val="0"/>
          <w:sz w:val="24"/>
          <w:szCs w:val="24"/>
          <w:lang w:eastAsia="ru-RU"/>
          <w14:ligatures w14:val="none"/>
        </w:rPr>
      </w:pPr>
      <w:r w:rsidRPr="00B44B71">
        <w:rPr>
          <w:rFonts w:ascii="Times New Roman" w:eastAsia="Calibri" w:hAnsi="Times New Roman" w:cs="Times New Roman"/>
          <w:kern w:val="0"/>
          <w:sz w:val="24"/>
          <w:szCs w:val="24"/>
          <w:shd w:val="clear" w:color="auto" w:fill="FFFFFF"/>
          <w14:ligatures w14:val="none"/>
        </w:rPr>
        <w:lastRenderedPageBreak/>
        <w:t>Candidate of Pedagogical Sciences</w:t>
      </w:r>
      <w:r w:rsidRPr="00B44B71">
        <w:rPr>
          <w:rFonts w:ascii="Times New Roman" w:eastAsia="Times New Roman" w:hAnsi="Times New Roman" w:cs="Times New Roman"/>
          <w:color w:val="000000"/>
          <w:kern w:val="0"/>
          <w:sz w:val="24"/>
          <w:szCs w:val="24"/>
          <w:lang w:eastAsia="ru-RU"/>
          <w14:ligatures w14:val="none"/>
        </w:rPr>
        <w:t xml:space="preserve">, Professor, </w:t>
      </w:r>
    </w:p>
    <w:p w14:paraId="08AA14B5" w14:textId="3CDE0F26" w:rsidR="00B44B71" w:rsidRPr="00B44B71" w:rsidRDefault="00B44B71" w:rsidP="00023291">
      <w:pPr>
        <w:tabs>
          <w:tab w:val="left" w:pos="9638"/>
        </w:tabs>
        <w:spacing w:after="0" w:line="240" w:lineRule="auto"/>
        <w:jc w:val="right"/>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 xml:space="preserve">National Defense University of Ukraine, Kyiv </w:t>
      </w:r>
    </w:p>
    <w:p w14:paraId="7FE90AA3"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b/>
          <w:color w:val="000000"/>
          <w:kern w:val="0"/>
          <w:sz w:val="28"/>
          <w:szCs w:val="28"/>
          <w:lang w:val="uk-UA" w:eastAsia="ru-RU"/>
          <w14:ligatures w14:val="none"/>
        </w:rPr>
      </w:pPr>
    </w:p>
    <w:p w14:paraId="64CDE7F5" w14:textId="77777777" w:rsidR="00A1004E" w:rsidRPr="00A1004E" w:rsidRDefault="00A1004E" w:rsidP="00A1004E">
      <w:pPr>
        <w:suppressAutoHyphens/>
        <w:spacing w:after="0" w:line="240" w:lineRule="auto"/>
        <w:ind w:firstLine="567"/>
        <w:jc w:val="center"/>
        <w:rPr>
          <w:rFonts w:ascii="Times New Roman" w:eastAsia="Times New Roman" w:hAnsi="Times New Roman" w:cs="Times New Roman"/>
          <w:b/>
          <w:color w:val="000000"/>
          <w:kern w:val="0"/>
          <w:sz w:val="24"/>
          <w:szCs w:val="24"/>
          <w:lang w:eastAsia="ru-RU"/>
          <w14:ligatures w14:val="none"/>
        </w:rPr>
      </w:pPr>
      <w:r w:rsidRPr="00A1004E">
        <w:rPr>
          <w:rFonts w:ascii="Times New Roman" w:eastAsia="Times New Roman" w:hAnsi="Times New Roman" w:cs="Times New Roman"/>
          <w:b/>
          <w:color w:val="000000"/>
          <w:kern w:val="0"/>
          <w:sz w:val="24"/>
          <w:szCs w:val="24"/>
          <w:lang w:eastAsia="ru-RU"/>
          <w14:ligatures w14:val="none"/>
        </w:rPr>
        <w:t xml:space="preserve">Pedagogical Conditions for the Formation of Professional Competence of Future Officers – Specialists in Physical Culture and Sports of the Armed Forces of Ukraine </w:t>
      </w:r>
    </w:p>
    <w:p w14:paraId="4A4896BE" w14:textId="77777777" w:rsidR="00A1004E" w:rsidRPr="00A1004E" w:rsidRDefault="00A1004E" w:rsidP="00A1004E">
      <w:pPr>
        <w:suppressAutoHyphens/>
        <w:spacing w:after="0" w:line="240" w:lineRule="auto"/>
        <w:ind w:firstLine="567"/>
        <w:jc w:val="both"/>
        <w:rPr>
          <w:rFonts w:ascii="Times New Roman" w:eastAsia="Times New Roman" w:hAnsi="Times New Roman" w:cs="Times New Roman"/>
          <w:b/>
          <w:color w:val="000000"/>
          <w:kern w:val="0"/>
          <w:sz w:val="24"/>
          <w:szCs w:val="24"/>
          <w:lang w:val="uk-UA" w:eastAsia="ru-RU"/>
          <w14:ligatures w14:val="none"/>
        </w:rPr>
      </w:pPr>
    </w:p>
    <w:p w14:paraId="5DCBD0B6" w14:textId="77777777" w:rsidR="00A1004E" w:rsidRPr="00A1004E" w:rsidRDefault="00A1004E" w:rsidP="00A1004E">
      <w:pPr>
        <w:suppressAutoHyphen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A1004E">
        <w:rPr>
          <w:rFonts w:ascii="Times New Roman" w:eastAsia="Times New Roman" w:hAnsi="Times New Roman" w:cs="Times New Roman"/>
          <w:b/>
          <w:color w:val="000000"/>
          <w:kern w:val="0"/>
          <w:sz w:val="24"/>
          <w:szCs w:val="24"/>
          <w:lang w:eastAsia="ru-RU"/>
          <w14:ligatures w14:val="none"/>
        </w:rPr>
        <w:t xml:space="preserve">Abstract. </w:t>
      </w:r>
      <w:r w:rsidRPr="00A1004E">
        <w:rPr>
          <w:rFonts w:ascii="Times New Roman" w:eastAsia="Times New Roman" w:hAnsi="Times New Roman" w:cs="Times New Roman"/>
          <w:color w:val="000000"/>
          <w:kern w:val="0"/>
          <w:sz w:val="24"/>
          <w:szCs w:val="24"/>
          <w:lang w:eastAsia="ru-RU"/>
          <w14:ligatures w14:val="none"/>
        </w:rPr>
        <w:t xml:space="preserve">The article provides a comprehensive theoretical analysis of the concept of “pedagogical conditions” and substantiates the pedagogical conditions necessary for developing the professional competence of future officers specializing in physical training and sports within the Armed Forces of Ukraine in the system of higher military education institutions. The relevance of the study is determined by the need to improve the quality of professional training for military specialists under martial law, modernize the military education system in accordance with NATO standards, and implement a competency-based approach aimed at developing integrated knowledge, skills, and professionally significant qualities of an officer’s personality. </w:t>
      </w:r>
    </w:p>
    <w:p w14:paraId="6F12C037" w14:textId="77777777" w:rsidR="00A1004E" w:rsidRPr="00A1004E" w:rsidRDefault="00A1004E" w:rsidP="00A1004E">
      <w:pPr>
        <w:suppressAutoHyphen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A1004E">
        <w:rPr>
          <w:rFonts w:ascii="Times New Roman" w:eastAsia="Times New Roman" w:hAnsi="Times New Roman" w:cs="Times New Roman"/>
          <w:color w:val="000000"/>
          <w:kern w:val="0"/>
          <w:sz w:val="24"/>
          <w:szCs w:val="24"/>
          <w:lang w:eastAsia="ru-RU"/>
          <w14:ligatures w14:val="none"/>
        </w:rPr>
        <w:t xml:space="preserve">The study employed a set of complementary research methods, including the analysis and synthesis of scientific and pedagogical literature, comparison, systematization, induction, and deduction, which made it possible to determine the theoretical and methodological foundations of the research problem. To enhance the objectivity of the findings, an expert evaluation method was applied involving a group of highly qualified specialists in the field of physical training and sports. The results of the expert assessment were processed using the Kendall coefficient of concordance (W = 0.75) and the χ² criterion, confirming a sufficient level of agreement among experts and the statistical significance of the obtained data. </w:t>
      </w:r>
    </w:p>
    <w:p w14:paraId="3DD2427E"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15666D">
        <w:rPr>
          <w:rFonts w:ascii="Times New Roman" w:eastAsia="Times New Roman" w:hAnsi="Times New Roman" w:cs="Times New Roman"/>
          <w:color w:val="000000"/>
          <w:kern w:val="0"/>
          <w:sz w:val="24"/>
          <w:szCs w:val="24"/>
          <w:lang w:eastAsia="ru-RU"/>
          <w14:ligatures w14:val="none"/>
        </w:rPr>
        <w:t>According to the results of the study, a set of pedagogical conditions for the formation of professional competence of future officers - specialists in physical culture and sports was determined, systematized and scientifically substantiated, in particular: determining objective criteria and</w:t>
      </w:r>
      <w:r w:rsidRPr="00B44B71">
        <w:rPr>
          <w:rFonts w:ascii="Times New Roman" w:eastAsia="Times New Roman" w:hAnsi="Times New Roman" w:cs="Times New Roman"/>
          <w:color w:val="000000"/>
          <w:kern w:val="0"/>
          <w:sz w:val="24"/>
          <w:szCs w:val="24"/>
          <w:lang w:eastAsia="ru-RU"/>
          <w14:ligatures w14:val="none"/>
        </w:rPr>
        <w:t xml:space="preserve"> indicators for assessing the level of its formation; ensuring a stable value-motivational attitude of cadets to future professional activity; pedagogical modeling of the process of forming professional competence; improving the content and methods of professionally oriented training taking into account modern requirements of combat activity.</w:t>
      </w:r>
    </w:p>
    <w:p w14:paraId="464DA594"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The practical significance of the study lies in the possibility of introducing substantiated pedagogical conditions into the educational process of higher military educational institutions in order to increase the effectiveness of professional training of future officers and ensure their readiness to perform assigned tasks.</w:t>
      </w:r>
    </w:p>
    <w:p w14:paraId="2BD5F562"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Keywords: professional competence, future officers, physical education and sports specialists, pedagogical conditions, military education, expert evaluation.</w:t>
      </w:r>
    </w:p>
    <w:p w14:paraId="4A33898B"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b/>
          <w:color w:val="000000"/>
          <w:kern w:val="0"/>
          <w:sz w:val="28"/>
          <w:szCs w:val="28"/>
          <w:lang w:val="uk-UA" w:eastAsia="ru-RU"/>
          <w14:ligatures w14:val="none"/>
        </w:rPr>
      </w:pPr>
    </w:p>
    <w:p w14:paraId="3630644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b/>
          <w:color w:val="000000"/>
          <w:kern w:val="0"/>
          <w:sz w:val="28"/>
          <w:szCs w:val="28"/>
          <w:lang w:val="uk-UA" w:eastAsia="ru-RU"/>
          <w14:ligatures w14:val="none"/>
        </w:rPr>
        <w:t xml:space="preserve">Вступ (Introduction). </w:t>
      </w:r>
      <w:r w:rsidRPr="00B44B71">
        <w:rPr>
          <w:rFonts w:ascii="Times New Roman" w:eastAsia="Times New Roman" w:hAnsi="Times New Roman" w:cs="Times New Roman"/>
          <w:bCs/>
          <w:color w:val="000000"/>
          <w:kern w:val="0"/>
          <w:sz w:val="28"/>
          <w:szCs w:val="28"/>
          <w:lang w:val="uk-UA" w:eastAsia="ru-RU"/>
          <w14:ligatures w14:val="none"/>
        </w:rPr>
        <w:t xml:space="preserve">Сучасна модель військової освіти має забезпечувати </w:t>
      </w:r>
      <w:bookmarkEnd w:id="40"/>
      <w:r w:rsidRPr="00B44B71">
        <w:rPr>
          <w:rFonts w:ascii="Times New Roman" w:eastAsia="Times New Roman" w:hAnsi="Times New Roman" w:cs="Times New Roman"/>
          <w:bCs/>
          <w:color w:val="000000"/>
          <w:kern w:val="0"/>
          <w:sz w:val="28"/>
          <w:szCs w:val="28"/>
          <w:lang w:val="uk-UA" w:eastAsia="ru-RU"/>
          <w14:ligatures w14:val="none"/>
        </w:rPr>
        <w:t>військово-професійну підготовку військових фахівців на основі дотримання основних принципів компетентнісного підходу, враховувати загальні тенденції розвитку системи національної та міжнародної безпеки, зміни принципів і способів ведення збройної боротьби, нові вимоги до якості військової освіти на основі стандартів НАТО з безпосереднім урахуванням сучасного бойового досвіду ЗС України. Розв’язання цієї проблеми вимагає активізації наукових розвідок у сфері професійної підготовки військових фахівців, зокрема формування професійної компетентності майбутніх офіцерів – фахівців фізичної культури і спорту ЗС України,</w:t>
      </w:r>
      <w:r w:rsidRPr="00B44B71">
        <w:rPr>
          <w:rFonts w:ascii="Times New Roman" w:eastAsia="Times New Roman" w:hAnsi="Times New Roman" w:cs="Times New Roman"/>
          <w:color w:val="000000"/>
          <w:kern w:val="0"/>
          <w:sz w:val="28"/>
          <w:szCs w:val="28"/>
          <w:lang w:val="uk-UA" w:eastAsia="ru-RU"/>
          <w14:ligatures w14:val="none"/>
        </w:rPr>
        <w:t xml:space="preserve"> здатних на високому рівні спланувати та організувати фізичну підготовку військовослужбовців. Професійна </w:t>
      </w:r>
      <w:r w:rsidRPr="00B44B71">
        <w:rPr>
          <w:rFonts w:ascii="Times New Roman" w:eastAsia="Times New Roman" w:hAnsi="Times New Roman" w:cs="Times New Roman"/>
          <w:color w:val="000000"/>
          <w:kern w:val="0"/>
          <w:sz w:val="28"/>
          <w:szCs w:val="28"/>
          <w:lang w:val="uk-UA" w:eastAsia="ru-RU"/>
          <w14:ligatures w14:val="none"/>
        </w:rPr>
        <w:lastRenderedPageBreak/>
        <w:t>компетентність офіцера – фахівця з фізичної культури і спорту ЗС України – це складне інтегративне професійно важливе утворення, що є результатом професійної підготовки у ВВНЗ і проявляється у його підготовленості, здатності та готовності успішно виконувати функціональні обов’язки щодо організації фізичної підготовки і спорту у військово-професійному середовищі, що ґрунтується на його позитивному ставленні і схильності до цієї діяльності, мотивації, професійно важливих якостях, професійних знаннях, вміннях і навичках (Свистун &amp; Поливанюк, 2023).</w:t>
      </w:r>
    </w:p>
    <w:p w14:paraId="7983B5E8"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bCs/>
          <w:iCs/>
          <w:color w:val="000000"/>
          <w:kern w:val="0"/>
          <w:sz w:val="28"/>
          <w:szCs w:val="28"/>
          <w:lang w:val="uk-UA" w:eastAsia="ru-RU"/>
          <w14:ligatures w14:val="none"/>
        </w:rPr>
      </w:pPr>
      <w:r w:rsidRPr="00B44B71">
        <w:rPr>
          <w:rFonts w:ascii="Times New Roman" w:eastAsia="Times New Roman" w:hAnsi="Times New Roman" w:cs="Times New Roman"/>
          <w:bCs/>
          <w:color w:val="000000"/>
          <w:kern w:val="0"/>
          <w:sz w:val="28"/>
          <w:szCs w:val="28"/>
          <w:lang w:val="uk-UA" w:eastAsia="ru-RU"/>
          <w14:ligatures w14:val="none"/>
        </w:rPr>
        <w:t xml:space="preserve">Стратегією розвитку фізичної культури і спорту на період до 2028 року однією зі </w:t>
      </w:r>
      <w:r w:rsidRPr="00B44B71">
        <w:rPr>
          <w:rFonts w:ascii="Times New Roman" w:eastAsia="Times New Roman" w:hAnsi="Times New Roman" w:cs="Times New Roman"/>
          <w:color w:val="000000"/>
          <w:kern w:val="0"/>
          <w:sz w:val="28"/>
          <w:szCs w:val="28"/>
          <w:lang w:val="uk-UA" w:eastAsia="ru-RU"/>
          <w14:ligatures w14:val="none"/>
        </w:rPr>
        <w:t xml:space="preserve">стратегічних цілей </w:t>
      </w:r>
      <w:r w:rsidRPr="00B44B71">
        <w:rPr>
          <w:rFonts w:ascii="Times New Roman" w:eastAsia="Times New Roman" w:hAnsi="Times New Roman" w:cs="Times New Roman"/>
          <w:bCs/>
          <w:color w:val="000000"/>
          <w:kern w:val="0"/>
          <w:sz w:val="28"/>
          <w:szCs w:val="28"/>
          <w:lang w:val="uk-UA" w:eastAsia="ru-RU"/>
          <w14:ligatures w14:val="none"/>
        </w:rPr>
        <w:t xml:space="preserve">визначено </w:t>
      </w:r>
      <w:r w:rsidRPr="00B44B71">
        <w:rPr>
          <w:rFonts w:ascii="Times New Roman" w:eastAsia="Times New Roman" w:hAnsi="Times New Roman" w:cs="Times New Roman"/>
          <w:color w:val="000000"/>
          <w:kern w:val="0"/>
          <w:sz w:val="28"/>
          <w:szCs w:val="28"/>
          <w:lang w:val="uk-UA" w:eastAsia="ru-RU"/>
          <w14:ligatures w14:val="none"/>
        </w:rPr>
        <w:t>«наявність ефективної системи забезпечення сфери фізичної культури і спорту фахівцями відповідної кваліфікації з мотивацією до результативної роботи</w:t>
      </w:r>
      <w:r w:rsidRPr="00B44B71">
        <w:rPr>
          <w:rFonts w:ascii="Times New Roman" w:eastAsia="Times New Roman" w:hAnsi="Times New Roman" w:cs="Times New Roman"/>
          <w:bCs/>
          <w:color w:val="000000"/>
          <w:kern w:val="0"/>
          <w:sz w:val="28"/>
          <w:szCs w:val="28"/>
          <w:lang w:val="uk-UA" w:eastAsia="ru-RU"/>
          <w14:ligatures w14:val="none"/>
        </w:rPr>
        <w:t>»</w:t>
      </w:r>
      <w:r w:rsidRPr="00B44B71">
        <w:rPr>
          <w:rFonts w:ascii="Times New Roman" w:eastAsia="Times New Roman" w:hAnsi="Times New Roman" w:cs="Times New Roman"/>
          <w:color w:val="000000"/>
          <w:kern w:val="0"/>
          <w:sz w:val="28"/>
          <w:szCs w:val="28"/>
          <w:lang w:val="uk-UA" w:eastAsia="ru-RU"/>
          <w14:ligatures w14:val="none"/>
        </w:rPr>
        <w:t xml:space="preserve"> й для досягнення зазначеної цілі передбачається </w:t>
      </w:r>
      <w:r w:rsidRPr="00B44B71">
        <w:rPr>
          <w:rFonts w:ascii="Times New Roman" w:eastAsia="Times New Roman" w:hAnsi="Times New Roman" w:cs="Times New Roman"/>
          <w:bCs/>
          <w:iCs/>
          <w:color w:val="000000"/>
          <w:kern w:val="0"/>
          <w:sz w:val="28"/>
          <w:szCs w:val="28"/>
          <w:lang w:val="uk-UA" w:eastAsia="ru-RU"/>
          <w14:ligatures w14:val="none"/>
        </w:rPr>
        <w:t>удосконалення системи підготовки та професійного розвитку фахівців сфери фізичної культури і спорту та їх мотивації (Стратегія розвитку фізичної культури і спорту, 2020).</w:t>
      </w:r>
    </w:p>
    <w:p w14:paraId="4CE67560"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bCs/>
          <w:iCs/>
          <w:color w:val="000000"/>
          <w:kern w:val="0"/>
          <w:sz w:val="28"/>
          <w:szCs w:val="28"/>
          <w:lang w:val="uk-UA" w:eastAsia="ru-RU"/>
          <w14:ligatures w14:val="none"/>
        </w:rPr>
      </w:pPr>
      <w:r w:rsidRPr="00B44B71">
        <w:rPr>
          <w:rFonts w:ascii="Times New Roman" w:eastAsia="Times New Roman" w:hAnsi="Times New Roman" w:cs="Times New Roman"/>
          <w:iCs/>
          <w:color w:val="000000"/>
          <w:kern w:val="0"/>
          <w:sz w:val="28"/>
          <w:szCs w:val="28"/>
          <w:lang w:val="uk-UA" w:eastAsia="ru-RU"/>
          <w14:ligatures w14:val="none"/>
        </w:rPr>
        <w:t>В «Концепції розвитку фізичної підготовки і спорту в системі Міністерства оборони України» (2022) пріоритетними напрямами розвитку фізичної підготовки і спорту особового складу в системі Міноборони</w:t>
      </w:r>
      <w:r w:rsidRPr="00B44B71">
        <w:rPr>
          <w:rFonts w:ascii="Times New Roman" w:eastAsia="Times New Roman" w:hAnsi="Times New Roman" w:cs="Times New Roman"/>
          <w:b/>
          <w:bCs/>
          <w:iCs/>
          <w:color w:val="000000"/>
          <w:kern w:val="0"/>
          <w:sz w:val="28"/>
          <w:szCs w:val="28"/>
          <w:lang w:val="uk-UA" w:eastAsia="ru-RU"/>
          <w14:ligatures w14:val="none"/>
        </w:rPr>
        <w:t xml:space="preserve"> </w:t>
      </w:r>
      <w:r w:rsidRPr="00B44B71">
        <w:rPr>
          <w:rFonts w:ascii="Times New Roman" w:eastAsia="Times New Roman" w:hAnsi="Times New Roman" w:cs="Times New Roman"/>
          <w:iCs/>
          <w:color w:val="000000"/>
          <w:kern w:val="0"/>
          <w:sz w:val="28"/>
          <w:szCs w:val="28"/>
          <w:lang w:val="uk-UA" w:eastAsia="ru-RU"/>
          <w14:ligatures w14:val="none"/>
        </w:rPr>
        <w:t>визначено</w:t>
      </w:r>
      <w:r w:rsidRPr="00B44B71">
        <w:rPr>
          <w:rFonts w:ascii="Times New Roman" w:eastAsia="Times New Roman" w:hAnsi="Times New Roman" w:cs="Times New Roman"/>
          <w:b/>
          <w:bCs/>
          <w:iCs/>
          <w:color w:val="000000"/>
          <w:kern w:val="0"/>
          <w:sz w:val="28"/>
          <w:szCs w:val="28"/>
          <w:lang w:val="uk-UA" w:eastAsia="ru-RU"/>
          <w14:ligatures w14:val="none"/>
        </w:rPr>
        <w:t xml:space="preserve"> </w:t>
      </w:r>
      <w:r w:rsidRPr="00B44B71">
        <w:rPr>
          <w:rFonts w:ascii="Times New Roman" w:eastAsia="Times New Roman" w:hAnsi="Times New Roman" w:cs="Times New Roman"/>
          <w:iCs/>
          <w:color w:val="000000"/>
          <w:kern w:val="0"/>
          <w:sz w:val="28"/>
          <w:szCs w:val="28"/>
          <w:lang w:val="uk-UA" w:eastAsia="ru-RU"/>
          <w14:ligatures w14:val="none"/>
        </w:rPr>
        <w:t>«</w:t>
      </w:r>
      <w:r w:rsidRPr="00B44B71">
        <w:rPr>
          <w:rFonts w:ascii="Times New Roman" w:eastAsia="Times New Roman" w:hAnsi="Times New Roman" w:cs="Times New Roman"/>
          <w:bCs/>
          <w:iCs/>
          <w:color w:val="000000"/>
          <w:kern w:val="0"/>
          <w:sz w:val="28"/>
          <w:szCs w:val="28"/>
          <w:lang w:val="uk-UA" w:eastAsia="ru-RU"/>
          <w14:ligatures w14:val="none"/>
        </w:rPr>
        <w:t>забезпечення належної якості освітнього процесу з фізичного виховання, спеціальної фізичної підготовки у ВВНЗ (ВНП ЗВО, ЗФПВО, ВЛ), який повною мірою відповідатиме передовим технологіям сучасності, пришвидшення впровадження сучасних інформаційних, інформаційно-комунікаційних, інтерактивних, особистісно-орієнтованих педагогічних технологій і технологій дистанційного навчання, зокрема щодо виконання Програми НАТО "Удосконалення військової освіти" (2022).</w:t>
      </w:r>
    </w:p>
    <w:p w14:paraId="4031B386"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Відтак систематичність, обов’язковість і свідома необхідність військовослужбовців у заняттях фізичної підготовки будуть досягнуті проведенням фізичної підготовки фахівцями з фізичної підготовки і спорту (Ольховий et al., 2020) лише фахівець з фізичної підготовки у військовій частині є потенційним носієм професійно-прикладної фізичної культури, який впливає на фізичний, психологічний, духовний, інтелектуальний та етичний розвиток військовослужбовців (Романюк </w:t>
      </w:r>
      <w:r w:rsidRPr="00B44B71">
        <w:rPr>
          <w:rFonts w:ascii="Times New Roman" w:eastAsia="Times New Roman" w:hAnsi="Times New Roman" w:cs="Times New Roman"/>
          <w:color w:val="000000"/>
          <w:kern w:val="0"/>
          <w:sz w:val="28"/>
          <w:lang w:val="uk-UA" w:eastAsia="ru-RU"/>
          <w14:ligatures w14:val="none"/>
        </w:rPr>
        <w:t>etal</w:t>
      </w:r>
      <w:r w:rsidRPr="00B44B71">
        <w:rPr>
          <w:rFonts w:ascii="Times New Roman" w:eastAsia="Times New Roman" w:hAnsi="Times New Roman" w:cs="Times New Roman"/>
          <w:color w:val="000000"/>
          <w:kern w:val="0"/>
          <w:sz w:val="28"/>
          <w:szCs w:val="28"/>
          <w:lang w:val="uk-UA" w:eastAsia="ru-RU"/>
          <w14:ligatures w14:val="none"/>
        </w:rPr>
        <w:t xml:space="preserve">., 2020) інтегративні характеристики та професійні якості якого уможливлюють реалізувати загальнопедагогічні (освітню, особистісно-освітню, розвивальну, пізнавальну, інформативну, проектну, планову, організаційну, ціннісно-орієнтовану, комунікативну та дослідницьку) та специфічні (здоров՚язбережувальну, профілактичну, забезпечення безпеки життєдіяльності, правову) функції (Ягупов, 2024) Особливо важливою є ця проблема для сучасних ЗС України, де існує суттєвий попит на кваліфікованих фахівців з фізичної культури і спорту, здатних якісно спланувати та організовувати контекстну фізичну підготовку військовослужбовців. Саме тому формування професійної компетентності майбутніх офіцерів – фахівців з фізичної культури і спорту під час професійно-педагогічної підготовки у ВВНЗ є важливим напрямом наукових досліджень у </w:t>
      </w:r>
      <w:r w:rsidRPr="00B44B71">
        <w:rPr>
          <w:rFonts w:ascii="Times New Roman" w:eastAsia="Times New Roman" w:hAnsi="Times New Roman" w:cs="Times New Roman"/>
          <w:color w:val="000000"/>
          <w:kern w:val="0"/>
          <w:sz w:val="28"/>
          <w:szCs w:val="28"/>
          <w:lang w:val="uk-UA" w:eastAsia="ru-RU"/>
          <w14:ligatures w14:val="none"/>
        </w:rPr>
        <w:lastRenderedPageBreak/>
        <w:t xml:space="preserve">галузі військової педагогіки і педагогіки фізичного виховання й потребує теоретичного обґрунтування та практичного вирішення. </w:t>
      </w:r>
    </w:p>
    <w:p w14:paraId="4DC0F8BD" w14:textId="77777777" w:rsidR="00B44B71" w:rsidRPr="00B44B71" w:rsidRDefault="00B44B71" w:rsidP="00023291">
      <w:pPr>
        <w:widowControl w:val="0"/>
        <w:tabs>
          <w:tab w:val="left" w:pos="567"/>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b/>
          <w:color w:val="000000"/>
          <w:kern w:val="0"/>
          <w:sz w:val="28"/>
          <w:szCs w:val="28"/>
          <w:lang w:val="uk-UA" w:eastAsia="ru-RU"/>
          <w14:ligatures w14:val="none"/>
        </w:rPr>
        <w:t xml:space="preserve">Мета статті – </w:t>
      </w:r>
      <w:r w:rsidRPr="00B44B71">
        <w:rPr>
          <w:rFonts w:ascii="Times New Roman" w:eastAsia="Times New Roman" w:hAnsi="Times New Roman" w:cs="Times New Roman"/>
          <w:bCs/>
          <w:color w:val="000000"/>
          <w:kern w:val="0"/>
          <w:sz w:val="28"/>
          <w:szCs w:val="28"/>
          <w:lang w:val="uk-UA" w:eastAsia="ru-RU"/>
          <w14:ligatures w14:val="none"/>
        </w:rPr>
        <w:t>здійснити аналіз сутності поняття «педагогічні умови» та визначити експертним оцінюванням педагогічні умови формування професійної компетентності</w:t>
      </w:r>
      <w:r w:rsidRPr="00B44B71">
        <w:rPr>
          <w:rFonts w:ascii="Times New Roman" w:eastAsia="Times New Roman" w:hAnsi="Times New Roman" w:cs="Times New Roman"/>
          <w:i/>
          <w:iCs/>
          <w:color w:val="000000"/>
          <w:kern w:val="0"/>
          <w:sz w:val="28"/>
          <w:szCs w:val="28"/>
          <w:lang w:val="uk-UA" w:eastAsia="ru-RU"/>
          <w14:ligatures w14:val="none"/>
        </w:rPr>
        <w:t xml:space="preserve"> </w:t>
      </w:r>
      <w:r w:rsidRPr="00B44B71">
        <w:rPr>
          <w:rFonts w:ascii="Times New Roman" w:eastAsia="Times New Roman" w:hAnsi="Times New Roman" w:cs="Times New Roman"/>
          <w:bCs/>
          <w:color w:val="000000"/>
          <w:kern w:val="0"/>
          <w:sz w:val="28"/>
          <w:szCs w:val="28"/>
          <w:lang w:val="uk-UA" w:eastAsia="ru-RU"/>
          <w14:ligatures w14:val="none"/>
        </w:rPr>
        <w:t>офіцера – фахівця з фізичної культури і спорту ЗС України.</w:t>
      </w:r>
      <w:r w:rsidRPr="00B44B71">
        <w:rPr>
          <w:rFonts w:ascii="Times New Roman" w:eastAsia="Times New Roman" w:hAnsi="Times New Roman" w:cs="Times New Roman"/>
          <w:bCs/>
          <w:iCs/>
          <w:color w:val="000000"/>
          <w:kern w:val="0"/>
          <w:sz w:val="28"/>
          <w:szCs w:val="28"/>
          <w:lang w:val="uk-UA" w:eastAsia="ru-RU"/>
          <w14:ligatures w14:val="none"/>
        </w:rPr>
        <w:t xml:space="preserve"> </w:t>
      </w:r>
    </w:p>
    <w:p w14:paraId="7F135B6C" w14:textId="77777777" w:rsidR="00B44B71" w:rsidRPr="00B44B71" w:rsidRDefault="00B44B71" w:rsidP="00023291">
      <w:pPr>
        <w:widowControl w:val="0"/>
        <w:tabs>
          <w:tab w:val="left" w:pos="567"/>
          <w:tab w:val="left" w:pos="9638"/>
        </w:tabs>
        <w:spacing w:after="0" w:line="240" w:lineRule="auto"/>
        <w:ind w:firstLine="567"/>
        <w:jc w:val="both"/>
        <w:rPr>
          <w:rFonts w:ascii="Times New Roman" w:eastAsia="Times New Roman" w:hAnsi="Times New Roman" w:cs="Times New Roman"/>
          <w:iCs/>
          <w:color w:val="000000"/>
          <w:kern w:val="0"/>
          <w:sz w:val="28"/>
          <w:szCs w:val="28"/>
          <w:lang w:val="uk-UA" w:eastAsia="ru-RU"/>
          <w14:ligatures w14:val="none"/>
        </w:rPr>
      </w:pPr>
      <w:r w:rsidRPr="00B44B71">
        <w:rPr>
          <w:rFonts w:ascii="Times New Roman" w:eastAsia="Times New Roman" w:hAnsi="Times New Roman" w:cs="Times New Roman"/>
          <w:b/>
          <w:iCs/>
          <w:color w:val="000000"/>
          <w:kern w:val="0"/>
          <w:sz w:val="28"/>
          <w:szCs w:val="28"/>
          <w:lang w:val="uk-UA" w:eastAsia="ru-RU"/>
          <w14:ligatures w14:val="none"/>
        </w:rPr>
        <w:t>Методи (Methods).</w:t>
      </w:r>
      <w:r w:rsidRPr="00B44B71">
        <w:rPr>
          <w:rFonts w:ascii="Times New Roman" w:eastAsia="Times New Roman" w:hAnsi="Times New Roman" w:cs="Times New Roman"/>
          <w:iCs/>
          <w:color w:val="000000"/>
          <w:kern w:val="0"/>
          <w:sz w:val="28"/>
          <w:szCs w:val="28"/>
          <w:lang w:val="uk-UA" w:eastAsia="ru-RU"/>
          <w14:ligatures w14:val="none"/>
        </w:rPr>
        <w:t xml:space="preserve"> У статті використано методи аналізу літератури з досліджуваної проблеми, індукція, дедукція, порівняння, узагальнення, експертне оцінювання.</w:t>
      </w:r>
    </w:p>
    <w:p w14:paraId="24A74C9A" w14:textId="77777777" w:rsidR="00B44B71" w:rsidRPr="00B44B71" w:rsidRDefault="00B44B71" w:rsidP="00023291">
      <w:pPr>
        <w:widowControl w:val="0"/>
        <w:tabs>
          <w:tab w:val="left" w:pos="567"/>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b/>
          <w:color w:val="000000"/>
          <w:kern w:val="0"/>
          <w:sz w:val="28"/>
          <w:szCs w:val="28"/>
          <w:lang w:val="uk-UA" w:eastAsia="ru-RU"/>
          <w14:ligatures w14:val="none"/>
        </w:rPr>
        <w:t xml:space="preserve">Результат (Results). </w:t>
      </w:r>
      <w:r w:rsidRPr="00B44B71">
        <w:rPr>
          <w:rFonts w:ascii="Times New Roman" w:eastAsia="Times New Roman" w:hAnsi="Times New Roman" w:cs="Times New Roman"/>
          <w:color w:val="000000"/>
          <w:kern w:val="0"/>
          <w:sz w:val="28"/>
          <w:szCs w:val="28"/>
          <w:lang w:val="uk-UA" w:eastAsia="ru-RU"/>
          <w14:ligatures w14:val="none"/>
        </w:rPr>
        <w:t xml:space="preserve">Педагогічні умови є важливою складовою педагогічної системи формування професійної компетентності майбутніх офіцерів – фахівців </w:t>
      </w:r>
      <w:r w:rsidRPr="00B44B71">
        <w:rPr>
          <w:rFonts w:ascii="Times New Roman" w:eastAsia="Times New Roman" w:hAnsi="Times New Roman" w:cs="Times New Roman"/>
          <w:bCs/>
          <w:color w:val="000000"/>
          <w:kern w:val="0"/>
          <w:sz w:val="28"/>
          <w:szCs w:val="28"/>
          <w:lang w:val="uk-UA" w:eastAsia="ru-RU"/>
          <w14:ligatures w14:val="none"/>
        </w:rPr>
        <w:t>з фізичної культури і спорту</w:t>
      </w:r>
      <w:r w:rsidRPr="00B44B71">
        <w:rPr>
          <w:rFonts w:ascii="Times New Roman" w:eastAsia="Times New Roman" w:hAnsi="Times New Roman" w:cs="Times New Roman"/>
          <w:color w:val="000000"/>
          <w:kern w:val="0"/>
          <w:sz w:val="28"/>
          <w:szCs w:val="28"/>
          <w:lang w:val="uk-UA" w:eastAsia="ru-RU"/>
          <w14:ligatures w14:val="none"/>
        </w:rPr>
        <w:t xml:space="preserve"> ЗС України, тому </w:t>
      </w:r>
      <w:r w:rsidRPr="00B44B71">
        <w:rPr>
          <w:rFonts w:ascii="Times New Roman" w:eastAsia="Calibri" w:hAnsi="Times New Roman" w:cs="Times New Roman"/>
          <w:color w:val="000000"/>
          <w:kern w:val="0"/>
          <w:sz w:val="28"/>
          <w:szCs w:val="28"/>
          <w:lang w:val="uk-UA"/>
          <w14:ligatures w14:val="none"/>
        </w:rPr>
        <w:t>їх виявленню та обґрунтуванню передує з’ясування означеного явища у довідковій та науково-педагогічній літературі.</w:t>
      </w:r>
      <w:r w:rsidRPr="00B44B71">
        <w:rPr>
          <w:rFonts w:ascii="Times New Roman" w:eastAsia="Times New Roman" w:hAnsi="Times New Roman" w:cs="Times New Roman"/>
          <w:color w:val="000000"/>
          <w:kern w:val="0"/>
          <w:sz w:val="28"/>
          <w:szCs w:val="28"/>
          <w:lang w:val="uk-UA" w:eastAsia="ru-RU"/>
          <w14:ligatures w14:val="none"/>
        </w:rPr>
        <w:t xml:space="preserve"> </w:t>
      </w:r>
      <w:bookmarkStart w:id="41" w:name="_Hlk224316488"/>
      <w:r w:rsidRPr="00B44B71">
        <w:rPr>
          <w:rFonts w:ascii="Times New Roman" w:eastAsia="Times New Roman" w:hAnsi="Times New Roman" w:cs="Times New Roman"/>
          <w:color w:val="000000"/>
          <w:kern w:val="0"/>
          <w:sz w:val="28"/>
          <w:szCs w:val="28"/>
          <w:lang w:val="uk-UA" w:eastAsia="ru-RU"/>
          <w14:ligatures w14:val="none"/>
        </w:rPr>
        <w:t>Так, у “Словнику-довіднику з професійної педагогіки” педагогічні умови подаються як “обставини, від яких залежить продуктивність цілісного педагогічного процесу професійної підготовки, що опосередковується активністю його учасників”(Семенова, 2006).</w:t>
      </w:r>
    </w:p>
    <w:p w14:paraId="413267EB"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Науковці трактують цю категорію так:</w:t>
      </w:r>
    </w:p>
    <w:p w14:paraId="45C97026"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 xml:space="preserve">комплекс спеціально спроєктованих генеральних (стрижневих, системотвірних) чинників впливу на зовнішні та внутрішні обставини навчально-виховного процесу та / або особистісні параметри його учасників, які забезпечують цілісність навчання та виховання в інформаційно-освітньому середовищі навчального закладу відповідно до вимог суспільства (Литвин, 2014); </w:t>
      </w:r>
    </w:p>
    <w:p w14:paraId="5BE02A1C"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умови, що свідомо створюються суб’єктами педагогічної діяльності в навчально-виробничому процесі навчання на виробництві та забезпечують формування професійної компетентності виробничого персоналу (Свистун, 2012);</w:t>
      </w:r>
    </w:p>
    <w:p w14:paraId="41BC58E0"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обставини, що зумовлюють певний напрям розвитку педагогічного процесу; сукупність об’єктивних можливостей змісту, форм, методів, прийомів, засобів педагогічної діяльності, які створюються саме педагогом та є продуктом його діяльності (Хриков, 2011);</w:t>
      </w:r>
    </w:p>
    <w:p w14:paraId="71AA6802"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сукупність необхідних і достатніх педагогічних чинників, спроектованих і створених науково-педагогічним працівниками, дотримання яких в освітньому процесі об’єктивно забезпечують його успішність й дають змогу цілеспрямовано та істотно змінити його результат (Вербин &amp; Свистун, 2020);</w:t>
      </w:r>
    </w:p>
    <w:p w14:paraId="3164FE60"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певні особливості організації навчального процесу, які здійснюють характерний вплив на результати навчання та розвитку суб’єкта, що здобуває певну освіту, об’єктивно забезпечують можливість їх покращення шляхом використання сучасних освітніх методик навчання і виховання, інноваційних технологій, запровадження результатів передових педагогічних досліджень (Литвин, 2014) тощо.</w:t>
      </w:r>
      <w:bookmarkEnd w:id="41"/>
    </w:p>
    <w:p w14:paraId="0A7F873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b/>
          <w:color w:val="000000"/>
          <w:kern w:val="0"/>
          <w:sz w:val="28"/>
          <w:szCs w:val="28"/>
          <w:lang w:val="uk-UA" w:eastAsia="ru-RU"/>
          <w14:ligatures w14:val="none"/>
        </w:rPr>
        <w:t>Обговорення (Discussion).</w:t>
      </w:r>
      <w:r w:rsidRPr="00B44B71">
        <w:rPr>
          <w:rFonts w:ascii="Times New Roman" w:eastAsia="Times New Roman" w:hAnsi="Times New Roman" w:cs="Times New Roman"/>
          <w:color w:val="000000"/>
          <w:kern w:val="0"/>
          <w:sz w:val="28"/>
          <w:szCs w:val="28"/>
          <w:lang w:val="uk-UA" w:eastAsia="ru-RU"/>
          <w14:ligatures w14:val="none"/>
        </w:rPr>
        <w:t xml:space="preserve"> Більшість дослідників визначають педагогічні умови як сукупність чинників чи обставин освітнього процесу, що забезпечують </w:t>
      </w:r>
      <w:r w:rsidRPr="00B44B71">
        <w:rPr>
          <w:rFonts w:ascii="Times New Roman" w:eastAsia="Times New Roman" w:hAnsi="Times New Roman" w:cs="Times New Roman"/>
          <w:color w:val="000000"/>
          <w:kern w:val="0"/>
          <w:sz w:val="28"/>
          <w:szCs w:val="28"/>
          <w:lang w:val="uk-UA" w:eastAsia="ru-RU"/>
          <w14:ligatures w14:val="none"/>
        </w:rPr>
        <w:lastRenderedPageBreak/>
        <w:t>досягнення певної педагогічної мети та результативність навчання і виховання, наголошують, що ці умови свідомо проєктуються та організовуються викладачем</w:t>
      </w:r>
      <w:r w:rsidRPr="00B44B71">
        <w:rPr>
          <w:rFonts w:ascii="Times New Roman" w:eastAsia="Times New Roman" w:hAnsi="Times New Roman" w:cs="Times New Roman"/>
          <w:b/>
          <w:bCs/>
          <w:color w:val="000000"/>
          <w:kern w:val="0"/>
          <w:sz w:val="28"/>
          <w:szCs w:val="28"/>
          <w:lang w:val="uk-UA" w:eastAsia="ru-RU"/>
          <w14:ligatures w14:val="none"/>
        </w:rPr>
        <w:t xml:space="preserve"> </w:t>
      </w:r>
      <w:r w:rsidRPr="00B44B71">
        <w:rPr>
          <w:rFonts w:ascii="Times New Roman" w:eastAsia="Times New Roman" w:hAnsi="Times New Roman" w:cs="Times New Roman"/>
          <w:color w:val="000000"/>
          <w:kern w:val="0"/>
          <w:sz w:val="28"/>
          <w:szCs w:val="28"/>
          <w:lang w:val="uk-UA" w:eastAsia="ru-RU"/>
          <w14:ligatures w14:val="none"/>
        </w:rPr>
        <w:t xml:space="preserve">і, в загальному, відображають різні складові одного педагогічного явища. Отже, поняття “педагогічні умови” стосується різних аспектів процесу навчання, виховання та розвитку </w:t>
      </w:r>
      <w:r w:rsidRPr="00B44B71">
        <w:rPr>
          <w:rFonts w:ascii="Times New Roman" w:eastAsia="Times New Roman" w:hAnsi="Times New Roman" w:cs="Times New Roman"/>
          <w:color w:val="000000"/>
          <w:kern w:val="0"/>
          <w:sz w:val="28"/>
          <w:szCs w:val="28"/>
          <w:lang w:val="uk-UA" w:eastAsia="ru-RU"/>
          <w14:ligatures w14:val="none"/>
        </w:rPr>
        <w:sym w:font="Symbol" w:char="F02D"/>
      </w:r>
      <w:r w:rsidRPr="00B44B71">
        <w:rPr>
          <w:rFonts w:ascii="Times New Roman" w:eastAsia="Times New Roman" w:hAnsi="Times New Roman" w:cs="Times New Roman"/>
          <w:color w:val="000000"/>
          <w:kern w:val="0"/>
          <w:sz w:val="28"/>
          <w:szCs w:val="28"/>
          <w:lang w:val="uk-UA" w:eastAsia="ru-RU"/>
          <w14:ligatures w14:val="none"/>
        </w:rPr>
        <w:t xml:space="preserve"> цілей, принципів, змісту, методів, форм, засобів тощо. Цей термін може позначати як цілісний освітній процес, так і характеризувати окремі його елементи. </w:t>
      </w:r>
    </w:p>
    <w:p w14:paraId="5972F064"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iCs/>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 xml:space="preserve">Визначення педагогічних умов формування та розвитку різних видів компетентностей військових фахівців є складною багатоаспектною педагогічною проблемою та предметом досліджень багатьох науковців у галузі військової педагогіки. Так, І. Азаров (2018) визначає педагогічні умови підготовки майбутніх офіцерів до прогностичної діяльності у процесі навчання у ВВНЗ як взаємопов’язану сукупність спеціально створених обставин, комплекс заходів навчально-виховного процесу, що спрямовані на формування їх прогностичної компетентності, Н. Шалигіна (2019) </w:t>
      </w:r>
      <w:r w:rsidRPr="00B44B71">
        <w:rPr>
          <w:rFonts w:ascii="Times New Roman" w:eastAsia="Times New Roman" w:hAnsi="Times New Roman" w:cs="Times New Roman"/>
          <w:iCs/>
          <w:color w:val="000000"/>
          <w:kern w:val="0"/>
          <w:sz w:val="28"/>
          <w:szCs w:val="28"/>
          <w:lang w:val="uk-UA" w:eastAsia="ru-RU"/>
          <w14:ligatures w14:val="none"/>
        </w:rPr>
        <w:t>педагогічні умови розвитку комунікативної компетентності офіцерів багатонаціональних штабів розуміє як комплекс педагогічних заходів, впровадження яких оптимізує процес її розвитку та забезпечує досягнення необхідного для виконання професійних функцій рівня її розвиненості,</w:t>
      </w:r>
      <w:r w:rsidRPr="00B44B71">
        <w:rPr>
          <w:rFonts w:ascii="Times New Roman" w:eastAsia="Times New Roman" w:hAnsi="Times New Roman" w:cs="Times New Roman"/>
          <w:i/>
          <w:color w:val="000000"/>
          <w:kern w:val="0"/>
          <w:sz w:val="28"/>
          <w:szCs w:val="28"/>
          <w:lang w:val="uk-UA" w:eastAsia="ru-RU"/>
          <w14:ligatures w14:val="none"/>
        </w:rPr>
        <w:t xml:space="preserve"> </w:t>
      </w:r>
      <w:r w:rsidRPr="00B44B71">
        <w:rPr>
          <w:rFonts w:ascii="Times New Roman" w:eastAsia="Times New Roman" w:hAnsi="Times New Roman" w:cs="Times New Roman"/>
          <w:iCs/>
          <w:color w:val="000000"/>
          <w:kern w:val="0"/>
          <w:sz w:val="28"/>
          <w:szCs w:val="28"/>
          <w:lang w:val="uk-UA" w:eastAsia="ru-RU"/>
          <w14:ligatures w14:val="none"/>
        </w:rPr>
        <w:t xml:space="preserve">О. Назола (2005) </w:t>
      </w:r>
      <w:r w:rsidRPr="00B44B71">
        <w:rPr>
          <w:rFonts w:ascii="Times New Roman" w:eastAsia="Times New Roman" w:hAnsi="Times New Roman" w:cs="Times New Roman"/>
          <w:bCs/>
          <w:color w:val="000000"/>
          <w:kern w:val="0"/>
          <w:sz w:val="28"/>
          <w:szCs w:val="28"/>
          <w:lang w:val="uk-UA" w:eastAsia="ru-RU"/>
          <w14:ligatures w14:val="none"/>
        </w:rPr>
        <w:t>педагогічні умови підвищення якості навчання іноземних мов курсантів ВВНЗ представляє як сукупність об’єктивних і суб’єктивних чинників, які позитивно впливають на результативність навчального-виховного процесу.</w:t>
      </w:r>
      <w:r w:rsidRPr="00B44B71">
        <w:rPr>
          <w:rFonts w:ascii="Times New Roman" w:eastAsia="Times New Roman" w:hAnsi="Times New Roman" w:cs="Arial"/>
          <w:iCs/>
          <w:color w:val="000000"/>
          <w:kern w:val="0"/>
          <w:sz w:val="28"/>
          <w:szCs w:val="28"/>
          <w:lang w:val="uk-UA" w:eastAsia="ru-RU"/>
          <w14:ligatures w14:val="none"/>
        </w:rPr>
        <w:t xml:space="preserve"> </w:t>
      </w:r>
      <w:r w:rsidRPr="00B44B71">
        <w:rPr>
          <w:rFonts w:ascii="Times New Roman" w:eastAsia="Times New Roman" w:hAnsi="Times New Roman" w:cs="Times New Roman"/>
          <w:iCs/>
          <w:color w:val="000000"/>
          <w:kern w:val="0"/>
          <w:sz w:val="28"/>
          <w:szCs w:val="28"/>
          <w:lang w:val="uk-UA" w:eastAsia="ru-RU"/>
          <w14:ligatures w14:val="none"/>
        </w:rPr>
        <w:t xml:space="preserve">На думку А. Мірошніченка (2018), </w:t>
      </w:r>
      <w:r w:rsidRPr="00B44B71">
        <w:rPr>
          <w:rFonts w:ascii="Times New Roman" w:eastAsia="Times New Roman" w:hAnsi="Times New Roman" w:cs="Times New Roman"/>
          <w:color w:val="000000"/>
          <w:kern w:val="0"/>
          <w:sz w:val="28"/>
          <w:szCs w:val="28"/>
          <w:lang w:val="uk-UA" w:eastAsia="ru-RU"/>
          <w14:ligatures w14:val="none"/>
        </w:rPr>
        <w:t>педагогічні умови – це ті реальні ситуації та обставини, що свідомо створюються в педагогічній діяльності, охоплюють відповідні форми, методи та прийоми навчання, завданням яких є забезпечення найбільш ефективного перебігу освітнього процесу з метою досягнення конкретної педагогічної мети.</w:t>
      </w:r>
    </w:p>
    <w:p w14:paraId="297D1B00"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Arial"/>
          <w:iCs/>
          <w:color w:val="000000"/>
          <w:kern w:val="0"/>
          <w:sz w:val="28"/>
          <w:szCs w:val="28"/>
          <w:lang w:val="uk-UA" w:eastAsia="ru-RU"/>
          <w14:ligatures w14:val="none"/>
        </w:rPr>
      </w:pPr>
      <w:r w:rsidRPr="00B44B71">
        <w:rPr>
          <w:rFonts w:ascii="Times New Roman" w:eastAsia="Calibri" w:hAnsi="Times New Roman" w:cs="Times New Roman"/>
          <w:b/>
          <w:color w:val="000000"/>
          <w:kern w:val="0"/>
          <w:sz w:val="28"/>
          <w:szCs w:val="28"/>
          <w:lang w:val="uk-UA"/>
          <w14:ligatures w14:val="none"/>
        </w:rPr>
        <w:t>Аналіз (Analysis).</w:t>
      </w:r>
      <w:r w:rsidRPr="00B44B71">
        <w:rPr>
          <w:rFonts w:ascii="Times New Roman" w:eastAsia="Calibri" w:hAnsi="Times New Roman" w:cs="Times New Roman"/>
          <w:color w:val="000000"/>
          <w:kern w:val="0"/>
          <w:sz w:val="28"/>
          <w:szCs w:val="28"/>
          <w:lang w:val="uk-UA"/>
          <w14:ligatures w14:val="none"/>
        </w:rPr>
        <w:t xml:space="preserve"> Отже, спираючись на представлені дефініції, </w:t>
      </w:r>
      <w:r w:rsidRPr="00B44B71">
        <w:rPr>
          <w:rFonts w:ascii="Times New Roman" w:eastAsia="Calibri" w:hAnsi="Times New Roman" w:cs="Times New Roman"/>
          <w:i/>
          <w:color w:val="000000"/>
          <w:kern w:val="0"/>
          <w:sz w:val="28"/>
          <w:szCs w:val="28"/>
          <w:lang w:val="uk-UA"/>
          <w14:ligatures w14:val="none"/>
        </w:rPr>
        <w:t xml:space="preserve">педагогічні умови </w:t>
      </w:r>
      <w:r w:rsidRPr="00B44B71">
        <w:rPr>
          <w:rFonts w:ascii="Times New Roman" w:eastAsia="Calibri" w:hAnsi="Times New Roman" w:cs="Times New Roman"/>
          <w:iCs/>
          <w:color w:val="000000"/>
          <w:kern w:val="0"/>
          <w:sz w:val="28"/>
          <w:szCs w:val="28"/>
          <w:lang w:val="uk-UA"/>
          <w14:ligatures w14:val="none"/>
        </w:rPr>
        <w:t>розуміємо як</w:t>
      </w:r>
      <w:r w:rsidRPr="00B44B71">
        <w:rPr>
          <w:rFonts w:ascii="Times New Roman" w:eastAsia="Calibri" w:hAnsi="Times New Roman" w:cs="Times New Roman"/>
          <w:i/>
          <w:color w:val="000000"/>
          <w:kern w:val="0"/>
          <w:sz w:val="28"/>
          <w:szCs w:val="28"/>
          <w:lang w:val="uk-UA"/>
          <w14:ligatures w14:val="none"/>
        </w:rPr>
        <w:t xml:space="preserve"> </w:t>
      </w:r>
      <w:r w:rsidRPr="00B44B71">
        <w:rPr>
          <w:rFonts w:ascii="Times New Roman" w:eastAsia="Times New Roman" w:hAnsi="Times New Roman" w:cs="Times New Roman"/>
          <w:color w:val="000000"/>
          <w:kern w:val="0"/>
          <w:sz w:val="28"/>
          <w:szCs w:val="28"/>
          <w:lang w:val="uk-UA" w:eastAsia="ru-RU"/>
          <w14:ligatures w14:val="none"/>
        </w:rPr>
        <w:t>взаємопов’язану сукупність спеціально</w:t>
      </w:r>
      <w:r w:rsidRPr="00B44B71">
        <w:rPr>
          <w:rFonts w:ascii="Times New Roman" w:eastAsia="Times New Roman" w:hAnsi="Times New Roman" w:cs="Arial"/>
          <w:iCs/>
          <w:color w:val="000000"/>
          <w:kern w:val="0"/>
          <w:sz w:val="28"/>
          <w:szCs w:val="28"/>
          <w:lang w:val="uk-UA" w:eastAsia="ru-RU"/>
          <w14:ligatures w14:val="none"/>
        </w:rPr>
        <w:t xml:space="preserve"> спроєктованих і</w:t>
      </w:r>
      <w:r w:rsidRPr="00B44B71">
        <w:rPr>
          <w:rFonts w:ascii="Times New Roman" w:eastAsia="Times New Roman" w:hAnsi="Times New Roman" w:cs="Times New Roman"/>
          <w:color w:val="000000"/>
          <w:kern w:val="0"/>
          <w:sz w:val="28"/>
          <w:szCs w:val="28"/>
          <w:lang w:val="uk-UA" w:eastAsia="ru-RU"/>
          <w14:ligatures w14:val="none"/>
        </w:rPr>
        <w:t xml:space="preserve"> створених </w:t>
      </w:r>
      <w:r w:rsidRPr="00B44B71">
        <w:rPr>
          <w:rFonts w:ascii="Times New Roman" w:eastAsia="Times New Roman" w:hAnsi="Times New Roman" w:cs="Arial"/>
          <w:iCs/>
          <w:color w:val="000000"/>
          <w:kern w:val="0"/>
          <w:sz w:val="28"/>
          <w:szCs w:val="28"/>
          <w:lang w:val="uk-UA" w:eastAsia="ru-RU"/>
          <w14:ligatures w14:val="none"/>
        </w:rPr>
        <w:t>науково-педагогічними працівниками</w:t>
      </w:r>
      <w:r w:rsidRPr="00B44B71">
        <w:rPr>
          <w:rFonts w:ascii="Times New Roman" w:eastAsia="Times New Roman" w:hAnsi="Times New Roman" w:cs="Times New Roman"/>
          <w:iCs/>
          <w:color w:val="000000"/>
          <w:kern w:val="0"/>
          <w:sz w:val="28"/>
          <w:szCs w:val="28"/>
          <w:lang w:val="uk-UA" w:eastAsia="ru-RU"/>
          <w14:ligatures w14:val="none"/>
        </w:rPr>
        <w:t xml:space="preserve"> педагогічних</w:t>
      </w:r>
      <w:r w:rsidRPr="00B44B71">
        <w:rPr>
          <w:rFonts w:ascii="Times New Roman" w:eastAsia="Times New Roman" w:hAnsi="Times New Roman" w:cs="Times New Roman"/>
          <w:color w:val="000000"/>
          <w:kern w:val="0"/>
          <w:sz w:val="28"/>
          <w:szCs w:val="28"/>
          <w:lang w:val="uk-UA" w:eastAsia="ru-RU"/>
          <w14:ligatures w14:val="none"/>
        </w:rPr>
        <w:t xml:space="preserve"> обставин, </w:t>
      </w:r>
      <w:r w:rsidRPr="00B44B71">
        <w:rPr>
          <w:rFonts w:ascii="Times New Roman" w:eastAsia="Times New Roman" w:hAnsi="Times New Roman" w:cs="Times New Roman"/>
          <w:iCs/>
          <w:color w:val="000000"/>
          <w:kern w:val="0"/>
          <w:sz w:val="28"/>
          <w:szCs w:val="28"/>
          <w:lang w:val="uk-UA" w:eastAsia="ru-RU"/>
          <w14:ligatures w14:val="none"/>
        </w:rPr>
        <w:t>впровадження яких в освітній процес ВВНЗ активізує формування професійної компетентності майбутніх офіцерів – фахівців з фізичної культури і спорту ЗС України та забезпечить результативність</w:t>
      </w:r>
      <w:r w:rsidRPr="00B44B71">
        <w:rPr>
          <w:rFonts w:ascii="Times New Roman" w:eastAsia="Times New Roman" w:hAnsi="Times New Roman" w:cs="Arial"/>
          <w:iCs/>
          <w:color w:val="000000"/>
          <w:kern w:val="0"/>
          <w:sz w:val="28"/>
          <w:szCs w:val="28"/>
          <w:lang w:val="uk-UA" w:eastAsia="ru-RU"/>
          <w14:ligatures w14:val="none"/>
        </w:rPr>
        <w:t xml:space="preserve"> цього процесу (Свистун &amp; Поливанюк, 2025).</w:t>
      </w:r>
    </w:p>
    <w:p w14:paraId="3F818D5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 повною мірою повинно усвідомлюватися і враховуватися неможливість вирішення проблеми шляхом реалізації якоїсь однієї умови. У реальній педагогічній практиці будь-яка умова завжди виступає в сукупності з іншими, тому, як правило, діє група педагогічних умов. Більшість учених сьогодні вважає, що освітня діяльність має забезпечуватися цілим комплексом взаємопов’язаних педагогічних умов, які є структурними компонентами цілісної педагогічної системи”, зазначає А. Литвин (2014).</w:t>
      </w:r>
    </w:p>
    <w:p w14:paraId="6818213D"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В наукових дослідженнях з педагогічної галузі, як правило, зазначаються ті умови, які вигідно відрізняють запропоновані рішення (системи, технології, методики тощо) від діючих (Брюханова, 2010).</w:t>
      </w:r>
    </w:p>
    <w:p w14:paraId="00C00AD0"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lastRenderedPageBreak/>
        <w:t>Значний інтерес викликають наукові праці щодо визначення та обґрунтування педагогічних умов формування та розвитку професійної компетентності військових фахівців. Так, на думку Ю. Лісніченка (2015), педагогічними умовами підготовки майбутніх офіцерів до професійної діяльності в процесі вивчення фахових дисциплін є мотивування їх до вивчення фахових дисциплін на основі компетентнісного підходу, активізація підготовки майбутніх офіцерів до професійної діяльності з використанням інтерактивних методів, а також організація самостійної роботи майбутніх офіцерів для підвищення якості їх професійної підготовки. Євсюков О. (2007) обґрунтовує лише дві педагогічні умови формування професійної компетентності майбутніх офіцерів – усвідомлення курсантами значущості та сутності професійної компетентності та включення майбутніх офіцерів у навчальну діяльність на основі створеної моделі компетентності. Для формування фахової компетентності майбутніх офіцерів тилу в процесі професійної підготовки А. Шевченко (2017) вважає необхідними такі організаційно-педагогічні умови: формування освітнього середовища у ВВНЗ для стимулювання позитивної мотивації фахової діяльності, впровадження інтерактивних технологій для підвищення ефективності пізнавальної діяльності курсантів, вдосконалення практичної підготовки на основі активізації самостійної діяльності курсантів, активізація самовдосконалення особистісних якостей та професійної позиції курсантів. Організаційно-педагогічними умовами розвитку фахової компетентності офіцерів органів виховної та соціально-психологічної роботи у системі підвищення кваліфікації О. Воронцовим (2014) обґрунтовано: оновлення змісту та методики викладання у системі підвищення кваліфікації, використання сучасних методів і форм розвитку фахової компетентності, наявність цілісної системи навчально-методичного забезпечення розвитку фахової компетентності, зокрема для доцільного педагогічного супроводу дистанційної форми підвищення кваліфікації. С. Нехаєнко (2021) вважає, що для розвитку професійної компетентності офіцерів-організаторів морально-психологічного забезпечення в процесі оперативно-тактичної підготовки необхідними і достатніми є такі організаційно-педагогічні умови: педагогічне моделювання розвитку їхньої професійної компетентності, удосконалення професійно-орієнтованої методики її розвитку, забезпечення їх саморозвитку у навчальній діяльності, використання вдосконалених об’єктивних критеріїв оцінювання розвиненості їх професійної компетентності. Бакуменко Р. (2021) доводить, що розвиток професійної компетентності офіцерів інформаційно-аналітичного забезпечення у системі післядипломної освіти буде успішним за наявності таких організаційно-педагогічних умов: цілеспрямоване мотивування слухачів до розвитку професійної компетентності, педагогічне моделювання її розвитку, застосування методики поетапного її розвитку, створення інформаційно-освітнього середовища ВВНЗ.</w:t>
      </w:r>
    </w:p>
    <w:p w14:paraId="626B8562"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 xml:space="preserve">Важливим для нашого дослідження є умовивід О. Тракалюка (2020) про те, що організаційно-педагогічні умови спеціально створюються для досягнення </w:t>
      </w:r>
      <w:r w:rsidRPr="00B44B71">
        <w:rPr>
          <w:rFonts w:ascii="Times New Roman" w:eastAsia="Times New Roman" w:hAnsi="Times New Roman" w:cs="Times New Roman"/>
          <w:color w:val="000000"/>
          <w:kern w:val="0"/>
          <w:sz w:val="28"/>
          <w:szCs w:val="28"/>
          <w:lang w:val="uk-UA" w:eastAsia="ru-RU"/>
          <w14:ligatures w14:val="none"/>
        </w:rPr>
        <w:lastRenderedPageBreak/>
        <w:t>конкретних педагогічних цілей і водночас мають охоплювати теоретичні, методичні та практичні аспекти розвитку фахової компетентності. Вони є певними стійкими обставинами й чинниками, що сприяють її розвитку, а реалізація однієї педагогічної умови є передумовою реалізації іншої. Організаційно-педагогічними умовами розвитку фахової компетентності посадових осіб кадрових органів ЗС України у системі післядипломної освіти науковець визначає такі: педагогічне моделювання розвитку фахової компетентності посадових осіб кадрових органів ЗС України в системі післядипломної освіти, наявність сучасної методики її розвитку, використання сучасних організаційних форм розвитку фахової компетентності посадових осіб кадрових органів ЗС України, самоменеджмент посадових осіб кадрових органів ЗС України у процесі її розвитку, використання об’єктивних критеріїв оцінювання розвиненості фахової компетентності посадових осіб кадрових органів ЗС України, що відображають її структуру та специфіку.</w:t>
      </w:r>
    </w:p>
    <w:p w14:paraId="51E8E6CE" w14:textId="77777777" w:rsidR="00B44B71" w:rsidRPr="00B44B71" w:rsidRDefault="00B44B71" w:rsidP="00023291">
      <w:pPr>
        <w:widowControl w:val="0"/>
        <w:tabs>
          <w:tab w:val="left" w:pos="9638"/>
        </w:tabs>
        <w:spacing w:after="0" w:line="240" w:lineRule="auto"/>
        <w:ind w:firstLine="567"/>
        <w:jc w:val="both"/>
        <w:rPr>
          <w:rFonts w:ascii="Times New Roman" w:eastAsia="Calibri" w:hAnsi="Times New Roman" w:cs="Times New Roman"/>
          <w:color w:val="000000"/>
          <w:kern w:val="0"/>
          <w:sz w:val="28"/>
          <w:szCs w:val="28"/>
          <w:lang w:val="uk-UA"/>
          <w14:ligatures w14:val="none"/>
        </w:rPr>
      </w:pPr>
      <w:r w:rsidRPr="00B44B71">
        <w:rPr>
          <w:rFonts w:ascii="Times New Roman" w:eastAsia="Calibri" w:hAnsi="Times New Roman" w:cs="Times New Roman"/>
          <w:color w:val="000000"/>
          <w:kern w:val="0"/>
          <w:sz w:val="28"/>
          <w:szCs w:val="28"/>
          <w:lang w:val="uk-UA"/>
          <w14:ligatures w14:val="none"/>
        </w:rPr>
        <w:t>Особливого значення для нашого дослідження набуває визначення Д. Погребняком (2020) організаційно-педагогічних умов розвитку фахової компетентності начальників фізичної підготовки і спорту військових частин ЗС України як сукупності необхідних і достатніх організаційних і педагогічних обставин і чинників, яка формує сприятливе педагогічне середовище для її розвитку, а саме: педагогічне моделювання поетапного розвитку фахової компетентності начальників фізичної підготовки і спорту, удосконалення методики контекстного розвитку їх фахової компетентності, забезпечення саморозвитку начальників фізичної підготовки і спорту, об’єктивне оцінювання розвиненості фахової компетентності начальників фізичної підготовки і спорту.</w:t>
      </w:r>
    </w:p>
    <w:p w14:paraId="6EEB48D8"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Відтак аналіз наукових праць щодо формування і розвитку професійної компетентності військових фахівців свідчить про те, що поняття “педагогічна умова” є поширеним у педагогічних дослідженнях у зв’язку з його практичною значущістю, спрямованістю на оптимізацію освітнього процесу в ВВНЗ. Зважаючи на практичну значущість, спрямованість на вдосконалення функціонування педагогічних систем, підвищення результативності освітнього процесу, поняття “педагогічна умова” нині є одним із найпоширеніших у педагогічних дисертаційних роботах. Їх аналіз дає підстави стверджувати, що більша частина науковців ставить за мету виокремлення, теоретичне обґрунтування й експериментальну апробацію комплексу певних педагогічних умов.</w:t>
      </w:r>
    </w:p>
    <w:p w14:paraId="535688C5"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Педагогічні умови формування професійної компетентності майбутніх фахівців з фізичної культури і спорту, як зазначає Д. Погребняк (2020), мають бути системними та містити методологічні, теоретичні, методичні та практичні аспекти їх професійної підготовки:</w:t>
      </w:r>
    </w:p>
    <w:p w14:paraId="39C9C29C"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методологічний аспект – містить ключові ідеї та принципи, на основі яких здійснюється професійна підготовка;</w:t>
      </w:r>
    </w:p>
    <w:p w14:paraId="0C3BBABC"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теоретичний аспект – передбачає: цілі, принципи, зміст та результат професійної підготовки військових фахівців;</w:t>
      </w:r>
    </w:p>
    <w:p w14:paraId="6A776C86"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lastRenderedPageBreak/>
        <w:t>методичний аспект – це, в першу чергу, основні методи, технології, засоби та методика їх реалізації у навчальному процесі;</w:t>
      </w:r>
    </w:p>
    <w:p w14:paraId="028B53A9"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практичний аспект – наявність сучасної навчальної матеріально-технічної бази, що відповідає сучасним вимогам та специфіці діяльності майбутніх фахівців.</w:t>
      </w:r>
    </w:p>
    <w:p w14:paraId="36151AFD"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 xml:space="preserve">Відтак узагальнення науково-педагогічних та довідкових джерел щодо проблеми дослідження уможливлює висновок про те, що педагогічні умови формування професійної компетентності майбутніх офіцерів – фахівців з фізичної культури і спорту ЗС України виступають важливим елементом педагогічної системи (цілісного педагогічного процесу), відображають сукупність можливостей освітнього середовища ВВНЗ, що впливають на функціонування освітньої системи. </w:t>
      </w:r>
    </w:p>
    <w:p w14:paraId="62B93646"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 xml:space="preserve">Важливими для визначення педагогічних умов формування професійної компетентності майбутніх офіцерів </w:t>
      </w:r>
      <w:r w:rsidRPr="00B44B71">
        <w:rPr>
          <w:rFonts w:ascii="Times New Roman" w:eastAsia="Times New Roman" w:hAnsi="Times New Roman" w:cs="Times New Roman"/>
          <w:color w:val="000000"/>
          <w:kern w:val="0"/>
          <w:sz w:val="28"/>
          <w:szCs w:val="28"/>
          <w:lang w:val="uk-UA" w:eastAsia="ru-RU"/>
          <w14:ligatures w14:val="none"/>
        </w:rPr>
        <w:sym w:font="Symbol" w:char="F02D"/>
      </w:r>
      <w:r w:rsidRPr="00B44B71">
        <w:rPr>
          <w:rFonts w:ascii="Times New Roman" w:eastAsia="Times New Roman" w:hAnsi="Times New Roman" w:cs="Times New Roman"/>
          <w:color w:val="000000"/>
          <w:kern w:val="0"/>
          <w:sz w:val="28"/>
          <w:szCs w:val="28"/>
          <w:lang w:val="uk-UA" w:eastAsia="ru-RU"/>
          <w14:ligatures w14:val="none"/>
        </w:rPr>
        <w:t xml:space="preserve"> фахівців з фізичної культури і спорту ЗС України стали результати експертного оцінювання. </w:t>
      </w:r>
    </w:p>
    <w:p w14:paraId="76640E84"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 xml:space="preserve">Найчастіше в педагогічних дослідженнях застосовують метод експертних оцінок за допомогою якого здійснюються: </w:t>
      </w:r>
    </w:p>
    <w:p w14:paraId="778DDE27"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аналіз складних педагогічних явищ, процесів, ситуацій, що характеризується, в основному, якісними ознаками, які не піддаються формалізації;</w:t>
      </w:r>
    </w:p>
    <w:p w14:paraId="18907648" w14:textId="77777777" w:rsidR="00B44B71" w:rsidRPr="00B44B71" w:rsidRDefault="00B44B71" w:rsidP="00023291">
      <w:pPr>
        <w:widowControl w:val="0"/>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 xml:space="preserve">визначення і ранжування за заданим критерієм найістотніших чинників, що впливають на функціонування і розвиток освітньої системи; </w:t>
      </w:r>
    </w:p>
    <w:p w14:paraId="79166239"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оцінювання альтернативних розв՚язків і вибір найбільш вдалих тощо.</w:t>
      </w:r>
    </w:p>
    <w:p w14:paraId="6AC31C24"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Цей метод вимагає скрупульозного добору експертів, які мають ґрунтовні професійні та фахові знання і значні результати успішної педагогічної діяльності у галузі фізичної підготовки і спорту ЗС України (Ягупов, 2024). Слово “експерт” (expertus) у перекладі з латинської мови означає “досвідчений”, що, в свою чергу, походить від слова “experire” – досліджувати. Експерт – це особа (фахівець), якому довірено висловити думку про якийсь суперечливий чи складний випадок, оскільки людство у складних ситуаціях завжди намагалося врахувати думку висококваліфікованих фахівців у різних сферах життєдіяльності (Гнатієнко &amp; Снитюк, 2008). Отже, метод експертних оцінок уможливлює об’єктивне оцінювання на основі певної сукупності індивідуальних думок експертів.</w:t>
      </w:r>
    </w:p>
    <w:p w14:paraId="5A1B7F99" w14:textId="77777777" w:rsid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bookmarkStart w:id="42" w:name="_Hlk187661678"/>
      <w:r w:rsidRPr="00B44B71">
        <w:rPr>
          <w:rFonts w:ascii="Times New Roman" w:eastAsia="Times New Roman" w:hAnsi="Times New Roman" w:cs="Times New Roman"/>
          <w:color w:val="000000"/>
          <w:kern w:val="0"/>
          <w:sz w:val="28"/>
          <w:szCs w:val="28"/>
          <w:lang w:val="uk-UA" w:eastAsia="ru-RU"/>
          <w14:ligatures w14:val="none"/>
        </w:rPr>
        <w:t>До групи експертів були включені фахівці з фізичної підготовки і спорту ВВНЗ, з них: начальник кафедри – 4; начальник управління (науково-дослідного відділу) – 2; професор кафедри – 1; доцент кафедри – 2; старший викладач – 2. Якісний склад експертів представлено в таблиці 1.</w:t>
      </w:r>
    </w:p>
    <w:p w14:paraId="73470E98" w14:textId="77777777" w:rsidR="00B66A78" w:rsidRPr="00B44B71" w:rsidRDefault="00B66A78" w:rsidP="00B66A78">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де d – відхилення суми рангів для педагогічної умови від середньої суми рангів; d</w:t>
      </w:r>
      <w:r w:rsidRPr="00B44B71">
        <w:rPr>
          <w:rFonts w:ascii="Times New Roman" w:eastAsia="Times New Roman" w:hAnsi="Times New Roman" w:cs="Times New Roman"/>
          <w:color w:val="000000"/>
          <w:kern w:val="0"/>
          <w:sz w:val="28"/>
          <w:szCs w:val="28"/>
          <w:vertAlign w:val="superscript"/>
          <w:lang w:val="uk-UA" w:eastAsia="ru-RU"/>
          <w14:ligatures w14:val="none"/>
        </w:rPr>
        <w:t>2</w:t>
      </w:r>
      <w:r w:rsidRPr="00B44B71">
        <w:rPr>
          <w:rFonts w:ascii="Times New Roman" w:eastAsia="Times New Roman" w:hAnsi="Times New Roman" w:cs="Times New Roman"/>
          <w:color w:val="000000"/>
          <w:kern w:val="0"/>
          <w:sz w:val="28"/>
          <w:szCs w:val="28"/>
          <w:lang w:val="uk-UA" w:eastAsia="ru-RU"/>
          <w14:ligatures w14:val="none"/>
        </w:rPr>
        <w:t xml:space="preserve"> – квадрат відхилення; ∑d – сума квадратів відхилень.</w:t>
      </w:r>
    </w:p>
    <w:p w14:paraId="0807C6F2" w14:textId="77777777" w:rsidR="00B66A78" w:rsidRPr="00B44B71" w:rsidRDefault="00B66A78" w:rsidP="00B66A78">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 xml:space="preserve">Оцінювання середнього ступеня узгодженості думок всіх експертів. </w:t>
      </w:r>
    </w:p>
    <w:p w14:paraId="2D67F0C8" w14:textId="77777777" w:rsidR="00B66A78" w:rsidRPr="00B44B71" w:rsidRDefault="00B66A78" w:rsidP="00B66A78">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 xml:space="preserve">Коефіцієнт узгодженості: </w:t>
      </w:r>
    </w:p>
    <w:p w14:paraId="3777355D" w14:textId="77777777" w:rsidR="00B66A78" w:rsidRPr="00B44B71" w:rsidRDefault="00B66A78" w:rsidP="00023291">
      <w:pPr>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p>
    <w:p w14:paraId="6BFAE759" w14:textId="77777777" w:rsidR="00B44B71" w:rsidRPr="00B44B71" w:rsidRDefault="00B44B71" w:rsidP="00023291">
      <w:pPr>
        <w:widowControl w:val="0"/>
        <w:tabs>
          <w:tab w:val="left" w:pos="9638"/>
        </w:tabs>
        <w:spacing w:after="0" w:line="240" w:lineRule="auto"/>
        <w:ind w:firstLine="709"/>
        <w:jc w:val="right"/>
        <w:rPr>
          <w:rFonts w:ascii="Times New Roman" w:eastAsia="Times New Roman" w:hAnsi="Times New Roman" w:cs="Times New Roman"/>
          <w:color w:val="000000"/>
          <w:kern w:val="0"/>
          <w:sz w:val="28"/>
          <w:szCs w:val="28"/>
          <w:lang w:val="uk-UA" w:eastAsia="ru-RU"/>
          <w14:ligatures w14:val="none"/>
        </w:rPr>
      </w:pPr>
    </w:p>
    <w:p w14:paraId="138A2836" w14:textId="77777777" w:rsidR="00B44B71" w:rsidRPr="00B44B71" w:rsidRDefault="00B44B71" w:rsidP="00023291">
      <w:pPr>
        <w:widowControl w:val="0"/>
        <w:tabs>
          <w:tab w:val="left" w:pos="9638"/>
        </w:tabs>
        <w:spacing w:after="0" w:line="240" w:lineRule="auto"/>
        <w:ind w:firstLine="709"/>
        <w:jc w:val="right"/>
        <w:rPr>
          <w:rFonts w:ascii="Times New Roman" w:eastAsia="Times New Roman" w:hAnsi="Times New Roman" w:cs="Times New Roman"/>
          <w:color w:val="000000"/>
          <w:kern w:val="0"/>
          <w:sz w:val="28"/>
          <w:szCs w:val="28"/>
          <w:lang w:val="uk-UA" w:eastAsia="ru-RU"/>
          <w14:ligatures w14:val="none"/>
        </w:rPr>
      </w:pPr>
    </w:p>
    <w:p w14:paraId="3635623B" w14:textId="77777777" w:rsidR="00B44B71" w:rsidRPr="00B44B71" w:rsidRDefault="00B44B71" w:rsidP="00023291">
      <w:pPr>
        <w:widowControl w:val="0"/>
        <w:tabs>
          <w:tab w:val="left" w:pos="9638"/>
        </w:tabs>
        <w:spacing w:after="0" w:line="240" w:lineRule="auto"/>
        <w:ind w:firstLine="709"/>
        <w:jc w:val="right"/>
        <w:rPr>
          <w:rFonts w:ascii="Times New Roman" w:eastAsia="Times New Roman" w:hAnsi="Times New Roman" w:cs="Times New Roman"/>
          <w:color w:val="000000"/>
          <w:kern w:val="0"/>
          <w:sz w:val="28"/>
          <w:szCs w:val="28"/>
          <w:lang w:val="uk-UA" w:eastAsia="ru-RU"/>
          <w14:ligatures w14:val="none"/>
        </w:rPr>
      </w:pPr>
    </w:p>
    <w:p w14:paraId="39063744" w14:textId="77777777" w:rsidR="00B44B71" w:rsidRPr="00B44B71" w:rsidRDefault="00B44B71" w:rsidP="00023291">
      <w:pPr>
        <w:widowControl w:val="0"/>
        <w:tabs>
          <w:tab w:val="left" w:pos="9638"/>
        </w:tabs>
        <w:spacing w:after="0" w:line="240" w:lineRule="auto"/>
        <w:ind w:firstLine="709"/>
        <w:jc w:val="right"/>
        <w:rPr>
          <w:rFonts w:ascii="Times New Roman" w:eastAsia="Times New Roman" w:hAnsi="Times New Roman" w:cs="Times New Roman"/>
          <w:color w:val="000000"/>
          <w:kern w:val="0"/>
          <w:sz w:val="28"/>
          <w:szCs w:val="28"/>
          <w:lang w:val="uk-UA" w:eastAsia="ru-RU"/>
          <w14:ligatures w14:val="none"/>
        </w:rPr>
      </w:pPr>
    </w:p>
    <w:p w14:paraId="3E8310A2" w14:textId="77777777" w:rsidR="00B44B71" w:rsidRPr="00B44B71" w:rsidRDefault="00B44B71" w:rsidP="00023291">
      <w:pPr>
        <w:widowControl w:val="0"/>
        <w:tabs>
          <w:tab w:val="left" w:pos="9638"/>
        </w:tabs>
        <w:spacing w:after="0" w:line="240" w:lineRule="auto"/>
        <w:ind w:firstLine="709"/>
        <w:jc w:val="right"/>
        <w:rPr>
          <w:rFonts w:ascii="Times New Roman" w:eastAsia="Times New Roman" w:hAnsi="Times New Roman" w:cs="Times New Roman"/>
          <w:color w:val="000000"/>
          <w:kern w:val="0"/>
          <w:sz w:val="28"/>
          <w:szCs w:val="28"/>
          <w:lang w:val="uk-UA" w:eastAsia="ru-RU"/>
          <w14:ligatures w14:val="none"/>
        </w:rPr>
      </w:pPr>
    </w:p>
    <w:p w14:paraId="4521E407" w14:textId="77777777" w:rsidR="00B44B71" w:rsidRPr="00B44B71" w:rsidRDefault="00B44B71" w:rsidP="00023291">
      <w:pPr>
        <w:widowControl w:val="0"/>
        <w:tabs>
          <w:tab w:val="left" w:pos="9638"/>
        </w:tabs>
        <w:spacing w:after="0" w:line="240" w:lineRule="auto"/>
        <w:ind w:firstLine="709"/>
        <w:jc w:val="right"/>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 xml:space="preserve">Таблиця 1 </w:t>
      </w:r>
    </w:p>
    <w:p w14:paraId="4035BDD4" w14:textId="77777777" w:rsidR="00B44B71" w:rsidRPr="00B44B71" w:rsidRDefault="00B44B71" w:rsidP="00023291">
      <w:pPr>
        <w:widowControl w:val="0"/>
        <w:tabs>
          <w:tab w:val="left" w:pos="9638"/>
        </w:tabs>
        <w:spacing w:after="0" w:line="240" w:lineRule="auto"/>
        <w:ind w:firstLine="709"/>
        <w:jc w:val="center"/>
        <w:rPr>
          <w:rFonts w:ascii="Times New Roman" w:eastAsia="Times New Roman" w:hAnsi="Times New Roman" w:cs="Times New Roman"/>
          <w:b/>
          <w:bCs/>
          <w:color w:val="000000"/>
          <w:kern w:val="0"/>
          <w:sz w:val="28"/>
          <w:szCs w:val="28"/>
          <w:lang w:val="uk-UA" w:eastAsia="ru-RU"/>
          <w14:ligatures w14:val="none"/>
        </w:rPr>
      </w:pPr>
      <w:r w:rsidRPr="00B44B71">
        <w:rPr>
          <w:rFonts w:ascii="Times New Roman" w:eastAsia="Times New Roman" w:hAnsi="Times New Roman" w:cs="Times New Roman"/>
          <w:b/>
          <w:bCs/>
          <w:color w:val="000000"/>
          <w:kern w:val="0"/>
          <w:sz w:val="28"/>
          <w:szCs w:val="28"/>
          <w:lang w:val="uk-UA" w:eastAsia="ru-RU"/>
          <w14:ligatures w14:val="none"/>
        </w:rPr>
        <w:t>Якісний склад експертів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3"/>
        <w:gridCol w:w="1984"/>
        <w:gridCol w:w="2271"/>
      </w:tblGrid>
      <w:tr w:rsidR="00B44B71" w:rsidRPr="00B44B71" w14:paraId="085599AF" w14:textId="77777777" w:rsidTr="00F918EC">
        <w:trPr>
          <w:jc w:val="center"/>
        </w:trPr>
        <w:tc>
          <w:tcPr>
            <w:tcW w:w="4483" w:type="dxa"/>
            <w:vAlign w:val="center"/>
          </w:tcPr>
          <w:p w14:paraId="68C04D52" w14:textId="77777777" w:rsidR="00B44B71" w:rsidRPr="00B44B71" w:rsidRDefault="00B44B71" w:rsidP="00023291">
            <w:pPr>
              <w:widowControl w:val="0"/>
              <w:tabs>
                <w:tab w:val="left" w:pos="9638"/>
              </w:tabs>
              <w:spacing w:after="0" w:line="240" w:lineRule="auto"/>
              <w:ind w:firstLine="34"/>
              <w:jc w:val="center"/>
              <w:rPr>
                <w:rFonts w:ascii="Times New Roman" w:eastAsia="Times New Roman" w:hAnsi="Times New Roman" w:cs="Times New Roman"/>
                <w:b/>
                <w:bCs/>
                <w:color w:val="000000"/>
                <w:kern w:val="0"/>
                <w:sz w:val="24"/>
                <w:szCs w:val="24"/>
                <w:lang w:val="uk-UA" w:eastAsia="ru-RU"/>
                <w14:ligatures w14:val="none"/>
              </w:rPr>
            </w:pPr>
            <w:r w:rsidRPr="00B44B71">
              <w:rPr>
                <w:rFonts w:ascii="Times New Roman" w:eastAsia="Times New Roman" w:hAnsi="Times New Roman" w:cs="Times New Roman"/>
                <w:b/>
                <w:bCs/>
                <w:color w:val="000000"/>
                <w:kern w:val="0"/>
                <w:sz w:val="24"/>
                <w:szCs w:val="24"/>
                <w:lang w:val="uk-UA" w:eastAsia="ru-RU"/>
                <w14:ligatures w14:val="none"/>
              </w:rPr>
              <w:t>Кваліфікаційні дані експертів</w:t>
            </w:r>
          </w:p>
        </w:tc>
        <w:tc>
          <w:tcPr>
            <w:tcW w:w="1984" w:type="dxa"/>
            <w:vAlign w:val="center"/>
          </w:tcPr>
          <w:p w14:paraId="346344CA" w14:textId="77777777" w:rsidR="00B44B71" w:rsidRPr="00B44B71" w:rsidRDefault="00B44B71" w:rsidP="00023291">
            <w:pPr>
              <w:widowControl w:val="0"/>
              <w:tabs>
                <w:tab w:val="left" w:pos="9638"/>
              </w:tabs>
              <w:spacing w:after="0" w:line="240" w:lineRule="auto"/>
              <w:ind w:firstLine="34"/>
              <w:jc w:val="center"/>
              <w:rPr>
                <w:rFonts w:ascii="Times New Roman" w:eastAsia="Times New Roman" w:hAnsi="Times New Roman" w:cs="Times New Roman"/>
                <w:b/>
                <w:bCs/>
                <w:color w:val="000000"/>
                <w:kern w:val="0"/>
                <w:sz w:val="24"/>
                <w:szCs w:val="24"/>
                <w:lang w:val="uk-UA" w:eastAsia="ru-RU"/>
                <w14:ligatures w14:val="none"/>
              </w:rPr>
            </w:pPr>
            <w:r w:rsidRPr="00B44B71">
              <w:rPr>
                <w:rFonts w:ascii="Times New Roman" w:eastAsia="Times New Roman" w:hAnsi="Times New Roman" w:cs="Times New Roman"/>
                <w:b/>
                <w:bCs/>
                <w:color w:val="000000"/>
                <w:kern w:val="0"/>
                <w:sz w:val="24"/>
                <w:szCs w:val="24"/>
                <w:lang w:val="uk-UA" w:eastAsia="ru-RU"/>
                <w14:ligatures w14:val="none"/>
              </w:rPr>
              <w:t>Кількість</w:t>
            </w:r>
          </w:p>
        </w:tc>
        <w:tc>
          <w:tcPr>
            <w:tcW w:w="2271" w:type="dxa"/>
            <w:vAlign w:val="center"/>
          </w:tcPr>
          <w:p w14:paraId="5F52D8D7" w14:textId="77777777" w:rsidR="00B44B71" w:rsidRPr="00B44B71" w:rsidRDefault="00B44B71" w:rsidP="00023291">
            <w:pPr>
              <w:widowControl w:val="0"/>
              <w:tabs>
                <w:tab w:val="left" w:pos="9638"/>
              </w:tabs>
              <w:spacing w:after="0" w:line="240" w:lineRule="auto"/>
              <w:ind w:firstLine="34"/>
              <w:jc w:val="center"/>
              <w:rPr>
                <w:rFonts w:ascii="Times New Roman" w:eastAsia="Times New Roman" w:hAnsi="Times New Roman" w:cs="Times New Roman"/>
                <w:b/>
                <w:bCs/>
                <w:color w:val="000000"/>
                <w:kern w:val="0"/>
                <w:sz w:val="24"/>
                <w:szCs w:val="24"/>
                <w:lang w:val="uk-UA" w:eastAsia="ru-RU"/>
                <w14:ligatures w14:val="none"/>
              </w:rPr>
            </w:pPr>
            <w:r w:rsidRPr="00B44B71">
              <w:rPr>
                <w:rFonts w:ascii="Times New Roman" w:eastAsia="Times New Roman" w:hAnsi="Times New Roman" w:cs="Times New Roman"/>
                <w:b/>
                <w:bCs/>
                <w:color w:val="000000"/>
                <w:kern w:val="0"/>
                <w:sz w:val="24"/>
                <w:szCs w:val="24"/>
                <w:lang w:val="uk-UA" w:eastAsia="ru-RU"/>
                <w14:ligatures w14:val="none"/>
              </w:rPr>
              <w:t>%</w:t>
            </w:r>
          </w:p>
        </w:tc>
      </w:tr>
      <w:tr w:rsidR="00B44B71" w:rsidRPr="00B44B71" w14:paraId="232662EC" w14:textId="77777777" w:rsidTr="00F918EC">
        <w:trPr>
          <w:trHeight w:val="277"/>
          <w:jc w:val="center"/>
        </w:trPr>
        <w:tc>
          <w:tcPr>
            <w:tcW w:w="8738" w:type="dxa"/>
            <w:gridSpan w:val="3"/>
          </w:tcPr>
          <w:p w14:paraId="56F57F6D" w14:textId="77777777" w:rsidR="00B44B71" w:rsidRPr="00B44B71" w:rsidRDefault="00B44B71" w:rsidP="00023291">
            <w:pPr>
              <w:widowControl w:val="0"/>
              <w:tabs>
                <w:tab w:val="left" w:pos="9638"/>
              </w:tabs>
              <w:spacing w:after="0" w:line="240" w:lineRule="auto"/>
              <w:ind w:firstLine="318"/>
              <w:jc w:val="both"/>
              <w:rPr>
                <w:rFonts w:ascii="Times New Roman" w:eastAsia="Times New Roman" w:hAnsi="Times New Roman" w:cs="Times New Roman"/>
                <w:i/>
                <w:iCs/>
                <w:color w:val="000000"/>
                <w:kern w:val="0"/>
                <w:sz w:val="24"/>
                <w:szCs w:val="24"/>
                <w:lang w:val="uk-UA" w:eastAsia="ru-RU"/>
                <w14:ligatures w14:val="none"/>
              </w:rPr>
            </w:pPr>
            <w:r w:rsidRPr="00B44B71">
              <w:rPr>
                <w:rFonts w:ascii="Times New Roman" w:eastAsia="Times New Roman" w:hAnsi="Times New Roman" w:cs="Times New Roman"/>
                <w:i/>
                <w:iCs/>
                <w:color w:val="000000"/>
                <w:kern w:val="0"/>
                <w:sz w:val="24"/>
                <w:szCs w:val="24"/>
                <w:lang w:val="uk-UA" w:eastAsia="ru-RU"/>
                <w14:ligatures w14:val="none"/>
              </w:rPr>
              <w:t>Стаж військової служби:</w:t>
            </w:r>
          </w:p>
        </w:tc>
      </w:tr>
      <w:tr w:rsidR="00B44B71" w:rsidRPr="00B44B71" w14:paraId="7601C150" w14:textId="77777777" w:rsidTr="00F918EC">
        <w:trPr>
          <w:trHeight w:val="272"/>
          <w:jc w:val="center"/>
        </w:trPr>
        <w:tc>
          <w:tcPr>
            <w:tcW w:w="4483" w:type="dxa"/>
          </w:tcPr>
          <w:p w14:paraId="12ADC7E9"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від 15 до 20 років</w:t>
            </w:r>
          </w:p>
        </w:tc>
        <w:tc>
          <w:tcPr>
            <w:tcW w:w="1984" w:type="dxa"/>
          </w:tcPr>
          <w:p w14:paraId="2FDAF6C2"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1</w:t>
            </w:r>
          </w:p>
        </w:tc>
        <w:tc>
          <w:tcPr>
            <w:tcW w:w="2271" w:type="dxa"/>
          </w:tcPr>
          <w:p w14:paraId="7E394465"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9,09</w:t>
            </w:r>
          </w:p>
        </w:tc>
      </w:tr>
      <w:tr w:rsidR="00B44B71" w:rsidRPr="00B44B71" w14:paraId="790B5279" w14:textId="77777777" w:rsidTr="00F918EC">
        <w:trPr>
          <w:trHeight w:val="206"/>
          <w:jc w:val="center"/>
        </w:trPr>
        <w:tc>
          <w:tcPr>
            <w:tcW w:w="4483" w:type="dxa"/>
          </w:tcPr>
          <w:p w14:paraId="3C62062F"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від 20 до 25 років</w:t>
            </w:r>
          </w:p>
        </w:tc>
        <w:tc>
          <w:tcPr>
            <w:tcW w:w="1984" w:type="dxa"/>
          </w:tcPr>
          <w:p w14:paraId="1794171D"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7</w:t>
            </w:r>
          </w:p>
        </w:tc>
        <w:tc>
          <w:tcPr>
            <w:tcW w:w="2271" w:type="dxa"/>
          </w:tcPr>
          <w:p w14:paraId="27476570"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63,63</w:t>
            </w:r>
          </w:p>
        </w:tc>
      </w:tr>
      <w:tr w:rsidR="00B44B71" w:rsidRPr="00B44B71" w14:paraId="00C309C0" w14:textId="77777777" w:rsidTr="00F918EC">
        <w:trPr>
          <w:trHeight w:val="183"/>
          <w:jc w:val="center"/>
        </w:trPr>
        <w:tc>
          <w:tcPr>
            <w:tcW w:w="4483" w:type="dxa"/>
          </w:tcPr>
          <w:p w14:paraId="4267F587"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понад 25 років</w:t>
            </w:r>
          </w:p>
        </w:tc>
        <w:tc>
          <w:tcPr>
            <w:tcW w:w="1984" w:type="dxa"/>
          </w:tcPr>
          <w:p w14:paraId="29430267"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3</w:t>
            </w:r>
          </w:p>
        </w:tc>
        <w:tc>
          <w:tcPr>
            <w:tcW w:w="2271" w:type="dxa"/>
          </w:tcPr>
          <w:p w14:paraId="0ABFF267"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27,27</w:t>
            </w:r>
          </w:p>
        </w:tc>
      </w:tr>
      <w:tr w:rsidR="00B44B71" w:rsidRPr="00F25FCF" w14:paraId="6FCC5E44" w14:textId="77777777" w:rsidTr="00F918EC">
        <w:trPr>
          <w:trHeight w:val="272"/>
          <w:jc w:val="center"/>
        </w:trPr>
        <w:tc>
          <w:tcPr>
            <w:tcW w:w="8738" w:type="dxa"/>
            <w:gridSpan w:val="3"/>
            <w:tcBorders>
              <w:bottom w:val="single" w:sz="4" w:space="0" w:color="auto"/>
            </w:tcBorders>
          </w:tcPr>
          <w:p w14:paraId="5559C44B" w14:textId="77777777" w:rsidR="00B44B71" w:rsidRPr="00B44B71" w:rsidRDefault="00B44B71" w:rsidP="00023291">
            <w:pPr>
              <w:widowControl w:val="0"/>
              <w:tabs>
                <w:tab w:val="left" w:pos="9638"/>
              </w:tabs>
              <w:spacing w:after="0" w:line="240" w:lineRule="auto"/>
              <w:ind w:firstLine="318"/>
              <w:jc w:val="both"/>
              <w:rPr>
                <w:rFonts w:ascii="Times New Roman" w:eastAsia="Times New Roman" w:hAnsi="Times New Roman" w:cs="Times New Roman"/>
                <w:i/>
                <w:iCs/>
                <w:color w:val="000000"/>
                <w:kern w:val="0"/>
                <w:sz w:val="24"/>
                <w:szCs w:val="24"/>
                <w:lang w:val="uk-UA" w:eastAsia="ru-RU"/>
                <w14:ligatures w14:val="none"/>
              </w:rPr>
            </w:pPr>
            <w:r w:rsidRPr="00B44B71">
              <w:rPr>
                <w:rFonts w:ascii="Times New Roman" w:eastAsia="Times New Roman" w:hAnsi="Times New Roman" w:cs="Times New Roman"/>
                <w:i/>
                <w:iCs/>
                <w:color w:val="000000"/>
                <w:kern w:val="0"/>
                <w:sz w:val="24"/>
                <w:szCs w:val="24"/>
                <w:lang w:val="uk-UA" w:eastAsia="ru-RU"/>
                <w14:ligatures w14:val="none"/>
              </w:rPr>
              <w:t>Стаж проходження служби на посаді фахівця з фізичної підготовки і спорту:</w:t>
            </w:r>
          </w:p>
        </w:tc>
      </w:tr>
      <w:tr w:rsidR="00B44B71" w:rsidRPr="00B44B71" w14:paraId="1DCD2D0A" w14:textId="77777777" w:rsidTr="00F918EC">
        <w:trPr>
          <w:trHeight w:val="228"/>
          <w:jc w:val="center"/>
        </w:trPr>
        <w:tc>
          <w:tcPr>
            <w:tcW w:w="4483" w:type="dxa"/>
            <w:tcBorders>
              <w:top w:val="single" w:sz="4" w:space="0" w:color="auto"/>
              <w:bottom w:val="single" w:sz="4" w:space="0" w:color="auto"/>
            </w:tcBorders>
          </w:tcPr>
          <w:p w14:paraId="0E494706"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від 10 до 20 років</w:t>
            </w:r>
          </w:p>
        </w:tc>
        <w:tc>
          <w:tcPr>
            <w:tcW w:w="1984" w:type="dxa"/>
          </w:tcPr>
          <w:p w14:paraId="2C366F72"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4</w:t>
            </w:r>
          </w:p>
        </w:tc>
        <w:tc>
          <w:tcPr>
            <w:tcW w:w="2271" w:type="dxa"/>
          </w:tcPr>
          <w:p w14:paraId="3F5E4015"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36,36</w:t>
            </w:r>
          </w:p>
        </w:tc>
      </w:tr>
      <w:tr w:rsidR="00B44B71" w:rsidRPr="00B44B71" w14:paraId="15DF730C" w14:textId="77777777" w:rsidTr="00F918EC">
        <w:trPr>
          <w:trHeight w:val="219"/>
          <w:jc w:val="center"/>
        </w:trPr>
        <w:tc>
          <w:tcPr>
            <w:tcW w:w="4483" w:type="dxa"/>
            <w:tcBorders>
              <w:top w:val="single" w:sz="4" w:space="0" w:color="auto"/>
            </w:tcBorders>
          </w:tcPr>
          <w:p w14:paraId="63459014"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понад 20 років</w:t>
            </w:r>
          </w:p>
        </w:tc>
        <w:tc>
          <w:tcPr>
            <w:tcW w:w="1984" w:type="dxa"/>
          </w:tcPr>
          <w:p w14:paraId="7EB538FC"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7</w:t>
            </w:r>
          </w:p>
        </w:tc>
        <w:tc>
          <w:tcPr>
            <w:tcW w:w="2271" w:type="dxa"/>
          </w:tcPr>
          <w:p w14:paraId="09582711"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63,63</w:t>
            </w:r>
          </w:p>
        </w:tc>
      </w:tr>
      <w:tr w:rsidR="00B44B71" w:rsidRPr="00B44B71" w14:paraId="0863E8C1" w14:textId="77777777" w:rsidTr="00F918EC">
        <w:trPr>
          <w:trHeight w:val="178"/>
          <w:jc w:val="center"/>
        </w:trPr>
        <w:tc>
          <w:tcPr>
            <w:tcW w:w="8738" w:type="dxa"/>
            <w:gridSpan w:val="3"/>
          </w:tcPr>
          <w:p w14:paraId="384D4BDB" w14:textId="77777777" w:rsidR="00B44B71" w:rsidRPr="00B44B71" w:rsidRDefault="00B44B71" w:rsidP="00023291">
            <w:pPr>
              <w:widowControl w:val="0"/>
              <w:tabs>
                <w:tab w:val="left" w:pos="9638"/>
              </w:tabs>
              <w:spacing w:after="0" w:line="240" w:lineRule="auto"/>
              <w:ind w:firstLine="318"/>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i/>
                <w:iCs/>
                <w:color w:val="000000"/>
                <w:kern w:val="0"/>
                <w:sz w:val="24"/>
                <w:szCs w:val="24"/>
                <w:lang w:val="uk-UA" w:eastAsia="ru-RU"/>
                <w14:ligatures w14:val="none"/>
              </w:rPr>
              <w:t>Науковий ступінь</w:t>
            </w:r>
            <w:r w:rsidRPr="00B44B71">
              <w:rPr>
                <w:rFonts w:ascii="Times New Roman" w:eastAsia="Times New Roman" w:hAnsi="Times New Roman" w:cs="Times New Roman"/>
                <w:color w:val="000000"/>
                <w:kern w:val="0"/>
                <w:sz w:val="24"/>
                <w:szCs w:val="24"/>
                <w:lang w:val="uk-UA" w:eastAsia="ru-RU"/>
                <w14:ligatures w14:val="none"/>
              </w:rPr>
              <w:t>:</w:t>
            </w:r>
          </w:p>
        </w:tc>
      </w:tr>
      <w:tr w:rsidR="00B44B71" w:rsidRPr="00B44B71" w14:paraId="2B2613BA" w14:textId="77777777" w:rsidTr="00F918EC">
        <w:trPr>
          <w:trHeight w:val="276"/>
          <w:jc w:val="center"/>
        </w:trPr>
        <w:tc>
          <w:tcPr>
            <w:tcW w:w="4483" w:type="dxa"/>
          </w:tcPr>
          <w:p w14:paraId="7BE4DF92"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доктор наук</w:t>
            </w:r>
          </w:p>
        </w:tc>
        <w:tc>
          <w:tcPr>
            <w:tcW w:w="1984" w:type="dxa"/>
          </w:tcPr>
          <w:p w14:paraId="1661CB5E"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1</w:t>
            </w:r>
          </w:p>
        </w:tc>
        <w:tc>
          <w:tcPr>
            <w:tcW w:w="2271" w:type="dxa"/>
          </w:tcPr>
          <w:p w14:paraId="40C39B35"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9,09</w:t>
            </w:r>
          </w:p>
        </w:tc>
      </w:tr>
      <w:tr w:rsidR="00B44B71" w:rsidRPr="00B44B71" w14:paraId="0A87C1EE" w14:textId="77777777" w:rsidTr="00F918EC">
        <w:trPr>
          <w:trHeight w:val="195"/>
          <w:jc w:val="center"/>
        </w:trPr>
        <w:tc>
          <w:tcPr>
            <w:tcW w:w="4483" w:type="dxa"/>
          </w:tcPr>
          <w:p w14:paraId="6ECF8761"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кандидат наук</w:t>
            </w:r>
          </w:p>
        </w:tc>
        <w:tc>
          <w:tcPr>
            <w:tcW w:w="1984" w:type="dxa"/>
          </w:tcPr>
          <w:p w14:paraId="2A899903"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6</w:t>
            </w:r>
          </w:p>
        </w:tc>
        <w:tc>
          <w:tcPr>
            <w:tcW w:w="2271" w:type="dxa"/>
          </w:tcPr>
          <w:p w14:paraId="7BBFDCD5"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54,54</w:t>
            </w:r>
          </w:p>
        </w:tc>
      </w:tr>
      <w:tr w:rsidR="00B44B71" w:rsidRPr="00B44B71" w14:paraId="211DC11C" w14:textId="77777777" w:rsidTr="00F918EC">
        <w:trPr>
          <w:trHeight w:val="195"/>
          <w:jc w:val="center"/>
        </w:trPr>
        <w:tc>
          <w:tcPr>
            <w:tcW w:w="4483" w:type="dxa"/>
          </w:tcPr>
          <w:p w14:paraId="15278654"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доктор філософії</w:t>
            </w:r>
          </w:p>
        </w:tc>
        <w:tc>
          <w:tcPr>
            <w:tcW w:w="1984" w:type="dxa"/>
          </w:tcPr>
          <w:p w14:paraId="28590734"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1</w:t>
            </w:r>
          </w:p>
        </w:tc>
        <w:tc>
          <w:tcPr>
            <w:tcW w:w="2271" w:type="dxa"/>
          </w:tcPr>
          <w:p w14:paraId="7A7622B0"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9,09</w:t>
            </w:r>
          </w:p>
        </w:tc>
      </w:tr>
      <w:tr w:rsidR="00B44B71" w:rsidRPr="00B44B71" w14:paraId="3E6BFF7B" w14:textId="77777777" w:rsidTr="00F918EC">
        <w:trPr>
          <w:trHeight w:val="195"/>
          <w:jc w:val="center"/>
        </w:trPr>
        <w:tc>
          <w:tcPr>
            <w:tcW w:w="4483" w:type="dxa"/>
          </w:tcPr>
          <w:p w14:paraId="0D861CBA"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без наукового ступеня</w:t>
            </w:r>
          </w:p>
        </w:tc>
        <w:tc>
          <w:tcPr>
            <w:tcW w:w="1984" w:type="dxa"/>
          </w:tcPr>
          <w:p w14:paraId="6D08BEF8"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3</w:t>
            </w:r>
          </w:p>
        </w:tc>
        <w:tc>
          <w:tcPr>
            <w:tcW w:w="2271" w:type="dxa"/>
          </w:tcPr>
          <w:p w14:paraId="0393212A"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27,27</w:t>
            </w:r>
          </w:p>
        </w:tc>
      </w:tr>
      <w:tr w:rsidR="00B44B71" w:rsidRPr="00B44B71" w14:paraId="187BAE05" w14:textId="77777777" w:rsidTr="00F918EC">
        <w:trPr>
          <w:trHeight w:val="311"/>
          <w:jc w:val="center"/>
        </w:trPr>
        <w:tc>
          <w:tcPr>
            <w:tcW w:w="8738" w:type="dxa"/>
            <w:gridSpan w:val="3"/>
          </w:tcPr>
          <w:p w14:paraId="5034E680" w14:textId="77777777" w:rsidR="00B44B71" w:rsidRPr="00B44B71" w:rsidRDefault="00B44B71" w:rsidP="00023291">
            <w:pPr>
              <w:widowControl w:val="0"/>
              <w:tabs>
                <w:tab w:val="left" w:pos="9638"/>
              </w:tabs>
              <w:spacing w:after="0" w:line="240" w:lineRule="auto"/>
              <w:ind w:firstLine="318"/>
              <w:jc w:val="both"/>
              <w:rPr>
                <w:rFonts w:ascii="Times New Roman" w:eastAsia="Times New Roman" w:hAnsi="Times New Roman" w:cs="Times New Roman"/>
                <w:i/>
                <w:iCs/>
                <w:color w:val="000000"/>
                <w:kern w:val="0"/>
                <w:sz w:val="24"/>
                <w:szCs w:val="24"/>
                <w:lang w:val="uk-UA" w:eastAsia="ru-RU"/>
                <w14:ligatures w14:val="none"/>
              </w:rPr>
            </w:pPr>
            <w:r w:rsidRPr="00B44B71">
              <w:rPr>
                <w:rFonts w:ascii="Times New Roman" w:eastAsia="Times New Roman" w:hAnsi="Times New Roman" w:cs="Times New Roman"/>
                <w:i/>
                <w:iCs/>
                <w:color w:val="000000"/>
                <w:kern w:val="0"/>
                <w:sz w:val="24"/>
                <w:szCs w:val="24"/>
                <w:lang w:val="uk-UA" w:eastAsia="ru-RU"/>
                <w14:ligatures w14:val="none"/>
              </w:rPr>
              <w:t>Рівень військової освіти:</w:t>
            </w:r>
          </w:p>
        </w:tc>
      </w:tr>
      <w:tr w:rsidR="00B44B71" w:rsidRPr="00B44B71" w14:paraId="23A0E554" w14:textId="77777777" w:rsidTr="00F918EC">
        <w:trPr>
          <w:trHeight w:val="300"/>
          <w:jc w:val="center"/>
        </w:trPr>
        <w:tc>
          <w:tcPr>
            <w:tcW w:w="4483" w:type="dxa"/>
          </w:tcPr>
          <w:p w14:paraId="5BCFB069"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оперативно-тактичний</w:t>
            </w:r>
          </w:p>
        </w:tc>
        <w:tc>
          <w:tcPr>
            <w:tcW w:w="1984" w:type="dxa"/>
          </w:tcPr>
          <w:p w14:paraId="49AF87A2"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11</w:t>
            </w:r>
          </w:p>
        </w:tc>
        <w:tc>
          <w:tcPr>
            <w:tcW w:w="2271" w:type="dxa"/>
          </w:tcPr>
          <w:p w14:paraId="6DF3235F"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100</w:t>
            </w:r>
          </w:p>
        </w:tc>
      </w:tr>
      <w:tr w:rsidR="00B44B71" w:rsidRPr="00B44B71" w14:paraId="7DDA7132" w14:textId="77777777" w:rsidTr="00F918EC">
        <w:trPr>
          <w:trHeight w:val="180"/>
          <w:jc w:val="center"/>
        </w:trPr>
        <w:tc>
          <w:tcPr>
            <w:tcW w:w="4483" w:type="dxa"/>
          </w:tcPr>
          <w:p w14:paraId="6E8A9E0E"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оперативно-стратегічний</w:t>
            </w:r>
          </w:p>
        </w:tc>
        <w:tc>
          <w:tcPr>
            <w:tcW w:w="1984" w:type="dxa"/>
          </w:tcPr>
          <w:p w14:paraId="56DE776B"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0</w:t>
            </w:r>
          </w:p>
        </w:tc>
        <w:tc>
          <w:tcPr>
            <w:tcW w:w="2271" w:type="dxa"/>
          </w:tcPr>
          <w:p w14:paraId="2F983949"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0</w:t>
            </w:r>
          </w:p>
        </w:tc>
      </w:tr>
      <w:tr w:rsidR="00B44B71" w:rsidRPr="00B44B71" w14:paraId="0BFBB5F6" w14:textId="77777777" w:rsidTr="00F918EC">
        <w:trPr>
          <w:jc w:val="center"/>
        </w:trPr>
        <w:tc>
          <w:tcPr>
            <w:tcW w:w="4483" w:type="dxa"/>
          </w:tcPr>
          <w:p w14:paraId="40357689" w14:textId="77777777" w:rsidR="00B44B71" w:rsidRPr="00B44B71" w:rsidRDefault="00B44B71" w:rsidP="00023291">
            <w:pPr>
              <w:widowControl w:val="0"/>
              <w:tabs>
                <w:tab w:val="left" w:pos="9638"/>
              </w:tabs>
              <w:spacing w:after="0" w:line="240" w:lineRule="auto"/>
              <w:ind w:firstLine="318"/>
              <w:jc w:val="both"/>
              <w:rPr>
                <w:rFonts w:ascii="Times New Roman" w:eastAsia="Times New Roman" w:hAnsi="Times New Roman" w:cs="Times New Roman"/>
                <w:b/>
                <w:bCs/>
                <w:color w:val="000000"/>
                <w:kern w:val="0"/>
                <w:sz w:val="24"/>
                <w:szCs w:val="24"/>
                <w:lang w:val="uk-UA" w:eastAsia="ru-RU"/>
                <w14:ligatures w14:val="none"/>
              </w:rPr>
            </w:pPr>
            <w:r w:rsidRPr="00B44B71">
              <w:rPr>
                <w:rFonts w:ascii="Times New Roman" w:eastAsia="Times New Roman" w:hAnsi="Times New Roman" w:cs="Times New Roman"/>
                <w:b/>
                <w:bCs/>
                <w:color w:val="000000"/>
                <w:kern w:val="0"/>
                <w:sz w:val="24"/>
                <w:szCs w:val="24"/>
                <w:lang w:val="uk-UA" w:eastAsia="ru-RU"/>
                <w14:ligatures w14:val="none"/>
              </w:rPr>
              <w:t>Усього</w:t>
            </w:r>
          </w:p>
        </w:tc>
        <w:tc>
          <w:tcPr>
            <w:tcW w:w="1984" w:type="dxa"/>
          </w:tcPr>
          <w:p w14:paraId="5E114AD9"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11</w:t>
            </w:r>
          </w:p>
        </w:tc>
        <w:tc>
          <w:tcPr>
            <w:tcW w:w="2271" w:type="dxa"/>
          </w:tcPr>
          <w:p w14:paraId="587141F2"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100</w:t>
            </w:r>
          </w:p>
        </w:tc>
      </w:tr>
    </w:tbl>
    <w:p w14:paraId="52805810"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p>
    <w:p w14:paraId="20BF3269"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 xml:space="preserve">Експерти оцінили педагогічні умови за впливом на формування професійної компетентності майбутніх офіцерів – фахівців з фізичної культури і спорту ЗС України на бакалаврському рівні підготовки у ВВНЗ. Експерти проранжували педагогічні умови за 10-бальною шкалою: найвищий ранг – “1”, найнижчий – “10”. </w:t>
      </w:r>
    </w:p>
    <w:p w14:paraId="61FD9C64" w14:textId="77777777" w:rsid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Після експертного оцінювання для перевірки якості й надійності отриманих експертних даних, підтвердження достовірності результатів нами використано коефіцієнт узгодженості Кендала W та критерій χ</w:t>
      </w:r>
      <w:r w:rsidRPr="00B44B71">
        <w:rPr>
          <w:rFonts w:ascii="Times New Roman" w:eastAsia="Times New Roman" w:hAnsi="Times New Roman" w:cs="Times New Roman"/>
          <w:color w:val="000000"/>
          <w:kern w:val="0"/>
          <w:sz w:val="28"/>
          <w:szCs w:val="28"/>
          <w:vertAlign w:val="superscript"/>
          <w:lang w:val="uk-UA" w:eastAsia="ru-RU"/>
          <w14:ligatures w14:val="none"/>
        </w:rPr>
        <w:t>2</w:t>
      </w:r>
      <w:r w:rsidRPr="00B44B71">
        <w:rPr>
          <w:rFonts w:ascii="Times New Roman" w:eastAsia="Times New Roman" w:hAnsi="Times New Roman" w:cs="Times New Roman"/>
          <w:color w:val="000000"/>
          <w:kern w:val="0"/>
          <w:sz w:val="28"/>
          <w:szCs w:val="28"/>
          <w:lang w:val="uk-UA" w:eastAsia="ru-RU"/>
          <w14:ligatures w14:val="none"/>
        </w:rPr>
        <w:t xml:space="preserve"> (Кошуба et al., 2015) Зазначимо, що коефіцієнт узгодженості характеризує ступінь взаємодії визначених рангів експертами та набуває значення від 0 до 1, причому 1 – максимальна узгодженість, 0 – максимальна неузгодженість. Якщо W&lt;0,2-0,4, значить слабка узгодженість експертів, якщо W&gt;0,6-0,8 </w:t>
      </w:r>
      <w:r w:rsidRPr="00B44B71">
        <w:rPr>
          <w:rFonts w:ascii="Times New Roman" w:eastAsia="Times New Roman" w:hAnsi="Times New Roman" w:cs="Times New Roman"/>
          <w:color w:val="000000"/>
          <w:kern w:val="0"/>
          <w:sz w:val="28"/>
          <w:szCs w:val="28"/>
          <w:lang w:val="uk-UA" w:eastAsia="ru-RU"/>
          <w14:ligatures w14:val="none"/>
        </w:rPr>
        <w:sym w:font="Symbol" w:char="F02D"/>
      </w:r>
      <w:r w:rsidRPr="00B44B71">
        <w:rPr>
          <w:rFonts w:ascii="Times New Roman" w:eastAsia="Times New Roman" w:hAnsi="Times New Roman" w:cs="Times New Roman"/>
          <w:color w:val="000000"/>
          <w:kern w:val="0"/>
          <w:sz w:val="28"/>
          <w:szCs w:val="28"/>
          <w:lang w:val="uk-UA" w:eastAsia="ru-RU"/>
          <w14:ligatures w14:val="none"/>
        </w:rPr>
        <w:t xml:space="preserve"> сильна. Коефіцієнт узгодженості змінюється в діапазоні 0&lt;W&lt;1, причому 0 відповідає неузгодженості, а 1 – повній узгодженості. Якщо значення коефіцієнта узгодженості перевищує 0,40-0,50, то оцінка вважається задовільна, якщо W&gt;0,70-0,80 – висока. На підставі результатів опитування складається зведена матриця рангів (табл. </w:t>
      </w:r>
      <w:r w:rsidRPr="00B44B71">
        <w:rPr>
          <w:rFonts w:ascii="Times New Roman" w:eastAsia="Times New Roman" w:hAnsi="Times New Roman" w:cs="Times New Roman"/>
          <w:color w:val="000000"/>
          <w:kern w:val="0"/>
          <w:sz w:val="28"/>
          <w:szCs w:val="28"/>
          <w:lang w:val="ru-RU" w:eastAsia="ru-RU"/>
          <w14:ligatures w14:val="none"/>
        </w:rPr>
        <w:t>2</w:t>
      </w:r>
      <w:r w:rsidRPr="00B44B71">
        <w:rPr>
          <w:rFonts w:ascii="Times New Roman" w:eastAsia="Times New Roman" w:hAnsi="Times New Roman" w:cs="Times New Roman"/>
          <w:color w:val="000000"/>
          <w:kern w:val="0"/>
          <w:sz w:val="28"/>
          <w:szCs w:val="28"/>
          <w:lang w:val="uk-UA" w:eastAsia="ru-RU"/>
          <w14:ligatures w14:val="none"/>
        </w:rPr>
        <w:t xml:space="preserve">). </w:t>
      </w:r>
    </w:p>
    <w:p w14:paraId="0A04A8CE" w14:textId="77777777" w:rsidR="00B66A78" w:rsidRPr="00B44B71" w:rsidRDefault="00B66A78"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p>
    <w:p w14:paraId="596595A6" w14:textId="77777777" w:rsidR="00B44B71" w:rsidRPr="00B44B71" w:rsidRDefault="00B44B71" w:rsidP="00023291">
      <w:pPr>
        <w:widowControl w:val="0"/>
        <w:tabs>
          <w:tab w:val="left" w:pos="9638"/>
        </w:tabs>
        <w:spacing w:after="0" w:line="240" w:lineRule="auto"/>
        <w:ind w:firstLine="709"/>
        <w:jc w:val="right"/>
        <w:rPr>
          <w:rFonts w:ascii="Times New Roman" w:eastAsia="Times New Roman" w:hAnsi="Times New Roman" w:cs="Times New Roman"/>
          <w:iCs/>
          <w:color w:val="000000"/>
          <w:kern w:val="0"/>
          <w:sz w:val="28"/>
          <w:szCs w:val="28"/>
          <w:lang w:val="uk-UA" w:eastAsia="ru-RU"/>
          <w14:ligatures w14:val="none"/>
        </w:rPr>
      </w:pPr>
    </w:p>
    <w:p w14:paraId="01024CE8" w14:textId="21491131" w:rsidR="00B44B71" w:rsidRPr="00B44B71" w:rsidRDefault="004B3996" w:rsidP="004B3996">
      <w:pPr>
        <w:widowControl w:val="0"/>
        <w:tabs>
          <w:tab w:val="left" w:pos="923"/>
          <w:tab w:val="left" w:pos="9638"/>
        </w:tabs>
        <w:spacing w:after="0" w:line="240" w:lineRule="auto"/>
        <w:ind w:firstLine="709"/>
        <w:jc w:val="right"/>
        <w:rPr>
          <w:rFonts w:ascii="Times New Roman" w:eastAsia="Times New Roman" w:hAnsi="Times New Roman" w:cs="Times New Roman"/>
          <w:iCs/>
          <w:color w:val="000000"/>
          <w:kern w:val="0"/>
          <w:sz w:val="28"/>
          <w:szCs w:val="28"/>
          <w:lang w:val="ru-RU" w:eastAsia="ru-RU"/>
          <w14:ligatures w14:val="none"/>
        </w:rPr>
      </w:pPr>
      <w:r>
        <w:rPr>
          <w:rFonts w:ascii="Times New Roman" w:eastAsia="Times New Roman" w:hAnsi="Times New Roman" w:cs="Times New Roman"/>
          <w:iCs/>
          <w:color w:val="000000"/>
          <w:kern w:val="0"/>
          <w:sz w:val="28"/>
          <w:szCs w:val="28"/>
          <w:lang w:val="uk-UA" w:eastAsia="ru-RU"/>
          <w14:ligatures w14:val="none"/>
        </w:rPr>
        <w:lastRenderedPageBreak/>
        <w:tab/>
      </w:r>
      <w:r w:rsidR="00B44B71" w:rsidRPr="00B44B71">
        <w:rPr>
          <w:rFonts w:ascii="Times New Roman" w:eastAsia="Times New Roman" w:hAnsi="Times New Roman" w:cs="Times New Roman"/>
          <w:iCs/>
          <w:color w:val="000000"/>
          <w:kern w:val="0"/>
          <w:sz w:val="28"/>
          <w:szCs w:val="28"/>
          <w:lang w:val="uk-UA" w:eastAsia="ru-RU"/>
          <w14:ligatures w14:val="none"/>
        </w:rPr>
        <w:t xml:space="preserve">Таблиця </w:t>
      </w:r>
      <w:r w:rsidR="00B44B71" w:rsidRPr="00B44B71">
        <w:rPr>
          <w:rFonts w:ascii="Times New Roman" w:eastAsia="Times New Roman" w:hAnsi="Times New Roman" w:cs="Times New Roman"/>
          <w:iCs/>
          <w:color w:val="000000"/>
          <w:kern w:val="0"/>
          <w:sz w:val="28"/>
          <w:szCs w:val="28"/>
          <w:lang w:val="ru-RU" w:eastAsia="ru-RU"/>
          <w14:ligatures w14:val="none"/>
        </w:rPr>
        <w:t>2</w:t>
      </w:r>
    </w:p>
    <w:p w14:paraId="504D1747" w14:textId="77777777" w:rsidR="00B44B71" w:rsidRPr="00B44B71" w:rsidRDefault="00B44B71" w:rsidP="00023291">
      <w:pPr>
        <w:widowControl w:val="0"/>
        <w:tabs>
          <w:tab w:val="left" w:pos="9638"/>
        </w:tabs>
        <w:spacing w:after="0" w:line="240" w:lineRule="auto"/>
        <w:ind w:firstLine="709"/>
        <w:jc w:val="center"/>
        <w:rPr>
          <w:rFonts w:ascii="Times New Roman" w:eastAsia="Times New Roman" w:hAnsi="Times New Roman" w:cs="Times New Roman"/>
          <w:b/>
          <w:bCs/>
          <w:color w:val="000000"/>
          <w:kern w:val="0"/>
          <w:sz w:val="28"/>
          <w:szCs w:val="28"/>
          <w:lang w:val="uk-UA" w:eastAsia="ru-RU"/>
          <w14:ligatures w14:val="none"/>
        </w:rPr>
      </w:pPr>
      <w:r w:rsidRPr="00B44B71">
        <w:rPr>
          <w:rFonts w:ascii="Times New Roman" w:eastAsia="Times New Roman" w:hAnsi="Times New Roman" w:cs="Times New Roman"/>
          <w:b/>
          <w:bCs/>
          <w:color w:val="000000"/>
          <w:kern w:val="0"/>
          <w:sz w:val="28"/>
          <w:szCs w:val="28"/>
          <w:lang w:val="uk-UA" w:eastAsia="ru-RU"/>
          <w14:ligatures w14:val="none"/>
        </w:rPr>
        <w:t xml:space="preserve">Зведена матриця рангів за результатами експертного оцінювання педагогічних умов формування професійної компетентності майбутніх офіцерів </w:t>
      </w:r>
      <w:r w:rsidRPr="00B44B71">
        <w:rPr>
          <w:rFonts w:ascii="Times New Roman" w:eastAsia="Times New Roman" w:hAnsi="Times New Roman" w:cs="Times New Roman"/>
          <w:b/>
          <w:bCs/>
          <w:color w:val="000000"/>
          <w:kern w:val="0"/>
          <w:sz w:val="28"/>
          <w:szCs w:val="28"/>
          <w:lang w:val="uk-UA" w:eastAsia="ru-RU"/>
          <w14:ligatures w14:val="none"/>
        </w:rPr>
        <w:sym w:font="Symbol" w:char="F02D"/>
      </w:r>
      <w:r w:rsidRPr="00B44B71">
        <w:rPr>
          <w:rFonts w:ascii="Times New Roman" w:eastAsia="Times New Roman" w:hAnsi="Times New Roman" w:cs="Times New Roman"/>
          <w:b/>
          <w:bCs/>
          <w:color w:val="000000"/>
          <w:kern w:val="0"/>
          <w:sz w:val="28"/>
          <w:szCs w:val="28"/>
          <w:lang w:val="uk-UA" w:eastAsia="ru-RU"/>
          <w14:ligatures w14:val="none"/>
        </w:rPr>
        <w:t xml:space="preserve"> фахівців з ФКіС ЗС України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5985"/>
        <w:gridCol w:w="608"/>
        <w:gridCol w:w="744"/>
        <w:gridCol w:w="778"/>
        <w:gridCol w:w="1152"/>
      </w:tblGrid>
      <w:tr w:rsidR="00B44B71" w:rsidRPr="00E967C0" w14:paraId="4277EF3B" w14:textId="77777777" w:rsidTr="00F918EC">
        <w:trPr>
          <w:trHeight w:val="772"/>
        </w:trPr>
        <w:tc>
          <w:tcPr>
            <w:tcW w:w="0" w:type="auto"/>
            <w:vMerge w:val="restart"/>
            <w:vAlign w:val="center"/>
          </w:tcPr>
          <w:p w14:paraId="3882E512" w14:textId="77777777" w:rsidR="00B44B71" w:rsidRPr="00E967C0" w:rsidRDefault="00B44B71" w:rsidP="00023291">
            <w:pPr>
              <w:tabs>
                <w:tab w:val="left" w:pos="9638"/>
              </w:tabs>
              <w:spacing w:after="0" w:line="240" w:lineRule="auto"/>
              <w:jc w:val="center"/>
              <w:rPr>
                <w:rFonts w:ascii="Times New Roman" w:eastAsia="Times New Roman" w:hAnsi="Times New Roman" w:cs="Times New Roman"/>
                <w:b/>
                <w:color w:val="000000"/>
                <w:kern w:val="0"/>
                <w:lang w:val="uk-UA" w:eastAsia="ru-RU"/>
                <w14:ligatures w14:val="none"/>
              </w:rPr>
            </w:pPr>
            <w:r w:rsidRPr="00E967C0">
              <w:rPr>
                <w:rFonts w:ascii="Times New Roman" w:eastAsia="Times New Roman" w:hAnsi="Times New Roman" w:cs="Times New Roman"/>
                <w:b/>
                <w:color w:val="000000"/>
                <w:kern w:val="0"/>
                <w:lang w:val="uk-UA" w:eastAsia="ru-RU"/>
                <w14:ligatures w14:val="none"/>
              </w:rPr>
              <w:t>№</w:t>
            </w:r>
          </w:p>
          <w:p w14:paraId="109AC686" w14:textId="77777777" w:rsidR="00B44B71" w:rsidRPr="00E967C0" w:rsidRDefault="00B44B71" w:rsidP="00023291">
            <w:pPr>
              <w:tabs>
                <w:tab w:val="left" w:pos="9638"/>
              </w:tabs>
              <w:spacing w:after="0" w:line="240" w:lineRule="auto"/>
              <w:jc w:val="center"/>
              <w:rPr>
                <w:rFonts w:ascii="Times New Roman" w:eastAsia="Times New Roman" w:hAnsi="Times New Roman" w:cs="Times New Roman"/>
                <w:b/>
                <w:color w:val="000000"/>
                <w:kern w:val="0"/>
                <w:lang w:val="uk-UA" w:eastAsia="ru-RU"/>
                <w14:ligatures w14:val="none"/>
              </w:rPr>
            </w:pPr>
            <w:r w:rsidRPr="00E967C0">
              <w:rPr>
                <w:rFonts w:ascii="Times New Roman" w:eastAsia="Times New Roman" w:hAnsi="Times New Roman" w:cs="Times New Roman"/>
                <w:b/>
                <w:color w:val="000000"/>
                <w:kern w:val="0"/>
                <w:lang w:val="uk-UA" w:eastAsia="ru-RU"/>
                <w14:ligatures w14:val="none"/>
              </w:rPr>
              <w:t>з/п</w:t>
            </w:r>
          </w:p>
        </w:tc>
        <w:tc>
          <w:tcPr>
            <w:tcW w:w="0" w:type="auto"/>
            <w:vMerge w:val="restart"/>
            <w:vAlign w:val="center"/>
          </w:tcPr>
          <w:p w14:paraId="1CBEB423" w14:textId="77777777" w:rsidR="00B44B71" w:rsidRPr="00E967C0" w:rsidRDefault="00B44B71" w:rsidP="00023291">
            <w:pPr>
              <w:tabs>
                <w:tab w:val="left" w:pos="9638"/>
              </w:tabs>
              <w:spacing w:after="0" w:line="240" w:lineRule="auto"/>
              <w:jc w:val="center"/>
              <w:rPr>
                <w:rFonts w:ascii="Times New Roman" w:eastAsia="Times New Roman" w:hAnsi="Times New Roman" w:cs="Times New Roman"/>
                <w:b/>
                <w:color w:val="000000"/>
                <w:kern w:val="0"/>
                <w:lang w:val="uk-UA" w:eastAsia="ru-RU"/>
                <w14:ligatures w14:val="none"/>
              </w:rPr>
            </w:pPr>
            <w:r w:rsidRPr="00E967C0">
              <w:rPr>
                <w:rFonts w:ascii="Times New Roman" w:eastAsia="Times New Roman" w:hAnsi="Times New Roman" w:cs="Times New Roman"/>
                <w:b/>
                <w:color w:val="000000"/>
                <w:kern w:val="0"/>
                <w:lang w:val="uk-UA" w:eastAsia="ru-RU"/>
                <w14:ligatures w14:val="none"/>
              </w:rPr>
              <w:t>Педагогічні умови</w:t>
            </w:r>
          </w:p>
        </w:tc>
        <w:tc>
          <w:tcPr>
            <w:tcW w:w="0" w:type="auto"/>
            <w:gridSpan w:val="4"/>
          </w:tcPr>
          <w:p w14:paraId="5B1151B2"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b/>
                <w:color w:val="000000"/>
                <w:kern w:val="0"/>
                <w:lang w:val="uk-UA" w:eastAsia="ru-RU"/>
                <w14:ligatures w14:val="none"/>
              </w:rPr>
            </w:pPr>
            <w:r w:rsidRPr="00E967C0">
              <w:rPr>
                <w:rFonts w:ascii="Times New Roman" w:eastAsia="Times New Roman" w:hAnsi="Times New Roman" w:cs="Times New Roman"/>
                <w:b/>
                <w:color w:val="000000"/>
                <w:kern w:val="0"/>
                <w:lang w:val="uk-UA" w:eastAsia="ru-RU"/>
                <w14:ligatures w14:val="none"/>
              </w:rPr>
              <w:t>Статистичні показники при W=0,75; χ</w:t>
            </w:r>
            <w:r w:rsidRPr="00E967C0">
              <w:rPr>
                <w:rFonts w:ascii="Times New Roman" w:eastAsia="Times New Roman" w:hAnsi="Times New Roman" w:cs="Times New Roman"/>
                <w:b/>
                <w:color w:val="000000"/>
                <w:kern w:val="0"/>
                <w:vertAlign w:val="superscript"/>
                <w:lang w:val="uk-UA" w:eastAsia="ru-RU"/>
                <w14:ligatures w14:val="none"/>
              </w:rPr>
              <w:t>2</w:t>
            </w:r>
            <w:r w:rsidRPr="00E967C0">
              <w:rPr>
                <w:rFonts w:ascii="Times New Roman" w:eastAsia="Times New Roman" w:hAnsi="Times New Roman" w:cs="Times New Roman"/>
                <w:b/>
                <w:color w:val="000000"/>
                <w:kern w:val="0"/>
                <w:lang w:val="uk-UA" w:eastAsia="ru-RU"/>
                <w14:ligatures w14:val="none"/>
              </w:rPr>
              <w:t>=74,25; p&lt;0,001</w:t>
            </w:r>
          </w:p>
        </w:tc>
      </w:tr>
      <w:tr w:rsidR="00B44B71" w:rsidRPr="00E967C0" w14:paraId="04F1553F" w14:textId="77777777" w:rsidTr="00F918EC">
        <w:trPr>
          <w:cantSplit/>
          <w:trHeight w:val="1851"/>
        </w:trPr>
        <w:tc>
          <w:tcPr>
            <w:tcW w:w="0" w:type="auto"/>
            <w:vMerge/>
          </w:tcPr>
          <w:p w14:paraId="0E2194E9" w14:textId="77777777" w:rsidR="00B44B71" w:rsidRPr="00E967C0" w:rsidRDefault="00B44B71" w:rsidP="00023291">
            <w:pPr>
              <w:tabs>
                <w:tab w:val="left" w:pos="9638"/>
              </w:tabs>
              <w:spacing w:after="0" w:line="240" w:lineRule="auto"/>
              <w:jc w:val="center"/>
              <w:rPr>
                <w:rFonts w:ascii="Times New Roman" w:eastAsia="Times New Roman" w:hAnsi="Times New Roman" w:cs="Times New Roman"/>
                <w:b/>
                <w:color w:val="000000"/>
                <w:kern w:val="0"/>
                <w:lang w:val="uk-UA" w:eastAsia="ru-RU"/>
                <w14:ligatures w14:val="none"/>
              </w:rPr>
            </w:pPr>
          </w:p>
        </w:tc>
        <w:tc>
          <w:tcPr>
            <w:tcW w:w="0" w:type="auto"/>
            <w:vMerge/>
          </w:tcPr>
          <w:p w14:paraId="395A6664"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b/>
                <w:color w:val="000000"/>
                <w:kern w:val="0"/>
                <w:lang w:val="uk-UA" w:eastAsia="ru-RU"/>
                <w14:ligatures w14:val="none"/>
              </w:rPr>
            </w:pPr>
          </w:p>
        </w:tc>
        <w:tc>
          <w:tcPr>
            <w:tcW w:w="0" w:type="auto"/>
            <w:textDirection w:val="btLr"/>
            <w:vAlign w:val="center"/>
          </w:tcPr>
          <w:p w14:paraId="5C16E990" w14:textId="77777777" w:rsidR="00B44B71" w:rsidRPr="00E967C0" w:rsidRDefault="00B44B71" w:rsidP="00023291">
            <w:pPr>
              <w:tabs>
                <w:tab w:val="left" w:pos="9638"/>
              </w:tabs>
              <w:spacing w:after="0" w:line="240" w:lineRule="auto"/>
              <w:jc w:val="center"/>
              <w:rPr>
                <w:rFonts w:ascii="Times New Roman" w:eastAsia="Times New Roman" w:hAnsi="Times New Roman" w:cs="Times New Roman"/>
                <w:b/>
                <w:color w:val="000000"/>
                <w:kern w:val="0"/>
                <w:lang w:val="uk-UA" w:eastAsia="ru-RU"/>
                <w14:ligatures w14:val="none"/>
              </w:rPr>
            </w:pPr>
            <w:r w:rsidRPr="00E967C0">
              <w:rPr>
                <w:rFonts w:ascii="Times New Roman" w:eastAsia="Times New Roman" w:hAnsi="Times New Roman" w:cs="Times New Roman"/>
                <w:b/>
                <w:color w:val="000000"/>
                <w:kern w:val="0"/>
                <w:lang w:val="uk-UA" w:eastAsia="ru-RU"/>
                <w14:ligatures w14:val="none"/>
              </w:rPr>
              <w:t xml:space="preserve">Середній бал, </w:t>
            </w:r>
            <m:oMath>
              <m:acc>
                <m:accPr>
                  <m:chr m:val="̅"/>
                  <m:ctrlPr>
                    <w:rPr>
                      <w:rFonts w:ascii="Cambria Math" w:eastAsia="Times New Roman" w:hAnsi="Cambria Math" w:cs="Times New Roman"/>
                      <w:b/>
                      <w:i/>
                      <w:color w:val="000000"/>
                      <w:kern w:val="0"/>
                      <w:lang w:val="uk-UA" w:eastAsia="ru-RU"/>
                      <w14:ligatures w14:val="none"/>
                    </w:rPr>
                  </m:ctrlPr>
                </m:accPr>
                <m:e>
                  <m:r>
                    <m:rPr>
                      <m:sty m:val="bi"/>
                    </m:rPr>
                    <w:rPr>
                      <w:rFonts w:ascii="Cambria Math" w:eastAsia="Times New Roman" w:hAnsi="Cambria Math" w:cs="Times New Roman"/>
                      <w:color w:val="000000"/>
                      <w:kern w:val="0"/>
                      <w:lang w:val="uk-UA" w:eastAsia="ru-RU"/>
                      <w14:ligatures w14:val="none"/>
                    </w:rPr>
                    <m:t>х</m:t>
                  </m:r>
                </m:e>
              </m:acc>
            </m:oMath>
          </w:p>
        </w:tc>
        <w:tc>
          <w:tcPr>
            <w:tcW w:w="0" w:type="auto"/>
            <w:textDirection w:val="btLr"/>
            <w:vAlign w:val="center"/>
          </w:tcPr>
          <w:p w14:paraId="760B0DFA" w14:textId="77777777" w:rsidR="00B44B71" w:rsidRPr="00E967C0" w:rsidRDefault="00B44B71" w:rsidP="00023291">
            <w:pPr>
              <w:tabs>
                <w:tab w:val="left" w:pos="9638"/>
              </w:tabs>
              <w:spacing w:after="0" w:line="240" w:lineRule="auto"/>
              <w:jc w:val="center"/>
              <w:rPr>
                <w:rFonts w:ascii="Times New Roman" w:eastAsia="Times New Roman" w:hAnsi="Times New Roman" w:cs="Times New Roman"/>
                <w:b/>
                <w:color w:val="000000"/>
                <w:kern w:val="0"/>
                <w:lang w:val="uk-UA" w:eastAsia="ru-RU"/>
                <w14:ligatures w14:val="none"/>
              </w:rPr>
            </w:pPr>
            <w:r w:rsidRPr="00E967C0">
              <w:rPr>
                <w:rFonts w:ascii="Times New Roman" w:eastAsia="Times New Roman" w:hAnsi="Times New Roman" w:cs="Times New Roman"/>
                <w:b/>
                <w:color w:val="000000"/>
                <w:kern w:val="0"/>
                <w:lang w:val="uk-UA" w:eastAsia="ru-RU"/>
                <w14:ligatures w14:val="none"/>
              </w:rPr>
              <w:t>Сума рангів</w:t>
            </w:r>
          </w:p>
        </w:tc>
        <w:tc>
          <w:tcPr>
            <w:tcW w:w="0" w:type="auto"/>
            <w:textDirection w:val="btLr"/>
            <w:vAlign w:val="center"/>
          </w:tcPr>
          <w:p w14:paraId="212439C4" w14:textId="77777777" w:rsidR="00B44B71" w:rsidRPr="00E967C0" w:rsidRDefault="00B44B71" w:rsidP="00023291">
            <w:pPr>
              <w:tabs>
                <w:tab w:val="left" w:pos="9638"/>
              </w:tabs>
              <w:spacing w:after="0" w:line="240" w:lineRule="auto"/>
              <w:jc w:val="center"/>
              <w:rPr>
                <w:rFonts w:ascii="Times New Roman" w:eastAsia="Times New Roman" w:hAnsi="Times New Roman" w:cs="Times New Roman"/>
                <w:b/>
                <w:color w:val="000000"/>
                <w:kern w:val="0"/>
                <w:lang w:val="uk-UA" w:eastAsia="ru-RU"/>
                <w14:ligatures w14:val="none"/>
              </w:rPr>
            </w:pPr>
            <w:r w:rsidRPr="00E967C0">
              <w:rPr>
                <w:rFonts w:ascii="Times New Roman" w:eastAsia="Times New Roman" w:hAnsi="Times New Roman" w:cs="Times New Roman"/>
                <w:b/>
                <w:color w:val="000000"/>
                <w:kern w:val="0"/>
                <w:lang w:val="uk-UA" w:eastAsia="ru-RU"/>
                <w14:ligatures w14:val="none"/>
              </w:rPr>
              <w:t>Відхилення суми рангів, d</w:t>
            </w:r>
          </w:p>
        </w:tc>
        <w:tc>
          <w:tcPr>
            <w:tcW w:w="0" w:type="auto"/>
            <w:textDirection w:val="btLr"/>
          </w:tcPr>
          <w:p w14:paraId="05C8D71E" w14:textId="77777777" w:rsidR="00B44B71" w:rsidRPr="00E967C0" w:rsidRDefault="00B44B71" w:rsidP="00023291">
            <w:pPr>
              <w:tabs>
                <w:tab w:val="left" w:pos="9638"/>
              </w:tabs>
              <w:spacing w:after="0" w:line="240" w:lineRule="auto"/>
              <w:jc w:val="center"/>
              <w:rPr>
                <w:rFonts w:ascii="Times New Roman" w:eastAsia="Times New Roman" w:hAnsi="Times New Roman" w:cs="Times New Roman"/>
                <w:b/>
                <w:color w:val="000000"/>
                <w:kern w:val="0"/>
                <w:lang w:val="uk-UA" w:eastAsia="ru-RU"/>
                <w14:ligatures w14:val="none"/>
              </w:rPr>
            </w:pPr>
            <w:r w:rsidRPr="00E967C0">
              <w:rPr>
                <w:rFonts w:ascii="Times New Roman" w:eastAsia="Times New Roman" w:hAnsi="Times New Roman" w:cs="Times New Roman"/>
                <w:b/>
                <w:color w:val="000000"/>
                <w:kern w:val="0"/>
                <w:lang w:val="uk-UA" w:eastAsia="ru-RU"/>
                <w14:ligatures w14:val="none"/>
              </w:rPr>
              <w:t xml:space="preserve">Квадрат відхилення суми рангів, d </w:t>
            </w:r>
            <w:r w:rsidRPr="00E967C0">
              <w:rPr>
                <w:rFonts w:ascii="Times New Roman" w:eastAsia="Times New Roman" w:hAnsi="Times New Roman" w:cs="Times New Roman"/>
                <w:b/>
                <w:color w:val="000000"/>
                <w:kern w:val="0"/>
                <w:vertAlign w:val="superscript"/>
                <w:lang w:val="uk-UA" w:eastAsia="ru-RU"/>
                <w14:ligatures w14:val="none"/>
              </w:rPr>
              <w:t>2</w:t>
            </w:r>
          </w:p>
        </w:tc>
      </w:tr>
      <w:tr w:rsidR="00B44B71" w:rsidRPr="00E967C0" w14:paraId="120A1336" w14:textId="77777777" w:rsidTr="00F918EC">
        <w:tc>
          <w:tcPr>
            <w:tcW w:w="0" w:type="auto"/>
          </w:tcPr>
          <w:p w14:paraId="395FFFF8" w14:textId="77777777" w:rsidR="00B44B71" w:rsidRPr="00E967C0" w:rsidRDefault="00B44B71" w:rsidP="00023291">
            <w:pPr>
              <w:tabs>
                <w:tab w:val="left" w:pos="9638"/>
              </w:tabs>
              <w:spacing w:after="0" w:line="240" w:lineRule="auto"/>
              <w:jc w:val="center"/>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1</w:t>
            </w:r>
          </w:p>
        </w:tc>
        <w:tc>
          <w:tcPr>
            <w:tcW w:w="0" w:type="auto"/>
          </w:tcPr>
          <w:p w14:paraId="32EB9BC5"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Врахування індивідуальних особливостей майбутніх офіцерів – фахівців з ФКіС ЗС України у процесі навчання у ВВНЗ</w:t>
            </w:r>
          </w:p>
        </w:tc>
        <w:tc>
          <w:tcPr>
            <w:tcW w:w="0" w:type="auto"/>
            <w:vAlign w:val="center"/>
          </w:tcPr>
          <w:p w14:paraId="13C3A3C5"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6,2</w:t>
            </w:r>
          </w:p>
        </w:tc>
        <w:tc>
          <w:tcPr>
            <w:tcW w:w="0" w:type="auto"/>
            <w:vAlign w:val="center"/>
          </w:tcPr>
          <w:p w14:paraId="536E6FD1"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68,0</w:t>
            </w:r>
          </w:p>
        </w:tc>
        <w:tc>
          <w:tcPr>
            <w:tcW w:w="0" w:type="auto"/>
            <w:vAlign w:val="center"/>
          </w:tcPr>
          <w:p w14:paraId="4EC4880E"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7,5</w:t>
            </w:r>
          </w:p>
        </w:tc>
        <w:tc>
          <w:tcPr>
            <w:tcW w:w="0" w:type="auto"/>
            <w:vAlign w:val="center"/>
          </w:tcPr>
          <w:p w14:paraId="64A466D6"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56,25</w:t>
            </w:r>
          </w:p>
        </w:tc>
      </w:tr>
      <w:tr w:rsidR="00B44B71" w:rsidRPr="00E967C0" w14:paraId="5737A554" w14:textId="77777777" w:rsidTr="00F918EC">
        <w:tc>
          <w:tcPr>
            <w:tcW w:w="0" w:type="auto"/>
          </w:tcPr>
          <w:p w14:paraId="278FAE93" w14:textId="77777777" w:rsidR="00B44B71" w:rsidRPr="00E967C0" w:rsidRDefault="00B44B71" w:rsidP="00023291">
            <w:pPr>
              <w:tabs>
                <w:tab w:val="left" w:pos="9638"/>
              </w:tabs>
              <w:spacing w:after="0" w:line="240" w:lineRule="auto"/>
              <w:jc w:val="center"/>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2</w:t>
            </w:r>
          </w:p>
        </w:tc>
        <w:tc>
          <w:tcPr>
            <w:tcW w:w="0" w:type="auto"/>
          </w:tcPr>
          <w:p w14:paraId="4E28FA78"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Введення спецкурсу у навчальний процес, що забезпечуватиме системоутворюючу функцію міжпредметних зв’язків формування професійної компетентності майбутніх офіцерів – фахівців з ФКіС ЗС України</w:t>
            </w:r>
          </w:p>
        </w:tc>
        <w:tc>
          <w:tcPr>
            <w:tcW w:w="0" w:type="auto"/>
            <w:vAlign w:val="center"/>
          </w:tcPr>
          <w:p w14:paraId="151DA8DC"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7,8</w:t>
            </w:r>
          </w:p>
        </w:tc>
        <w:tc>
          <w:tcPr>
            <w:tcW w:w="0" w:type="auto"/>
            <w:vAlign w:val="center"/>
          </w:tcPr>
          <w:p w14:paraId="2DE3BC8A"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86,0</w:t>
            </w:r>
          </w:p>
        </w:tc>
        <w:tc>
          <w:tcPr>
            <w:tcW w:w="0" w:type="auto"/>
            <w:vAlign w:val="center"/>
          </w:tcPr>
          <w:p w14:paraId="14C4D1F4"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25,5</w:t>
            </w:r>
          </w:p>
        </w:tc>
        <w:tc>
          <w:tcPr>
            <w:tcW w:w="0" w:type="auto"/>
            <w:vAlign w:val="center"/>
          </w:tcPr>
          <w:p w14:paraId="5DB72C9F"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650,25</w:t>
            </w:r>
          </w:p>
        </w:tc>
      </w:tr>
      <w:tr w:rsidR="00B44B71" w:rsidRPr="00E967C0" w14:paraId="6F5A1C6B" w14:textId="77777777" w:rsidTr="00F918EC">
        <w:tc>
          <w:tcPr>
            <w:tcW w:w="0" w:type="auto"/>
          </w:tcPr>
          <w:p w14:paraId="0CCE71FE" w14:textId="77777777" w:rsidR="00B44B71" w:rsidRPr="00E967C0" w:rsidRDefault="00B44B71" w:rsidP="00023291">
            <w:pPr>
              <w:tabs>
                <w:tab w:val="left" w:pos="9638"/>
              </w:tabs>
              <w:spacing w:after="0" w:line="240" w:lineRule="auto"/>
              <w:jc w:val="center"/>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3</w:t>
            </w:r>
          </w:p>
        </w:tc>
        <w:tc>
          <w:tcPr>
            <w:tcW w:w="0" w:type="auto"/>
          </w:tcPr>
          <w:p w14:paraId="66F7D505"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Удосконалення професійно орієнтованої методики формування професійної компетентності майбутніх офіцерів – фахівців з ФКіС ЗС України</w:t>
            </w:r>
          </w:p>
        </w:tc>
        <w:tc>
          <w:tcPr>
            <w:tcW w:w="0" w:type="auto"/>
            <w:vAlign w:val="center"/>
          </w:tcPr>
          <w:p w14:paraId="4CB4000D"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3,6</w:t>
            </w:r>
          </w:p>
        </w:tc>
        <w:tc>
          <w:tcPr>
            <w:tcW w:w="0" w:type="auto"/>
            <w:vAlign w:val="center"/>
          </w:tcPr>
          <w:p w14:paraId="3072C765"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40,0</w:t>
            </w:r>
          </w:p>
        </w:tc>
        <w:tc>
          <w:tcPr>
            <w:tcW w:w="0" w:type="auto"/>
            <w:vAlign w:val="center"/>
          </w:tcPr>
          <w:p w14:paraId="3E582AE9"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-20,5</w:t>
            </w:r>
          </w:p>
        </w:tc>
        <w:tc>
          <w:tcPr>
            <w:tcW w:w="0" w:type="auto"/>
            <w:vAlign w:val="center"/>
          </w:tcPr>
          <w:p w14:paraId="5772EF7B"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420,25</w:t>
            </w:r>
          </w:p>
        </w:tc>
      </w:tr>
      <w:tr w:rsidR="00B44B71" w:rsidRPr="00E967C0" w14:paraId="1FFC41A9" w14:textId="77777777" w:rsidTr="00F918EC">
        <w:tc>
          <w:tcPr>
            <w:tcW w:w="0" w:type="auto"/>
          </w:tcPr>
          <w:p w14:paraId="6F0133CC" w14:textId="77777777" w:rsidR="00B44B71" w:rsidRPr="00E967C0" w:rsidRDefault="00B44B71" w:rsidP="00023291">
            <w:pPr>
              <w:tabs>
                <w:tab w:val="left" w:pos="9638"/>
              </w:tabs>
              <w:spacing w:after="0" w:line="240" w:lineRule="auto"/>
              <w:jc w:val="center"/>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4</w:t>
            </w:r>
          </w:p>
        </w:tc>
        <w:tc>
          <w:tcPr>
            <w:tcW w:w="0" w:type="auto"/>
          </w:tcPr>
          <w:p w14:paraId="1C2D0DED"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Запровадження індивідуального та диференційованого підходів до формування професійної компетентності майбутніх офіцерів – фахівців з ФКіС ЗС України</w:t>
            </w:r>
          </w:p>
        </w:tc>
        <w:tc>
          <w:tcPr>
            <w:tcW w:w="0" w:type="auto"/>
            <w:vAlign w:val="center"/>
          </w:tcPr>
          <w:p w14:paraId="077BF778"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7,8</w:t>
            </w:r>
          </w:p>
        </w:tc>
        <w:tc>
          <w:tcPr>
            <w:tcW w:w="0" w:type="auto"/>
            <w:vAlign w:val="center"/>
          </w:tcPr>
          <w:p w14:paraId="39D17D2D"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86,0</w:t>
            </w:r>
          </w:p>
        </w:tc>
        <w:tc>
          <w:tcPr>
            <w:tcW w:w="0" w:type="auto"/>
            <w:vAlign w:val="center"/>
          </w:tcPr>
          <w:p w14:paraId="34BC053C"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25,5</w:t>
            </w:r>
          </w:p>
        </w:tc>
        <w:tc>
          <w:tcPr>
            <w:tcW w:w="0" w:type="auto"/>
            <w:vAlign w:val="center"/>
          </w:tcPr>
          <w:p w14:paraId="2C219921"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650,25</w:t>
            </w:r>
          </w:p>
        </w:tc>
      </w:tr>
      <w:tr w:rsidR="00B44B71" w:rsidRPr="00E967C0" w14:paraId="400C8AC9" w14:textId="77777777" w:rsidTr="00F918EC">
        <w:tc>
          <w:tcPr>
            <w:tcW w:w="0" w:type="auto"/>
          </w:tcPr>
          <w:p w14:paraId="2B6FAC7D" w14:textId="77777777" w:rsidR="00B44B71" w:rsidRPr="00E967C0" w:rsidRDefault="00B44B71" w:rsidP="00023291">
            <w:pPr>
              <w:tabs>
                <w:tab w:val="left" w:pos="9638"/>
              </w:tabs>
              <w:spacing w:after="0" w:line="240" w:lineRule="auto"/>
              <w:jc w:val="center"/>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5</w:t>
            </w:r>
          </w:p>
        </w:tc>
        <w:tc>
          <w:tcPr>
            <w:tcW w:w="0" w:type="auto"/>
          </w:tcPr>
          <w:p w14:paraId="763904CF"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Розроблення інтегративного навчально-методичного комплексу, що забезпечуватиме опанування майбутніми офіцерами – фахівцями з ФКіС ЗС України знаннями з фаху</w:t>
            </w:r>
          </w:p>
        </w:tc>
        <w:tc>
          <w:tcPr>
            <w:tcW w:w="0" w:type="auto"/>
            <w:vAlign w:val="center"/>
          </w:tcPr>
          <w:p w14:paraId="047A6B65"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7,9</w:t>
            </w:r>
          </w:p>
        </w:tc>
        <w:tc>
          <w:tcPr>
            <w:tcW w:w="0" w:type="auto"/>
            <w:vAlign w:val="center"/>
          </w:tcPr>
          <w:p w14:paraId="6776AE46"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87,0</w:t>
            </w:r>
          </w:p>
        </w:tc>
        <w:tc>
          <w:tcPr>
            <w:tcW w:w="0" w:type="auto"/>
            <w:vAlign w:val="center"/>
          </w:tcPr>
          <w:p w14:paraId="4F089031"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26,5</w:t>
            </w:r>
          </w:p>
        </w:tc>
        <w:tc>
          <w:tcPr>
            <w:tcW w:w="0" w:type="auto"/>
            <w:vAlign w:val="center"/>
          </w:tcPr>
          <w:p w14:paraId="16907CB3"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702,25</w:t>
            </w:r>
          </w:p>
        </w:tc>
      </w:tr>
      <w:tr w:rsidR="00B44B71" w:rsidRPr="00E967C0" w14:paraId="32624DC8" w14:textId="77777777" w:rsidTr="00F918EC">
        <w:tc>
          <w:tcPr>
            <w:tcW w:w="0" w:type="auto"/>
          </w:tcPr>
          <w:p w14:paraId="3C351DDB" w14:textId="77777777" w:rsidR="00B44B71" w:rsidRPr="00E967C0" w:rsidRDefault="00B44B71" w:rsidP="00023291">
            <w:pPr>
              <w:tabs>
                <w:tab w:val="left" w:pos="9638"/>
              </w:tabs>
              <w:spacing w:after="0" w:line="240" w:lineRule="auto"/>
              <w:jc w:val="center"/>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6</w:t>
            </w:r>
          </w:p>
        </w:tc>
        <w:tc>
          <w:tcPr>
            <w:tcW w:w="0" w:type="auto"/>
          </w:tcPr>
          <w:p w14:paraId="5CC7366B"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Систематичне діагностування сформованості професійної компетентності майбутніх офіцерів – фахівців з ФКіС ЗС України</w:t>
            </w:r>
          </w:p>
        </w:tc>
        <w:tc>
          <w:tcPr>
            <w:tcW w:w="0" w:type="auto"/>
            <w:vAlign w:val="center"/>
          </w:tcPr>
          <w:p w14:paraId="617F9B3C"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9,2</w:t>
            </w:r>
          </w:p>
        </w:tc>
        <w:tc>
          <w:tcPr>
            <w:tcW w:w="0" w:type="auto"/>
            <w:vAlign w:val="center"/>
          </w:tcPr>
          <w:p w14:paraId="77732A01"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101</w:t>
            </w:r>
          </w:p>
        </w:tc>
        <w:tc>
          <w:tcPr>
            <w:tcW w:w="0" w:type="auto"/>
            <w:vAlign w:val="center"/>
          </w:tcPr>
          <w:p w14:paraId="181F6712"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40,5</w:t>
            </w:r>
          </w:p>
        </w:tc>
        <w:tc>
          <w:tcPr>
            <w:tcW w:w="0" w:type="auto"/>
            <w:vAlign w:val="center"/>
          </w:tcPr>
          <w:p w14:paraId="07C1D703"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1640,25</w:t>
            </w:r>
          </w:p>
        </w:tc>
      </w:tr>
      <w:tr w:rsidR="00B44B71" w:rsidRPr="00E967C0" w14:paraId="13F28EB3" w14:textId="77777777" w:rsidTr="00F918EC">
        <w:tc>
          <w:tcPr>
            <w:tcW w:w="0" w:type="auto"/>
          </w:tcPr>
          <w:p w14:paraId="004EB446" w14:textId="77777777" w:rsidR="00B44B71" w:rsidRPr="00E967C0" w:rsidRDefault="00B44B71" w:rsidP="00023291">
            <w:pPr>
              <w:tabs>
                <w:tab w:val="left" w:pos="9638"/>
              </w:tabs>
              <w:spacing w:after="0" w:line="240" w:lineRule="auto"/>
              <w:jc w:val="center"/>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7</w:t>
            </w:r>
          </w:p>
        </w:tc>
        <w:tc>
          <w:tcPr>
            <w:tcW w:w="0" w:type="auto"/>
          </w:tcPr>
          <w:p w14:paraId="666680E6"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 xml:space="preserve">Педагогічне моделювання процесу формування професійної компетентності майбутніх офіцерів –фахівців з ФКіС ЗС України </w:t>
            </w:r>
          </w:p>
        </w:tc>
        <w:tc>
          <w:tcPr>
            <w:tcW w:w="0" w:type="auto"/>
            <w:vAlign w:val="center"/>
          </w:tcPr>
          <w:p w14:paraId="056BDC7D"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2,5</w:t>
            </w:r>
          </w:p>
        </w:tc>
        <w:tc>
          <w:tcPr>
            <w:tcW w:w="0" w:type="auto"/>
            <w:vAlign w:val="center"/>
          </w:tcPr>
          <w:p w14:paraId="15F65C9D"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27,0</w:t>
            </w:r>
          </w:p>
        </w:tc>
        <w:tc>
          <w:tcPr>
            <w:tcW w:w="0" w:type="auto"/>
            <w:vAlign w:val="center"/>
          </w:tcPr>
          <w:p w14:paraId="274BA52A"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-33,5</w:t>
            </w:r>
          </w:p>
        </w:tc>
        <w:tc>
          <w:tcPr>
            <w:tcW w:w="0" w:type="auto"/>
            <w:vAlign w:val="center"/>
          </w:tcPr>
          <w:p w14:paraId="1C0C0398"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1122,25</w:t>
            </w:r>
          </w:p>
        </w:tc>
      </w:tr>
      <w:tr w:rsidR="00B44B71" w:rsidRPr="00E967C0" w14:paraId="78590A15" w14:textId="77777777" w:rsidTr="00F918EC">
        <w:tc>
          <w:tcPr>
            <w:tcW w:w="0" w:type="auto"/>
          </w:tcPr>
          <w:p w14:paraId="5B593082" w14:textId="77777777" w:rsidR="00B44B71" w:rsidRPr="00E967C0" w:rsidRDefault="00B44B71" w:rsidP="00023291">
            <w:pPr>
              <w:tabs>
                <w:tab w:val="left" w:pos="9638"/>
              </w:tabs>
              <w:spacing w:after="0" w:line="240" w:lineRule="auto"/>
              <w:jc w:val="center"/>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8</w:t>
            </w:r>
          </w:p>
        </w:tc>
        <w:tc>
          <w:tcPr>
            <w:tcW w:w="0" w:type="auto"/>
          </w:tcPr>
          <w:p w14:paraId="07A6D002"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 xml:space="preserve">Забезпечення взаємозв’язку теоретичного, практичного та особистісного напрямів процесу формування професійної компетентності майбутніх офіцерів – фахівців з ФКіС ЗС України  </w:t>
            </w:r>
          </w:p>
        </w:tc>
        <w:tc>
          <w:tcPr>
            <w:tcW w:w="0" w:type="auto"/>
            <w:vAlign w:val="center"/>
          </w:tcPr>
          <w:p w14:paraId="25869BF8"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6,0</w:t>
            </w:r>
          </w:p>
        </w:tc>
        <w:tc>
          <w:tcPr>
            <w:tcW w:w="0" w:type="auto"/>
            <w:vAlign w:val="center"/>
          </w:tcPr>
          <w:p w14:paraId="381A3842"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66,0</w:t>
            </w:r>
          </w:p>
        </w:tc>
        <w:tc>
          <w:tcPr>
            <w:tcW w:w="0" w:type="auto"/>
            <w:vAlign w:val="center"/>
          </w:tcPr>
          <w:p w14:paraId="60ED1A89"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5,5</w:t>
            </w:r>
          </w:p>
        </w:tc>
        <w:tc>
          <w:tcPr>
            <w:tcW w:w="0" w:type="auto"/>
            <w:vAlign w:val="center"/>
          </w:tcPr>
          <w:p w14:paraId="031FDC74"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30,25</w:t>
            </w:r>
          </w:p>
        </w:tc>
      </w:tr>
      <w:tr w:rsidR="00B44B71" w:rsidRPr="00E967C0" w14:paraId="00BB9E64" w14:textId="77777777" w:rsidTr="00F918EC">
        <w:tc>
          <w:tcPr>
            <w:tcW w:w="0" w:type="auto"/>
          </w:tcPr>
          <w:p w14:paraId="0AE4AD76" w14:textId="77777777" w:rsidR="00B44B71" w:rsidRPr="00E967C0" w:rsidRDefault="00B44B71" w:rsidP="00023291">
            <w:pPr>
              <w:tabs>
                <w:tab w:val="left" w:pos="9638"/>
              </w:tabs>
              <w:spacing w:after="0" w:line="240" w:lineRule="auto"/>
              <w:jc w:val="center"/>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9</w:t>
            </w:r>
          </w:p>
        </w:tc>
        <w:tc>
          <w:tcPr>
            <w:tcW w:w="0" w:type="auto"/>
          </w:tcPr>
          <w:p w14:paraId="01DF4C95"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b/>
                <w:color w:val="000000"/>
                <w:kern w:val="0"/>
                <w:lang w:val="uk-UA" w:eastAsia="ru-RU"/>
                <w14:ligatures w14:val="none"/>
              </w:rPr>
            </w:pPr>
            <w:r w:rsidRPr="00E967C0">
              <w:rPr>
                <w:rFonts w:ascii="Times New Roman" w:eastAsia="Times New Roman" w:hAnsi="Times New Roman" w:cs="Times New Roman"/>
                <w:bCs/>
                <w:color w:val="000000"/>
                <w:kern w:val="0"/>
                <w:lang w:val="uk-UA" w:eastAsia="ru-RU"/>
                <w14:ligatures w14:val="none"/>
              </w:rPr>
              <w:t xml:space="preserve">Визначення </w:t>
            </w:r>
            <w:r w:rsidRPr="00E967C0">
              <w:rPr>
                <w:rFonts w:ascii="Times New Roman" w:eastAsia="Times New Roman" w:hAnsi="Times New Roman" w:cs="Times New Roman"/>
                <w:color w:val="000000"/>
                <w:kern w:val="0"/>
                <w:lang w:val="uk-UA" w:eastAsia="ru-RU"/>
                <w14:ligatures w14:val="none"/>
              </w:rPr>
              <w:t>об’єктивних</w:t>
            </w:r>
            <w:r w:rsidRPr="00E967C0">
              <w:rPr>
                <w:rFonts w:ascii="Times New Roman" w:eastAsia="Times New Roman" w:hAnsi="Times New Roman" w:cs="Times New Roman"/>
                <w:bCs/>
                <w:color w:val="000000"/>
                <w:kern w:val="0"/>
                <w:lang w:val="uk-UA" w:eastAsia="ru-RU"/>
                <w14:ligatures w14:val="none"/>
              </w:rPr>
              <w:t xml:space="preserve"> критеріїв і показників оцінювання сформованості професійної компетентності </w:t>
            </w:r>
            <w:r w:rsidRPr="00E967C0">
              <w:rPr>
                <w:rFonts w:ascii="Times New Roman" w:eastAsia="Times New Roman" w:hAnsi="Times New Roman" w:cs="Times New Roman"/>
                <w:color w:val="000000"/>
                <w:kern w:val="0"/>
                <w:lang w:val="uk-UA" w:eastAsia="ru-RU"/>
                <w14:ligatures w14:val="none"/>
              </w:rPr>
              <w:t>майбутніх офіцерів – фахівців з ФКіС ЗС України</w:t>
            </w:r>
          </w:p>
        </w:tc>
        <w:tc>
          <w:tcPr>
            <w:tcW w:w="0" w:type="auto"/>
            <w:vAlign w:val="center"/>
          </w:tcPr>
          <w:p w14:paraId="6E8992E5"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1,9</w:t>
            </w:r>
          </w:p>
        </w:tc>
        <w:tc>
          <w:tcPr>
            <w:tcW w:w="0" w:type="auto"/>
            <w:vAlign w:val="center"/>
          </w:tcPr>
          <w:p w14:paraId="2ED53FD3"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21,0</w:t>
            </w:r>
          </w:p>
        </w:tc>
        <w:tc>
          <w:tcPr>
            <w:tcW w:w="0" w:type="auto"/>
            <w:vAlign w:val="center"/>
          </w:tcPr>
          <w:p w14:paraId="45FE49F5"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-39,5</w:t>
            </w:r>
          </w:p>
        </w:tc>
        <w:tc>
          <w:tcPr>
            <w:tcW w:w="0" w:type="auto"/>
            <w:vAlign w:val="center"/>
          </w:tcPr>
          <w:p w14:paraId="476820B5"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1560,25</w:t>
            </w:r>
          </w:p>
        </w:tc>
      </w:tr>
      <w:tr w:rsidR="00B44B71" w:rsidRPr="00E967C0" w14:paraId="2BC5A169" w14:textId="77777777" w:rsidTr="00F918EC">
        <w:tc>
          <w:tcPr>
            <w:tcW w:w="0" w:type="auto"/>
          </w:tcPr>
          <w:p w14:paraId="38B8259D" w14:textId="77777777" w:rsidR="00B44B71" w:rsidRPr="00E967C0" w:rsidRDefault="00B44B71" w:rsidP="00023291">
            <w:pPr>
              <w:tabs>
                <w:tab w:val="left" w:pos="9638"/>
              </w:tabs>
              <w:spacing w:after="0" w:line="240" w:lineRule="auto"/>
              <w:jc w:val="center"/>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10</w:t>
            </w:r>
          </w:p>
        </w:tc>
        <w:tc>
          <w:tcPr>
            <w:tcW w:w="0" w:type="auto"/>
          </w:tcPr>
          <w:p w14:paraId="0B87D63A"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Забезпечення ціннісно-мотиваційного ставлення майбутніх офіцерів – фахівців з ФКіС ЗС України до формування професійної компетентності в процесі професійної підготовки у ВВНЗ</w:t>
            </w:r>
          </w:p>
        </w:tc>
        <w:tc>
          <w:tcPr>
            <w:tcW w:w="0" w:type="auto"/>
            <w:vAlign w:val="center"/>
          </w:tcPr>
          <w:p w14:paraId="75321402"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2,1</w:t>
            </w:r>
          </w:p>
        </w:tc>
        <w:tc>
          <w:tcPr>
            <w:tcW w:w="0" w:type="auto"/>
            <w:vAlign w:val="center"/>
          </w:tcPr>
          <w:p w14:paraId="1D367F9F"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23,0</w:t>
            </w:r>
          </w:p>
        </w:tc>
        <w:tc>
          <w:tcPr>
            <w:tcW w:w="0" w:type="auto"/>
            <w:vAlign w:val="center"/>
          </w:tcPr>
          <w:p w14:paraId="4ECACA02"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-37,5</w:t>
            </w:r>
          </w:p>
        </w:tc>
        <w:tc>
          <w:tcPr>
            <w:tcW w:w="0" w:type="auto"/>
            <w:vAlign w:val="center"/>
          </w:tcPr>
          <w:p w14:paraId="54B480FF"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1406,25</w:t>
            </w:r>
          </w:p>
        </w:tc>
      </w:tr>
      <w:tr w:rsidR="00B44B71" w:rsidRPr="00E967C0" w14:paraId="6FFE79B1" w14:textId="77777777" w:rsidTr="00F918EC">
        <w:tc>
          <w:tcPr>
            <w:tcW w:w="0" w:type="auto"/>
          </w:tcPr>
          <w:p w14:paraId="57CE0CC3"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color w:val="000000"/>
                <w:kern w:val="0"/>
                <w:lang w:val="uk-UA" w:eastAsia="ru-RU"/>
                <w14:ligatures w14:val="none"/>
              </w:rPr>
            </w:pPr>
            <w:r w:rsidRPr="00E967C0">
              <w:rPr>
                <w:rFonts w:ascii="Times New Roman" w:eastAsia="Times New Roman" w:hAnsi="Times New Roman" w:cs="Times New Roman"/>
                <w:color w:val="000000"/>
                <w:kern w:val="0"/>
                <w:lang w:val="uk-UA" w:eastAsia="ru-RU"/>
                <w14:ligatures w14:val="none"/>
              </w:rPr>
              <w:t>∑d=S</w:t>
            </w:r>
          </w:p>
        </w:tc>
        <w:tc>
          <w:tcPr>
            <w:tcW w:w="0" w:type="auto"/>
            <w:gridSpan w:val="4"/>
          </w:tcPr>
          <w:p w14:paraId="16CC89F5" w14:textId="77777777" w:rsidR="00B44B71" w:rsidRPr="00E967C0" w:rsidRDefault="00B44B71" w:rsidP="00023291">
            <w:pPr>
              <w:tabs>
                <w:tab w:val="left" w:pos="9638"/>
              </w:tabs>
              <w:spacing w:after="0" w:line="240" w:lineRule="auto"/>
              <w:jc w:val="both"/>
              <w:rPr>
                <w:rFonts w:ascii="Times New Roman" w:eastAsia="Times New Roman" w:hAnsi="Times New Roman" w:cs="Times New Roman"/>
                <w:b/>
                <w:color w:val="000000"/>
                <w:kern w:val="0"/>
                <w:lang w:val="uk-UA" w:eastAsia="ru-RU"/>
                <w14:ligatures w14:val="none"/>
              </w:rPr>
            </w:pPr>
          </w:p>
        </w:tc>
        <w:tc>
          <w:tcPr>
            <w:tcW w:w="0" w:type="auto"/>
            <w:vAlign w:val="center"/>
          </w:tcPr>
          <w:p w14:paraId="3FD52BCF" w14:textId="77777777" w:rsidR="00B44B71" w:rsidRPr="00E967C0" w:rsidRDefault="00B44B71" w:rsidP="00023291">
            <w:pPr>
              <w:tabs>
                <w:tab w:val="left" w:pos="9638"/>
              </w:tabs>
              <w:spacing w:after="0" w:line="240" w:lineRule="auto"/>
              <w:jc w:val="center"/>
              <w:rPr>
                <w:rFonts w:ascii="Times New Roman" w:eastAsia="Times New Roman" w:hAnsi="Times New Roman" w:cs="Times New Roman"/>
                <w:b/>
                <w:color w:val="000000"/>
                <w:kern w:val="0"/>
                <w:lang w:val="uk-UA" w:eastAsia="ru-RU"/>
                <w14:ligatures w14:val="none"/>
              </w:rPr>
            </w:pPr>
            <w:r w:rsidRPr="00E967C0">
              <w:rPr>
                <w:rFonts w:ascii="Times New Roman" w:eastAsia="Times New Roman" w:hAnsi="Times New Roman" w:cs="Times New Roman"/>
                <w:b/>
                <w:color w:val="000000"/>
                <w:kern w:val="0"/>
                <w:lang w:val="uk-UA" w:eastAsia="ru-RU"/>
                <w14:ligatures w14:val="none"/>
              </w:rPr>
              <w:t>8238,5</w:t>
            </w:r>
          </w:p>
        </w:tc>
      </w:tr>
    </w:tbl>
    <w:p w14:paraId="108F5ECF"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color w:val="000000"/>
          <w:kern w:val="0"/>
          <w:sz w:val="28"/>
          <w:szCs w:val="28"/>
          <w:lang w:val="uk-UA" w:eastAsia="ru-RU"/>
          <w14:ligatures w14:val="none"/>
        </w:rPr>
      </w:pPr>
    </w:p>
    <w:p w14:paraId="1D7B06D6" w14:textId="77777777" w:rsidR="00BA5FBD" w:rsidRDefault="00BA5FBD" w:rsidP="00BA5FBD">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lastRenderedPageBreak/>
        <w:t xml:space="preserve">де d – відхилення суми рангів для педагогічної умови від середньої суми рангів; </w:t>
      </w:r>
    </w:p>
    <w:p w14:paraId="5C654703" w14:textId="365607EE" w:rsidR="00BA5FBD" w:rsidRPr="00B44B71" w:rsidRDefault="00BA5FBD" w:rsidP="00BA5FBD">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d</w:t>
      </w:r>
      <w:r w:rsidRPr="00B44B71">
        <w:rPr>
          <w:rFonts w:ascii="Times New Roman" w:eastAsia="Times New Roman" w:hAnsi="Times New Roman" w:cs="Times New Roman"/>
          <w:color w:val="000000"/>
          <w:kern w:val="0"/>
          <w:sz w:val="28"/>
          <w:szCs w:val="28"/>
          <w:vertAlign w:val="superscript"/>
          <w:lang w:val="uk-UA" w:eastAsia="ru-RU"/>
          <w14:ligatures w14:val="none"/>
        </w:rPr>
        <w:t>2</w:t>
      </w:r>
      <w:r w:rsidRPr="00B44B71">
        <w:rPr>
          <w:rFonts w:ascii="Times New Roman" w:eastAsia="Times New Roman" w:hAnsi="Times New Roman" w:cs="Times New Roman"/>
          <w:color w:val="000000"/>
          <w:kern w:val="0"/>
          <w:sz w:val="28"/>
          <w:szCs w:val="28"/>
          <w:lang w:val="uk-UA" w:eastAsia="ru-RU"/>
          <w14:ligatures w14:val="none"/>
        </w:rPr>
        <w:t xml:space="preserve"> – квадрат відхилення; ∑d – сума квадратів відхилень.</w:t>
      </w:r>
    </w:p>
    <w:p w14:paraId="34623347" w14:textId="77777777" w:rsidR="00BA5FBD" w:rsidRPr="00B44B71" w:rsidRDefault="00BA5FBD" w:rsidP="00BA5FBD">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 xml:space="preserve">Оцінювання середнього ступеня узгодженості думок всіх експертів. </w:t>
      </w:r>
    </w:p>
    <w:p w14:paraId="299E6F7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 xml:space="preserve">Коефіцієнт узгодженості: </w:t>
      </w:r>
    </w:p>
    <w:p w14:paraId="3E26D3C4"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noProof/>
          <w:color w:val="000000"/>
          <w:kern w:val="0"/>
          <w:sz w:val="28"/>
          <w:szCs w:val="28"/>
          <w:lang w:val="uk-UA" w:eastAsia="uk-UA"/>
          <w14:ligatures w14:val="none"/>
        </w:rPr>
        <w:drawing>
          <wp:inline distT="0" distB="0" distL="0" distR="0" wp14:anchorId="61481333" wp14:editId="25158909">
            <wp:extent cx="1438275" cy="752475"/>
            <wp:effectExtent l="0" t="0" r="0" b="0"/>
            <wp:docPr id="2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356" cstate="print"/>
                    <a:srcRect/>
                    <a:stretch>
                      <a:fillRect/>
                    </a:stretch>
                  </pic:blipFill>
                  <pic:spPr bwMode="auto">
                    <a:xfrm>
                      <a:off x="0" y="0"/>
                      <a:ext cx="1438275" cy="752475"/>
                    </a:xfrm>
                    <a:prstGeom prst="rect">
                      <a:avLst/>
                    </a:prstGeom>
                    <a:noFill/>
                    <a:ln w="9525">
                      <a:noFill/>
                      <a:miter lim="800000"/>
                      <a:headEnd/>
                      <a:tailEnd/>
                    </a:ln>
                  </pic:spPr>
                </pic:pic>
              </a:graphicData>
            </a:graphic>
          </wp:inline>
        </w:drawing>
      </w:r>
    </w:p>
    <w:p w14:paraId="7296CE2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де S = 8238,5; n (експерти) = 11, m (пед. умови) = 10.</w:t>
      </w:r>
    </w:p>
    <w:p w14:paraId="1E6ED69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 xml:space="preserve">W = 0,75 свідчить про наявність високого ступеня узгодженості думок експертів. </w:t>
      </w:r>
    </w:p>
    <w:p w14:paraId="1D2AB8B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Оцінка значущості коефіцієнта узгодженості. Для цієї мети визначаємо критерій узгодження Пірсона:</w:t>
      </w:r>
    </w:p>
    <w:p w14:paraId="0AFD333A"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noProof/>
          <w:color w:val="000000"/>
          <w:kern w:val="0"/>
          <w:sz w:val="28"/>
          <w:szCs w:val="28"/>
          <w:lang w:val="uk-UA" w:eastAsia="uk-UA"/>
          <w14:ligatures w14:val="none"/>
        </w:rPr>
        <w:drawing>
          <wp:inline distT="0" distB="0" distL="0" distR="0" wp14:anchorId="4636DB43" wp14:editId="41866DA2">
            <wp:extent cx="2314575" cy="485775"/>
            <wp:effectExtent l="19050" t="0" r="9525" b="0"/>
            <wp:docPr id="90458080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357" cstate="print"/>
                    <a:srcRect/>
                    <a:stretch>
                      <a:fillRect/>
                    </a:stretch>
                  </pic:blipFill>
                  <pic:spPr bwMode="auto">
                    <a:xfrm>
                      <a:off x="0" y="0"/>
                      <a:ext cx="2314575" cy="485775"/>
                    </a:xfrm>
                    <a:prstGeom prst="rect">
                      <a:avLst/>
                    </a:prstGeom>
                    <a:noFill/>
                    <a:ln w="9525">
                      <a:noFill/>
                      <a:miter lim="800000"/>
                      <a:headEnd/>
                      <a:tailEnd/>
                    </a:ln>
                  </pic:spPr>
                </pic:pic>
              </a:graphicData>
            </a:graphic>
          </wp:inline>
        </w:drawing>
      </w:r>
      <w:r w:rsidRPr="00B44B71">
        <w:rPr>
          <w:rFonts w:ascii="Times New Roman" w:eastAsia="Times New Roman" w:hAnsi="Times New Roman" w:cs="Times New Roman"/>
          <w:color w:val="000000"/>
          <w:kern w:val="0"/>
          <w:sz w:val="28"/>
          <w:szCs w:val="28"/>
          <w:lang w:val="uk-UA" w:eastAsia="ru-RU"/>
          <w14:ligatures w14:val="none"/>
        </w:rPr>
        <w:t xml:space="preserve">    </w:t>
      </w:r>
    </w:p>
    <w:p w14:paraId="2EA2FD61"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color w:val="000000"/>
          <w:kern w:val="0"/>
          <w:sz w:val="28"/>
          <w:szCs w:val="28"/>
          <w:lang w:val="uk-UA" w:eastAsia="ru-RU"/>
          <w14:ligatures w14:val="none"/>
        </w:rPr>
      </w:pPr>
    </w:p>
    <w:p w14:paraId="3DDF4CC1"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χ</w:t>
      </w:r>
      <w:r w:rsidRPr="00B44B71">
        <w:rPr>
          <w:rFonts w:ascii="Times New Roman" w:eastAsia="Times New Roman" w:hAnsi="Times New Roman" w:cs="Times New Roman"/>
          <w:color w:val="000000"/>
          <w:kern w:val="0"/>
          <w:sz w:val="28"/>
          <w:szCs w:val="28"/>
          <w:vertAlign w:val="superscript"/>
          <w:lang w:val="uk-UA" w:eastAsia="ru-RU"/>
          <w14:ligatures w14:val="none"/>
        </w:rPr>
        <w:t>2</w:t>
      </w:r>
      <w:r w:rsidRPr="00B44B71">
        <w:rPr>
          <w:rFonts w:ascii="Times New Roman" w:eastAsia="Times New Roman" w:hAnsi="Times New Roman" w:cs="Times New Roman"/>
          <w:color w:val="000000"/>
          <w:kern w:val="0"/>
          <w:sz w:val="28"/>
          <w:szCs w:val="28"/>
          <w:lang w:val="uk-UA" w:eastAsia="ru-RU"/>
          <w14:ligatures w14:val="none"/>
        </w:rPr>
        <w:t>= 11(10-1)×0,75 = 74,25.</w:t>
      </w:r>
    </w:p>
    <w:p w14:paraId="3A904BC6"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color w:val="000000"/>
          <w:kern w:val="0"/>
          <w:sz w:val="28"/>
          <w:szCs w:val="28"/>
          <w:lang w:val="uk-UA" w:eastAsia="ru-RU"/>
          <w14:ligatures w14:val="none"/>
        </w:rPr>
      </w:pPr>
    </w:p>
    <w:p w14:paraId="4CB7C59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Обрахований χ</w:t>
      </w:r>
      <w:r w:rsidRPr="00B44B71">
        <w:rPr>
          <w:rFonts w:ascii="Times New Roman" w:eastAsia="Times New Roman" w:hAnsi="Times New Roman" w:cs="Times New Roman"/>
          <w:color w:val="000000"/>
          <w:kern w:val="0"/>
          <w:sz w:val="28"/>
          <w:szCs w:val="28"/>
          <w:vertAlign w:val="superscript"/>
          <w:lang w:val="uk-UA" w:eastAsia="ru-RU"/>
          <w14:ligatures w14:val="none"/>
        </w:rPr>
        <w:t>2</w:t>
      </w:r>
      <w:r w:rsidRPr="00B44B71">
        <w:rPr>
          <w:rFonts w:ascii="Times New Roman" w:eastAsia="Times New Roman" w:hAnsi="Times New Roman" w:cs="Times New Roman"/>
          <w:color w:val="000000"/>
          <w:kern w:val="0"/>
          <w:sz w:val="28"/>
          <w:szCs w:val="28"/>
          <w:lang w:val="uk-UA" w:eastAsia="ru-RU"/>
          <w14:ligatures w14:val="none"/>
        </w:rPr>
        <w:t xml:space="preserve"> порівнюємо з табличним значенням для числа ступенів свободи K=n–1=11–1=10 і при заданому рівні значущості α=0,05. Так як χ</w:t>
      </w:r>
      <w:r w:rsidRPr="00B44B71">
        <w:rPr>
          <w:rFonts w:ascii="Times New Roman" w:eastAsia="Times New Roman" w:hAnsi="Times New Roman" w:cs="Times New Roman"/>
          <w:color w:val="000000"/>
          <w:kern w:val="0"/>
          <w:sz w:val="28"/>
          <w:szCs w:val="28"/>
          <w:vertAlign w:val="superscript"/>
          <w:lang w:val="uk-UA" w:eastAsia="ru-RU"/>
          <w14:ligatures w14:val="none"/>
        </w:rPr>
        <w:t>2</w:t>
      </w:r>
      <w:r w:rsidRPr="00B44B71">
        <w:rPr>
          <w:rFonts w:ascii="Times New Roman" w:eastAsia="Times New Roman" w:hAnsi="Times New Roman" w:cs="Times New Roman"/>
          <w:color w:val="000000"/>
          <w:kern w:val="0"/>
          <w:sz w:val="28"/>
          <w:szCs w:val="28"/>
          <w:lang w:val="uk-UA" w:eastAsia="ru-RU"/>
          <w14:ligatures w14:val="none"/>
        </w:rPr>
        <w:t xml:space="preserve"> розрахунковий 74,25≥29,594 табличного, то W=0,75 – величина не випадкова, а тому отримані результати мають сенс і можуть використовуватися в подальших дослідженнях.</w:t>
      </w:r>
    </w:p>
    <w:p w14:paraId="412429D1"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b/>
          <w:color w:val="000000"/>
          <w:kern w:val="0"/>
          <w:sz w:val="28"/>
          <w:szCs w:val="28"/>
          <w:lang w:val="uk-UA" w:eastAsia="ru-RU"/>
          <w14:ligatures w14:val="none"/>
        </w:rPr>
        <w:t>Висновки (Conclusions).</w:t>
      </w:r>
      <w:r w:rsidRPr="00B44B71">
        <w:rPr>
          <w:rFonts w:ascii="Times New Roman" w:eastAsia="Times New Roman" w:hAnsi="Times New Roman" w:cs="Times New Roman"/>
          <w:color w:val="000000"/>
          <w:kern w:val="0"/>
          <w:sz w:val="28"/>
          <w:szCs w:val="28"/>
          <w:lang w:val="uk-UA" w:eastAsia="ru-RU"/>
          <w14:ligatures w14:val="none"/>
        </w:rPr>
        <w:t xml:space="preserve"> У ході застосування методу експертних оцінок було з’ясовано, що найбільш значущими педагогічними умовами формування професійної компетентності майбутніх офіцерів </w:t>
      </w:r>
      <w:r w:rsidRPr="00B44B71">
        <w:rPr>
          <w:rFonts w:ascii="Times New Roman" w:eastAsia="Times New Roman" w:hAnsi="Times New Roman" w:cs="Times New Roman"/>
          <w:color w:val="000000"/>
          <w:kern w:val="0"/>
          <w:sz w:val="28"/>
          <w:szCs w:val="28"/>
          <w:lang w:val="uk-UA" w:eastAsia="ru-RU"/>
          <w14:ligatures w14:val="none"/>
        </w:rPr>
        <w:sym w:font="Symbol" w:char="F02D"/>
      </w:r>
      <w:r w:rsidRPr="00B44B71">
        <w:rPr>
          <w:rFonts w:ascii="Times New Roman" w:eastAsia="Times New Roman" w:hAnsi="Times New Roman" w:cs="Times New Roman"/>
          <w:color w:val="000000"/>
          <w:kern w:val="0"/>
          <w:sz w:val="28"/>
          <w:szCs w:val="28"/>
          <w:lang w:val="uk-UA" w:eastAsia="ru-RU"/>
          <w14:ligatures w14:val="none"/>
        </w:rPr>
        <w:t xml:space="preserve"> фахівців з фізичної культури і спорту ЗС України на першому бакалаврському рівні підготовки у ВВНЗ за узгодженою думкою експертів (W=0,75; χ</w:t>
      </w:r>
      <w:r w:rsidRPr="00B44B71">
        <w:rPr>
          <w:rFonts w:ascii="Times New Roman" w:eastAsia="Times New Roman" w:hAnsi="Times New Roman" w:cs="Times New Roman"/>
          <w:color w:val="000000"/>
          <w:kern w:val="0"/>
          <w:sz w:val="28"/>
          <w:szCs w:val="28"/>
          <w:vertAlign w:val="superscript"/>
          <w:lang w:val="uk-UA" w:eastAsia="ru-RU"/>
          <w14:ligatures w14:val="none"/>
        </w:rPr>
        <w:t>2</w:t>
      </w:r>
      <w:r w:rsidRPr="00B44B71">
        <w:rPr>
          <w:rFonts w:ascii="Times New Roman" w:eastAsia="Times New Roman" w:hAnsi="Times New Roman" w:cs="Times New Roman"/>
          <w:color w:val="000000"/>
          <w:kern w:val="0"/>
          <w:sz w:val="28"/>
          <w:szCs w:val="28"/>
          <w:lang w:val="uk-UA" w:eastAsia="ru-RU"/>
          <w14:ligatures w14:val="none"/>
        </w:rPr>
        <w:t>=74,25; p&lt;0,001) є такі табл. 3:</w:t>
      </w:r>
    </w:p>
    <w:p w14:paraId="23650959" w14:textId="77777777" w:rsidR="00B44B71" w:rsidRPr="00B44B71" w:rsidRDefault="00B44B71" w:rsidP="00023291">
      <w:pPr>
        <w:widowControl w:val="0"/>
        <w:tabs>
          <w:tab w:val="left" w:pos="9638"/>
        </w:tabs>
        <w:spacing w:after="0" w:line="240" w:lineRule="auto"/>
        <w:ind w:firstLine="709"/>
        <w:jc w:val="right"/>
        <w:rPr>
          <w:rFonts w:ascii="Times New Roman" w:eastAsia="Times New Roman" w:hAnsi="Times New Roman" w:cs="Times New Roman"/>
          <w:i/>
          <w:color w:val="000000"/>
          <w:kern w:val="0"/>
          <w:sz w:val="28"/>
          <w:szCs w:val="28"/>
          <w:lang w:val="uk-UA" w:eastAsia="ru-RU"/>
          <w14:ligatures w14:val="none"/>
        </w:rPr>
      </w:pPr>
    </w:p>
    <w:p w14:paraId="76246DAD" w14:textId="77777777" w:rsidR="00B44B71" w:rsidRPr="00B44B71" w:rsidRDefault="00B44B71" w:rsidP="00023291">
      <w:pPr>
        <w:widowControl w:val="0"/>
        <w:tabs>
          <w:tab w:val="left" w:pos="9638"/>
        </w:tabs>
        <w:spacing w:after="0" w:line="240" w:lineRule="auto"/>
        <w:ind w:firstLine="709"/>
        <w:jc w:val="right"/>
        <w:rPr>
          <w:rFonts w:ascii="Times New Roman" w:eastAsia="Times New Roman" w:hAnsi="Times New Roman" w:cs="Times New Roman"/>
          <w:iCs/>
          <w:color w:val="000000"/>
          <w:kern w:val="0"/>
          <w:sz w:val="28"/>
          <w:szCs w:val="28"/>
          <w:lang w:val="uk-UA" w:eastAsia="ru-RU"/>
          <w14:ligatures w14:val="none"/>
        </w:rPr>
      </w:pPr>
      <w:r w:rsidRPr="00B44B71">
        <w:rPr>
          <w:rFonts w:ascii="Times New Roman" w:eastAsia="Times New Roman" w:hAnsi="Times New Roman" w:cs="Times New Roman"/>
          <w:iCs/>
          <w:color w:val="000000"/>
          <w:kern w:val="0"/>
          <w:sz w:val="28"/>
          <w:szCs w:val="28"/>
          <w:lang w:val="uk-UA" w:eastAsia="ru-RU"/>
          <w14:ligatures w14:val="none"/>
        </w:rPr>
        <w:t>Таблиця 3</w:t>
      </w:r>
    </w:p>
    <w:p w14:paraId="6E907796" w14:textId="77777777" w:rsidR="00B44B71" w:rsidRPr="00B44B71" w:rsidRDefault="00B44B71" w:rsidP="00023291">
      <w:pPr>
        <w:widowControl w:val="0"/>
        <w:tabs>
          <w:tab w:val="left" w:pos="9638"/>
        </w:tabs>
        <w:spacing w:after="0" w:line="240" w:lineRule="auto"/>
        <w:jc w:val="center"/>
        <w:rPr>
          <w:rFonts w:ascii="Times New Roman" w:eastAsia="Times New Roman" w:hAnsi="Times New Roman" w:cs="Times New Roman"/>
          <w:b/>
          <w:bCs/>
          <w:color w:val="000000"/>
          <w:kern w:val="0"/>
          <w:sz w:val="28"/>
          <w:szCs w:val="28"/>
          <w:lang w:val="uk-UA" w:eastAsia="ru-RU"/>
          <w14:ligatures w14:val="none"/>
        </w:rPr>
      </w:pPr>
      <w:r w:rsidRPr="00B44B71">
        <w:rPr>
          <w:rFonts w:ascii="Times New Roman" w:eastAsia="Times New Roman" w:hAnsi="Times New Roman" w:cs="Times New Roman"/>
          <w:b/>
          <w:bCs/>
          <w:color w:val="000000"/>
          <w:kern w:val="0"/>
          <w:sz w:val="28"/>
          <w:szCs w:val="28"/>
          <w:lang w:val="uk-UA" w:eastAsia="ru-RU"/>
          <w14:ligatures w14:val="none"/>
        </w:rPr>
        <w:t xml:space="preserve">Результати ранжування експертами педагогічних умов формування професійної компетентності майбутніх офіцерів – фахівців з ФКіС ЗС України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53"/>
        <w:gridCol w:w="1038"/>
        <w:gridCol w:w="806"/>
      </w:tblGrid>
      <w:tr w:rsidR="00B44B71" w:rsidRPr="00B44B71" w14:paraId="7FFDA68A" w14:textId="77777777" w:rsidTr="00F918EC">
        <w:tc>
          <w:tcPr>
            <w:tcW w:w="4078" w:type="pct"/>
            <w:vAlign w:val="center"/>
          </w:tcPr>
          <w:p w14:paraId="3748AB81" w14:textId="77777777" w:rsidR="00B44B71" w:rsidRPr="00B44B71" w:rsidRDefault="00B44B71" w:rsidP="00023291">
            <w:pPr>
              <w:widowControl w:val="0"/>
              <w:tabs>
                <w:tab w:val="left" w:pos="9638"/>
              </w:tabs>
              <w:spacing w:after="0" w:line="240" w:lineRule="auto"/>
              <w:ind w:firstLine="709"/>
              <w:jc w:val="center"/>
              <w:rPr>
                <w:rFonts w:ascii="Times New Roman" w:eastAsia="Times New Roman" w:hAnsi="Times New Roman" w:cs="Times New Roman"/>
                <w:b/>
                <w:bCs/>
                <w:color w:val="000000"/>
                <w:kern w:val="0"/>
                <w:sz w:val="24"/>
                <w:szCs w:val="24"/>
                <w:lang w:val="uk-UA" w:eastAsia="ru-RU"/>
                <w14:ligatures w14:val="none"/>
              </w:rPr>
            </w:pPr>
            <w:r w:rsidRPr="00B44B71">
              <w:rPr>
                <w:rFonts w:ascii="Times New Roman" w:eastAsia="Times New Roman" w:hAnsi="Times New Roman" w:cs="Times New Roman"/>
                <w:b/>
                <w:bCs/>
                <w:color w:val="000000"/>
                <w:kern w:val="0"/>
                <w:sz w:val="24"/>
                <w:szCs w:val="24"/>
                <w:lang w:val="uk-UA" w:eastAsia="ru-RU"/>
                <w14:ligatures w14:val="none"/>
              </w:rPr>
              <w:t>Педагогічні умови</w:t>
            </w:r>
          </w:p>
        </w:tc>
        <w:tc>
          <w:tcPr>
            <w:tcW w:w="519" w:type="pct"/>
            <w:vAlign w:val="center"/>
          </w:tcPr>
          <w:p w14:paraId="79E850FF" w14:textId="77777777" w:rsidR="00B44B71" w:rsidRPr="00B44B71" w:rsidRDefault="00B44B71" w:rsidP="00023291">
            <w:pPr>
              <w:widowControl w:val="0"/>
              <w:tabs>
                <w:tab w:val="left" w:pos="9638"/>
              </w:tabs>
              <w:spacing w:after="0" w:line="240" w:lineRule="auto"/>
              <w:jc w:val="center"/>
              <w:rPr>
                <w:rFonts w:ascii="Times New Roman" w:eastAsia="Times New Roman" w:hAnsi="Times New Roman" w:cs="Times New Roman"/>
                <w:b/>
                <w:bCs/>
                <w:color w:val="000000"/>
                <w:kern w:val="0"/>
                <w:sz w:val="24"/>
                <w:szCs w:val="24"/>
                <w:lang w:val="uk-UA" w:eastAsia="ru-RU"/>
                <w14:ligatures w14:val="none"/>
              </w:rPr>
            </w:pPr>
            <w:r w:rsidRPr="00B44B71">
              <w:rPr>
                <w:rFonts w:ascii="Times New Roman" w:eastAsia="Times New Roman" w:hAnsi="Times New Roman" w:cs="Times New Roman"/>
                <w:b/>
                <w:bCs/>
                <w:color w:val="000000"/>
                <w:kern w:val="0"/>
                <w:sz w:val="24"/>
                <w:szCs w:val="24"/>
                <w:lang w:val="uk-UA" w:eastAsia="ru-RU"/>
                <w14:ligatures w14:val="none"/>
              </w:rPr>
              <w:t>Сума рангів</w:t>
            </w:r>
          </w:p>
        </w:tc>
        <w:tc>
          <w:tcPr>
            <w:tcW w:w="403" w:type="pct"/>
            <w:vAlign w:val="center"/>
          </w:tcPr>
          <w:p w14:paraId="60783E5F" w14:textId="77777777" w:rsidR="00B44B71" w:rsidRPr="00B44B71" w:rsidRDefault="00B44B71" w:rsidP="00023291">
            <w:pPr>
              <w:widowControl w:val="0"/>
              <w:tabs>
                <w:tab w:val="left" w:pos="9638"/>
              </w:tabs>
              <w:spacing w:after="0" w:line="240" w:lineRule="auto"/>
              <w:jc w:val="both"/>
              <w:rPr>
                <w:rFonts w:ascii="Times New Roman" w:eastAsia="Times New Roman" w:hAnsi="Times New Roman" w:cs="Times New Roman"/>
                <w:b/>
                <w:bCs/>
                <w:color w:val="000000"/>
                <w:kern w:val="0"/>
                <w:sz w:val="24"/>
                <w:szCs w:val="24"/>
                <w:lang w:val="uk-UA" w:eastAsia="ru-RU"/>
                <w14:ligatures w14:val="none"/>
              </w:rPr>
            </w:pPr>
            <w:r w:rsidRPr="00B44B71">
              <w:rPr>
                <w:rFonts w:ascii="Times New Roman" w:eastAsia="Times New Roman" w:hAnsi="Times New Roman" w:cs="Times New Roman"/>
                <w:b/>
                <w:bCs/>
                <w:color w:val="000000"/>
                <w:kern w:val="0"/>
                <w:sz w:val="24"/>
                <w:szCs w:val="24"/>
                <w:lang w:val="uk-UA" w:eastAsia="ru-RU"/>
                <w14:ligatures w14:val="none"/>
              </w:rPr>
              <w:t>Ранг</w:t>
            </w:r>
          </w:p>
        </w:tc>
      </w:tr>
      <w:tr w:rsidR="00B44B71" w:rsidRPr="00B44B71" w14:paraId="32886824" w14:textId="77777777" w:rsidTr="00F918EC">
        <w:trPr>
          <w:trHeight w:val="970"/>
        </w:trPr>
        <w:tc>
          <w:tcPr>
            <w:tcW w:w="4078" w:type="pct"/>
            <w:vAlign w:val="center"/>
          </w:tcPr>
          <w:p w14:paraId="40EAE8C7" w14:textId="77777777" w:rsidR="00B44B71" w:rsidRPr="00B44B71" w:rsidRDefault="00B44B71" w:rsidP="00023291">
            <w:pPr>
              <w:widowControl w:val="0"/>
              <w:tabs>
                <w:tab w:val="left" w:pos="9638"/>
              </w:tabs>
              <w:spacing w:after="0" w:line="240" w:lineRule="auto"/>
              <w:ind w:left="142"/>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bCs/>
                <w:color w:val="000000"/>
                <w:kern w:val="0"/>
                <w:sz w:val="24"/>
                <w:szCs w:val="24"/>
                <w:lang w:val="uk-UA" w:eastAsia="ru-RU"/>
                <w14:ligatures w14:val="none"/>
              </w:rPr>
              <w:t xml:space="preserve">Визначення критеріїв і показників оцінювання сформованості професійної компетентності </w:t>
            </w:r>
            <w:r w:rsidRPr="00B44B71">
              <w:rPr>
                <w:rFonts w:ascii="Times New Roman" w:eastAsia="Times New Roman" w:hAnsi="Times New Roman" w:cs="Times New Roman"/>
                <w:color w:val="000000"/>
                <w:kern w:val="0"/>
                <w:sz w:val="24"/>
                <w:szCs w:val="24"/>
                <w:lang w:val="uk-UA" w:eastAsia="ru-RU"/>
                <w14:ligatures w14:val="none"/>
              </w:rPr>
              <w:t>майбутніх офіцерів – фахівців з ФКіС ЗС України</w:t>
            </w:r>
          </w:p>
        </w:tc>
        <w:tc>
          <w:tcPr>
            <w:tcW w:w="519" w:type="pct"/>
            <w:vAlign w:val="center"/>
          </w:tcPr>
          <w:p w14:paraId="0EF102D2" w14:textId="77777777" w:rsidR="00B44B71" w:rsidRPr="00B44B71" w:rsidRDefault="00B44B71" w:rsidP="0002329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21</w:t>
            </w:r>
          </w:p>
        </w:tc>
        <w:tc>
          <w:tcPr>
            <w:tcW w:w="403" w:type="pct"/>
            <w:vAlign w:val="center"/>
          </w:tcPr>
          <w:p w14:paraId="4F05F4AD" w14:textId="77777777" w:rsidR="00B44B71" w:rsidRPr="00B44B71" w:rsidRDefault="00B44B71" w:rsidP="0002329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1</w:t>
            </w:r>
          </w:p>
        </w:tc>
      </w:tr>
      <w:tr w:rsidR="00B44B71" w:rsidRPr="00B44B71" w14:paraId="11439DD8" w14:textId="77777777" w:rsidTr="00F918EC">
        <w:trPr>
          <w:trHeight w:val="350"/>
        </w:trPr>
        <w:tc>
          <w:tcPr>
            <w:tcW w:w="4078" w:type="pct"/>
            <w:vAlign w:val="center"/>
          </w:tcPr>
          <w:p w14:paraId="360FF802" w14:textId="77777777" w:rsidR="00B44B71" w:rsidRPr="00B44B71" w:rsidRDefault="00B44B71" w:rsidP="00023291">
            <w:pPr>
              <w:widowControl w:val="0"/>
              <w:tabs>
                <w:tab w:val="left" w:pos="9638"/>
              </w:tabs>
              <w:spacing w:after="0" w:line="240" w:lineRule="auto"/>
              <w:ind w:left="142"/>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 xml:space="preserve">Забезпечення ціннісно-мотиваційного ставлення майбутніх офіцерів – фахівців з ФКіС ЗС України до формування професійної компетентності </w:t>
            </w:r>
          </w:p>
        </w:tc>
        <w:tc>
          <w:tcPr>
            <w:tcW w:w="519" w:type="pct"/>
            <w:vAlign w:val="center"/>
          </w:tcPr>
          <w:p w14:paraId="1DAA30C8" w14:textId="77777777" w:rsidR="00B44B71" w:rsidRPr="00B44B71" w:rsidRDefault="00B44B71" w:rsidP="0002329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23</w:t>
            </w:r>
          </w:p>
        </w:tc>
        <w:tc>
          <w:tcPr>
            <w:tcW w:w="403" w:type="pct"/>
            <w:vAlign w:val="center"/>
          </w:tcPr>
          <w:p w14:paraId="251E2A25" w14:textId="77777777" w:rsidR="00B44B71" w:rsidRPr="00B44B71" w:rsidRDefault="00B44B71" w:rsidP="0002329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2</w:t>
            </w:r>
          </w:p>
        </w:tc>
      </w:tr>
      <w:tr w:rsidR="00B44B71" w:rsidRPr="00B44B71" w14:paraId="7AB3D7FB" w14:textId="77777777" w:rsidTr="00F918EC">
        <w:trPr>
          <w:trHeight w:val="350"/>
        </w:trPr>
        <w:tc>
          <w:tcPr>
            <w:tcW w:w="4078" w:type="pct"/>
            <w:vAlign w:val="center"/>
          </w:tcPr>
          <w:p w14:paraId="6A0B171F" w14:textId="77777777" w:rsidR="00B44B71" w:rsidRPr="00B44B71" w:rsidRDefault="00B44B71" w:rsidP="00023291">
            <w:pPr>
              <w:widowControl w:val="0"/>
              <w:tabs>
                <w:tab w:val="left" w:pos="9638"/>
              </w:tabs>
              <w:spacing w:after="0" w:line="240" w:lineRule="auto"/>
              <w:ind w:left="142"/>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 xml:space="preserve">Педагогічне моделювання процесу формування професійної компетентності майбутніх офіцерів – фахівців з ФКіС ЗС України </w:t>
            </w:r>
          </w:p>
        </w:tc>
        <w:tc>
          <w:tcPr>
            <w:tcW w:w="519" w:type="pct"/>
            <w:vAlign w:val="center"/>
          </w:tcPr>
          <w:p w14:paraId="4682EE2E" w14:textId="77777777" w:rsidR="00B44B71" w:rsidRPr="00B44B71" w:rsidRDefault="00B44B71" w:rsidP="0002329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27</w:t>
            </w:r>
          </w:p>
        </w:tc>
        <w:tc>
          <w:tcPr>
            <w:tcW w:w="403" w:type="pct"/>
            <w:vAlign w:val="center"/>
          </w:tcPr>
          <w:p w14:paraId="27F84676" w14:textId="77777777" w:rsidR="00B44B71" w:rsidRPr="00B44B71" w:rsidRDefault="00B44B71" w:rsidP="0002329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3</w:t>
            </w:r>
          </w:p>
        </w:tc>
      </w:tr>
      <w:tr w:rsidR="00B44B71" w:rsidRPr="00B44B71" w14:paraId="410A9E2E" w14:textId="77777777" w:rsidTr="00F918EC">
        <w:trPr>
          <w:trHeight w:val="350"/>
        </w:trPr>
        <w:tc>
          <w:tcPr>
            <w:tcW w:w="4078" w:type="pct"/>
            <w:vAlign w:val="center"/>
          </w:tcPr>
          <w:p w14:paraId="6071C473" w14:textId="77777777" w:rsidR="00B44B71" w:rsidRPr="00B44B71" w:rsidRDefault="00B44B71" w:rsidP="00023291">
            <w:pPr>
              <w:widowControl w:val="0"/>
              <w:tabs>
                <w:tab w:val="left" w:pos="9638"/>
              </w:tabs>
              <w:spacing w:after="0" w:line="240" w:lineRule="auto"/>
              <w:ind w:left="142"/>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lastRenderedPageBreak/>
              <w:t>Удосконалення професійно орієнтованої методики формування професійної компетентності майбутніх офіцерів – фахівців з ФКіС ЗС України</w:t>
            </w:r>
          </w:p>
        </w:tc>
        <w:tc>
          <w:tcPr>
            <w:tcW w:w="519" w:type="pct"/>
            <w:vAlign w:val="center"/>
          </w:tcPr>
          <w:p w14:paraId="078A4AD2" w14:textId="77777777" w:rsidR="00B44B71" w:rsidRPr="00B44B71" w:rsidRDefault="00B44B71" w:rsidP="0002329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40</w:t>
            </w:r>
          </w:p>
        </w:tc>
        <w:tc>
          <w:tcPr>
            <w:tcW w:w="403" w:type="pct"/>
            <w:vAlign w:val="center"/>
          </w:tcPr>
          <w:p w14:paraId="5F650200" w14:textId="77777777" w:rsidR="00B44B71" w:rsidRPr="00B44B71" w:rsidRDefault="00B44B71" w:rsidP="0002329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4</w:t>
            </w:r>
          </w:p>
        </w:tc>
      </w:tr>
      <w:tr w:rsidR="00B44B71" w:rsidRPr="00B44B71" w14:paraId="1C869B26" w14:textId="77777777" w:rsidTr="00F918EC">
        <w:trPr>
          <w:trHeight w:val="350"/>
        </w:trPr>
        <w:tc>
          <w:tcPr>
            <w:tcW w:w="4078" w:type="pct"/>
          </w:tcPr>
          <w:p w14:paraId="4F631EEE" w14:textId="77777777" w:rsidR="00B44B71" w:rsidRPr="00B44B71" w:rsidRDefault="00B44B71" w:rsidP="00023291">
            <w:pPr>
              <w:widowControl w:val="0"/>
              <w:tabs>
                <w:tab w:val="left" w:pos="9638"/>
              </w:tabs>
              <w:spacing w:after="0" w:line="240" w:lineRule="auto"/>
              <w:ind w:left="142"/>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 xml:space="preserve">Забезпечення взаємозв’язку теоретичного, практичного та особистісного напрямів процесу формування професійної компетентності майбутніх офіцерів –фахівців з ФКіС ЗС України  </w:t>
            </w:r>
          </w:p>
        </w:tc>
        <w:tc>
          <w:tcPr>
            <w:tcW w:w="519" w:type="pct"/>
            <w:vAlign w:val="center"/>
          </w:tcPr>
          <w:p w14:paraId="28A67098" w14:textId="77777777" w:rsidR="00B44B71" w:rsidRPr="00B44B71" w:rsidRDefault="00B44B71" w:rsidP="0002329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66</w:t>
            </w:r>
          </w:p>
        </w:tc>
        <w:tc>
          <w:tcPr>
            <w:tcW w:w="403" w:type="pct"/>
            <w:vAlign w:val="center"/>
          </w:tcPr>
          <w:p w14:paraId="143A52C9" w14:textId="77777777" w:rsidR="00B44B71" w:rsidRPr="00B44B71" w:rsidRDefault="00B44B71" w:rsidP="0002329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5</w:t>
            </w:r>
          </w:p>
        </w:tc>
      </w:tr>
      <w:tr w:rsidR="00B44B71" w:rsidRPr="00B44B71" w14:paraId="5344E69C" w14:textId="77777777" w:rsidTr="00F918EC">
        <w:trPr>
          <w:trHeight w:val="350"/>
        </w:trPr>
        <w:tc>
          <w:tcPr>
            <w:tcW w:w="4078" w:type="pct"/>
            <w:vAlign w:val="center"/>
          </w:tcPr>
          <w:p w14:paraId="72FAC822" w14:textId="77777777" w:rsidR="00B44B71" w:rsidRPr="00B44B71" w:rsidRDefault="00B44B71" w:rsidP="00023291">
            <w:pPr>
              <w:widowControl w:val="0"/>
              <w:tabs>
                <w:tab w:val="left" w:pos="9638"/>
              </w:tabs>
              <w:spacing w:after="0" w:line="240" w:lineRule="auto"/>
              <w:ind w:left="142"/>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Врахування індивідуальних особливостей майбутніх офіцерів – фахівців з ФКіС ЗС України</w:t>
            </w:r>
          </w:p>
        </w:tc>
        <w:tc>
          <w:tcPr>
            <w:tcW w:w="519" w:type="pct"/>
            <w:vAlign w:val="center"/>
          </w:tcPr>
          <w:p w14:paraId="19DCBD8F" w14:textId="77777777" w:rsidR="00B44B71" w:rsidRPr="00B44B71" w:rsidRDefault="00B44B71" w:rsidP="0002329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68</w:t>
            </w:r>
          </w:p>
        </w:tc>
        <w:tc>
          <w:tcPr>
            <w:tcW w:w="403" w:type="pct"/>
            <w:vAlign w:val="center"/>
          </w:tcPr>
          <w:p w14:paraId="4460DE81" w14:textId="77777777" w:rsidR="00B44B71" w:rsidRPr="00B44B71" w:rsidRDefault="00B44B71" w:rsidP="0002329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6</w:t>
            </w:r>
          </w:p>
        </w:tc>
      </w:tr>
      <w:tr w:rsidR="00B44B71" w:rsidRPr="00B44B71" w14:paraId="4DC372D7" w14:textId="77777777" w:rsidTr="00F918EC">
        <w:trPr>
          <w:trHeight w:val="350"/>
        </w:trPr>
        <w:tc>
          <w:tcPr>
            <w:tcW w:w="4078" w:type="pct"/>
            <w:vAlign w:val="center"/>
          </w:tcPr>
          <w:p w14:paraId="154FD028" w14:textId="77777777" w:rsidR="00B44B71" w:rsidRPr="00B44B71" w:rsidRDefault="00B44B71" w:rsidP="00023291">
            <w:pPr>
              <w:widowControl w:val="0"/>
              <w:tabs>
                <w:tab w:val="left" w:pos="9638"/>
              </w:tabs>
              <w:spacing w:after="0" w:line="240" w:lineRule="auto"/>
              <w:ind w:left="142"/>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Запровадження індивідуального та диференційованого підходів до формування професійної компетентності майбутніх офіцерів – фахівців з ФКіС ЗС України</w:t>
            </w:r>
          </w:p>
        </w:tc>
        <w:tc>
          <w:tcPr>
            <w:tcW w:w="519" w:type="pct"/>
            <w:vAlign w:val="center"/>
          </w:tcPr>
          <w:p w14:paraId="31F14E12" w14:textId="77777777" w:rsidR="00B44B71" w:rsidRPr="00B44B71" w:rsidRDefault="00B44B71" w:rsidP="0002329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86</w:t>
            </w:r>
          </w:p>
        </w:tc>
        <w:tc>
          <w:tcPr>
            <w:tcW w:w="403" w:type="pct"/>
            <w:vAlign w:val="center"/>
          </w:tcPr>
          <w:p w14:paraId="114CE395" w14:textId="77777777" w:rsidR="00B44B71" w:rsidRPr="00B44B71" w:rsidRDefault="00B44B71" w:rsidP="0002329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7</w:t>
            </w:r>
          </w:p>
        </w:tc>
      </w:tr>
      <w:tr w:rsidR="00B44B71" w:rsidRPr="00B44B71" w14:paraId="5D1AF34F" w14:textId="77777777" w:rsidTr="00F918EC">
        <w:tc>
          <w:tcPr>
            <w:tcW w:w="4078" w:type="pct"/>
            <w:vAlign w:val="center"/>
          </w:tcPr>
          <w:p w14:paraId="5E198648" w14:textId="77777777" w:rsidR="00B44B71" w:rsidRPr="00B44B71" w:rsidRDefault="00B44B71" w:rsidP="00023291">
            <w:pPr>
              <w:widowControl w:val="0"/>
              <w:tabs>
                <w:tab w:val="left" w:pos="9638"/>
              </w:tabs>
              <w:spacing w:after="0" w:line="240" w:lineRule="auto"/>
              <w:ind w:left="142"/>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Введення спецкурсу у навчальний процес, що забезпечуватиме системоутворюючу функцію міжпредметних зв’язків формування професійної компетентності майбутніх офіцерів – фахівців з ФКіС ЗС України</w:t>
            </w:r>
          </w:p>
        </w:tc>
        <w:tc>
          <w:tcPr>
            <w:tcW w:w="519" w:type="pct"/>
            <w:vAlign w:val="center"/>
          </w:tcPr>
          <w:p w14:paraId="144172BE" w14:textId="77777777" w:rsidR="00B44B71" w:rsidRPr="00B44B71" w:rsidRDefault="00B44B71" w:rsidP="0002329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86</w:t>
            </w:r>
          </w:p>
        </w:tc>
        <w:tc>
          <w:tcPr>
            <w:tcW w:w="403" w:type="pct"/>
            <w:vAlign w:val="center"/>
          </w:tcPr>
          <w:p w14:paraId="2DDB9CCB" w14:textId="77777777" w:rsidR="00B44B71" w:rsidRPr="00B44B71" w:rsidRDefault="00B44B71" w:rsidP="0002329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8</w:t>
            </w:r>
          </w:p>
        </w:tc>
      </w:tr>
      <w:tr w:rsidR="00B44B71" w:rsidRPr="00B44B71" w14:paraId="20BA3DA6" w14:textId="77777777" w:rsidTr="00F918EC">
        <w:tc>
          <w:tcPr>
            <w:tcW w:w="4078" w:type="pct"/>
            <w:vAlign w:val="center"/>
          </w:tcPr>
          <w:p w14:paraId="6DF4F630" w14:textId="77777777" w:rsidR="00B44B71" w:rsidRPr="00B44B71" w:rsidRDefault="00B44B71" w:rsidP="00023291">
            <w:pPr>
              <w:widowControl w:val="0"/>
              <w:tabs>
                <w:tab w:val="left" w:pos="9638"/>
              </w:tabs>
              <w:spacing w:after="0" w:line="240" w:lineRule="auto"/>
              <w:ind w:left="142"/>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Розроблення інтегративного навчально-методичного комплексу, що забезпечуватиме опанування майбутніми офіцерами – фахівцями з ФКіС ЗС України знаннями з фаху</w:t>
            </w:r>
          </w:p>
        </w:tc>
        <w:tc>
          <w:tcPr>
            <w:tcW w:w="519" w:type="pct"/>
            <w:vAlign w:val="center"/>
          </w:tcPr>
          <w:p w14:paraId="69957D21" w14:textId="77777777" w:rsidR="00B44B71" w:rsidRPr="00B44B71" w:rsidRDefault="00B44B71" w:rsidP="0002329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87</w:t>
            </w:r>
          </w:p>
        </w:tc>
        <w:tc>
          <w:tcPr>
            <w:tcW w:w="403" w:type="pct"/>
            <w:vAlign w:val="center"/>
          </w:tcPr>
          <w:p w14:paraId="26EE5832" w14:textId="77777777" w:rsidR="00B44B71" w:rsidRPr="00B44B71" w:rsidRDefault="00B44B71" w:rsidP="0002329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9</w:t>
            </w:r>
          </w:p>
        </w:tc>
      </w:tr>
      <w:tr w:rsidR="00B44B71" w:rsidRPr="00B44B71" w14:paraId="0F51E91D" w14:textId="77777777" w:rsidTr="00F918EC">
        <w:tc>
          <w:tcPr>
            <w:tcW w:w="4078" w:type="pct"/>
            <w:vAlign w:val="center"/>
          </w:tcPr>
          <w:p w14:paraId="23DBC7B9" w14:textId="77777777" w:rsidR="00B44B71" w:rsidRPr="00B44B71" w:rsidRDefault="00B44B71" w:rsidP="00023291">
            <w:pPr>
              <w:widowControl w:val="0"/>
              <w:tabs>
                <w:tab w:val="left" w:pos="9638"/>
              </w:tabs>
              <w:spacing w:after="0" w:line="240" w:lineRule="auto"/>
              <w:ind w:left="142"/>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Систематичне діагностування сформованості професійної компетентності майбутніх офіцерів – фахівців з ФКіС ЗС України</w:t>
            </w:r>
          </w:p>
        </w:tc>
        <w:tc>
          <w:tcPr>
            <w:tcW w:w="519" w:type="pct"/>
            <w:vAlign w:val="center"/>
          </w:tcPr>
          <w:p w14:paraId="4189C372" w14:textId="77777777" w:rsidR="00B44B71" w:rsidRPr="00B44B71" w:rsidRDefault="00B44B71" w:rsidP="0002329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88</w:t>
            </w:r>
          </w:p>
        </w:tc>
        <w:tc>
          <w:tcPr>
            <w:tcW w:w="403" w:type="pct"/>
            <w:vAlign w:val="center"/>
          </w:tcPr>
          <w:p w14:paraId="5D1BD1F1" w14:textId="77777777" w:rsidR="00B44B71" w:rsidRPr="00B44B71" w:rsidRDefault="00B44B71" w:rsidP="00023291">
            <w:pPr>
              <w:widowControl w:val="0"/>
              <w:tabs>
                <w:tab w:val="left" w:pos="9638"/>
              </w:tabs>
              <w:spacing w:after="0" w:line="240" w:lineRule="auto"/>
              <w:jc w:val="center"/>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10</w:t>
            </w:r>
          </w:p>
        </w:tc>
      </w:tr>
    </w:tbl>
    <w:p w14:paraId="5468B9DA"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p>
    <w:bookmarkEnd w:id="42"/>
    <w:p w14:paraId="50AEC280"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color w:val="000000"/>
          <w:kern w:val="0"/>
          <w:sz w:val="28"/>
          <w:szCs w:val="28"/>
          <w:lang w:val="uk-UA" w:eastAsia="ru-RU"/>
          <w14:ligatures w14:val="none"/>
        </w:rPr>
        <w:t xml:space="preserve">Таким чином, результати аналізу науково-педагогічної літератури та застосування методу експертного оцінювання уможливили висновок про те, що успішному формуванню професійної компетентності майбутніх офіцерів </w:t>
      </w:r>
      <w:r w:rsidRPr="00B44B71">
        <w:rPr>
          <w:rFonts w:ascii="Times New Roman" w:eastAsia="Times New Roman" w:hAnsi="Times New Roman" w:cs="Times New Roman"/>
          <w:color w:val="000000"/>
          <w:kern w:val="0"/>
          <w:sz w:val="28"/>
          <w:szCs w:val="28"/>
          <w:lang w:val="uk-UA" w:eastAsia="ru-RU"/>
          <w14:ligatures w14:val="none"/>
        </w:rPr>
        <w:sym w:font="Symbol" w:char="F02D"/>
      </w:r>
      <w:r w:rsidRPr="00B44B71">
        <w:rPr>
          <w:rFonts w:ascii="Times New Roman" w:eastAsia="Times New Roman" w:hAnsi="Times New Roman" w:cs="Times New Roman"/>
          <w:color w:val="000000"/>
          <w:kern w:val="0"/>
          <w:sz w:val="28"/>
          <w:szCs w:val="28"/>
          <w:lang w:val="uk-UA" w:eastAsia="ru-RU"/>
          <w14:ligatures w14:val="none"/>
        </w:rPr>
        <w:t xml:space="preserve"> фахівців з фізичної культури і спорту ЗС України можуть сприяти такі педагогічні умови:</w:t>
      </w:r>
    </w:p>
    <w:p w14:paraId="5B688E54"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i/>
          <w:iCs/>
          <w:color w:val="000000"/>
          <w:kern w:val="0"/>
          <w:sz w:val="28"/>
          <w:szCs w:val="28"/>
          <w:lang w:val="uk-UA" w:eastAsia="ru-RU"/>
          <w14:ligatures w14:val="none"/>
        </w:rPr>
        <w:t xml:space="preserve">визначення об’єктивних критеріїв і показників оцінювання сформованості професійної компетентності майбутніх офіцерів </w:t>
      </w:r>
      <w:r w:rsidRPr="00B44B71">
        <w:rPr>
          <w:rFonts w:ascii="Times New Roman" w:eastAsia="Times New Roman" w:hAnsi="Times New Roman" w:cs="Times New Roman"/>
          <w:i/>
          <w:iCs/>
          <w:color w:val="000000"/>
          <w:kern w:val="0"/>
          <w:sz w:val="28"/>
          <w:szCs w:val="28"/>
          <w:lang w:val="uk-UA" w:eastAsia="ru-RU"/>
          <w14:ligatures w14:val="none"/>
        </w:rPr>
        <w:sym w:font="Symbol" w:char="F02D"/>
      </w:r>
      <w:r w:rsidRPr="00B44B71">
        <w:rPr>
          <w:rFonts w:ascii="Times New Roman" w:eastAsia="Times New Roman" w:hAnsi="Times New Roman" w:cs="Times New Roman"/>
          <w:i/>
          <w:iCs/>
          <w:color w:val="000000"/>
          <w:kern w:val="0"/>
          <w:sz w:val="28"/>
          <w:szCs w:val="28"/>
          <w:lang w:val="uk-UA" w:eastAsia="ru-RU"/>
          <w14:ligatures w14:val="none"/>
        </w:rPr>
        <w:t xml:space="preserve"> фахівців з фізичної культури і спорту ЗС України у ВВНЗ</w:t>
      </w:r>
      <w:r w:rsidRPr="00B44B71">
        <w:rPr>
          <w:rFonts w:ascii="Times New Roman" w:eastAsia="Times New Roman" w:hAnsi="Times New Roman" w:cs="Times New Roman"/>
          <w:color w:val="000000"/>
          <w:kern w:val="0"/>
          <w:sz w:val="28"/>
          <w:szCs w:val="28"/>
          <w:lang w:val="uk-UA" w:eastAsia="ru-RU"/>
          <w14:ligatures w14:val="none"/>
        </w:rPr>
        <w:t xml:space="preserve">, що забезпечує можливість об’єктивного контролю та оцінювання результатів, керованість педагогічного процесу, його корекцію; </w:t>
      </w:r>
    </w:p>
    <w:p w14:paraId="55290096"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i/>
          <w:iCs/>
          <w:color w:val="000000"/>
          <w:kern w:val="0"/>
          <w:sz w:val="28"/>
          <w:szCs w:val="28"/>
          <w:lang w:val="uk-UA" w:eastAsia="ru-RU"/>
          <w14:ligatures w14:val="none"/>
        </w:rPr>
        <w:t xml:space="preserve">забезпечення ціннісно-мотиваційного ставлення майбутніх офіцерів </w:t>
      </w:r>
      <w:r w:rsidRPr="00B44B71">
        <w:rPr>
          <w:rFonts w:ascii="Times New Roman" w:eastAsia="Times New Roman" w:hAnsi="Times New Roman" w:cs="Times New Roman"/>
          <w:i/>
          <w:iCs/>
          <w:color w:val="000000"/>
          <w:kern w:val="0"/>
          <w:sz w:val="28"/>
          <w:szCs w:val="28"/>
          <w:lang w:val="uk-UA" w:eastAsia="ru-RU"/>
          <w14:ligatures w14:val="none"/>
        </w:rPr>
        <w:sym w:font="Symbol" w:char="F02D"/>
      </w:r>
      <w:r w:rsidRPr="00B44B71">
        <w:rPr>
          <w:rFonts w:ascii="Times New Roman" w:eastAsia="Times New Roman" w:hAnsi="Times New Roman" w:cs="Times New Roman"/>
          <w:i/>
          <w:iCs/>
          <w:color w:val="000000"/>
          <w:kern w:val="0"/>
          <w:sz w:val="28"/>
          <w:szCs w:val="28"/>
          <w:lang w:val="uk-UA" w:eastAsia="ru-RU"/>
          <w14:ligatures w14:val="none"/>
        </w:rPr>
        <w:t xml:space="preserve"> фахівців з фізичної культури і спорту ЗС України до формування професійної компетентності в ВВНЗ</w:t>
      </w:r>
      <w:r w:rsidRPr="00B44B71">
        <w:rPr>
          <w:rFonts w:ascii="Times New Roman" w:eastAsia="Times New Roman" w:hAnsi="Times New Roman" w:cs="Times New Roman"/>
          <w:color w:val="000000"/>
          <w:kern w:val="0"/>
          <w:sz w:val="28"/>
          <w:szCs w:val="28"/>
          <w:lang w:val="uk-UA" w:eastAsia="ru-RU"/>
          <w14:ligatures w14:val="none"/>
        </w:rPr>
        <w:t>, оскільки наявність внутрішньої мотивації забезпечує перехід від формального засвоєння знань до їх усвідомленого використання у професійній діяльності, стійкість особистості до впливу стресових чинників та сприяє підтриманню високого рівня професійної готовності в умовах воєнного стану;</w:t>
      </w:r>
    </w:p>
    <w:p w14:paraId="21084CB1"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i/>
          <w:iCs/>
          <w:color w:val="000000"/>
          <w:kern w:val="0"/>
          <w:sz w:val="28"/>
          <w:szCs w:val="28"/>
          <w:lang w:val="uk-UA" w:eastAsia="ru-RU"/>
          <w14:ligatures w14:val="none"/>
        </w:rPr>
        <w:t xml:space="preserve">педагогічне моделювання процесу формування професійної компетентності майбутніх офіцерів </w:t>
      </w:r>
      <w:r w:rsidRPr="00B44B71">
        <w:rPr>
          <w:rFonts w:ascii="Times New Roman" w:eastAsia="Times New Roman" w:hAnsi="Times New Roman" w:cs="Times New Roman"/>
          <w:i/>
          <w:iCs/>
          <w:color w:val="000000"/>
          <w:kern w:val="0"/>
          <w:sz w:val="28"/>
          <w:szCs w:val="28"/>
          <w:lang w:val="uk-UA" w:eastAsia="ru-RU"/>
          <w14:ligatures w14:val="none"/>
        </w:rPr>
        <w:sym w:font="Symbol" w:char="F02D"/>
      </w:r>
      <w:r w:rsidRPr="00B44B71">
        <w:rPr>
          <w:rFonts w:ascii="Times New Roman" w:eastAsia="Times New Roman" w:hAnsi="Times New Roman" w:cs="Times New Roman"/>
          <w:i/>
          <w:iCs/>
          <w:color w:val="000000"/>
          <w:kern w:val="0"/>
          <w:sz w:val="28"/>
          <w:szCs w:val="28"/>
          <w:lang w:val="uk-UA" w:eastAsia="ru-RU"/>
          <w14:ligatures w14:val="none"/>
        </w:rPr>
        <w:t xml:space="preserve"> фахівців з фізичної культури і спорту ЗС України у ВВНЗ</w:t>
      </w:r>
      <w:r w:rsidRPr="00B44B71">
        <w:rPr>
          <w:rFonts w:ascii="Times New Roman" w:eastAsia="Times New Roman" w:hAnsi="Times New Roman" w:cs="Times New Roman"/>
          <w:color w:val="000000"/>
          <w:kern w:val="0"/>
          <w:sz w:val="28"/>
          <w:szCs w:val="28"/>
          <w:lang w:val="uk-UA" w:eastAsia="ru-RU"/>
          <w14:ligatures w14:val="none"/>
        </w:rPr>
        <w:t>, оскільки забезпечує системність і цілісність процесу формування професійної компетентності, керованість та прогнозованість педагогічного процесу;</w:t>
      </w:r>
    </w:p>
    <w:p w14:paraId="5672DFBE"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8"/>
          <w:szCs w:val="28"/>
          <w:lang w:val="uk-UA" w:eastAsia="ru-RU"/>
          <w14:ligatures w14:val="none"/>
        </w:rPr>
      </w:pPr>
      <w:r w:rsidRPr="00B44B71">
        <w:rPr>
          <w:rFonts w:ascii="Times New Roman" w:eastAsia="Times New Roman" w:hAnsi="Times New Roman" w:cs="Times New Roman"/>
          <w:i/>
          <w:iCs/>
          <w:color w:val="000000"/>
          <w:kern w:val="0"/>
          <w:sz w:val="28"/>
          <w:szCs w:val="28"/>
          <w:lang w:val="uk-UA" w:eastAsia="ru-RU"/>
          <w14:ligatures w14:val="none"/>
        </w:rPr>
        <w:t xml:space="preserve">удосконалення професійно орієнтованої методики формування професійної компетентності майбутніх офіцерів </w:t>
      </w:r>
      <w:r w:rsidRPr="00B44B71">
        <w:rPr>
          <w:rFonts w:ascii="Times New Roman" w:eastAsia="Times New Roman" w:hAnsi="Times New Roman" w:cs="Times New Roman"/>
          <w:i/>
          <w:iCs/>
          <w:color w:val="000000"/>
          <w:kern w:val="0"/>
          <w:sz w:val="28"/>
          <w:szCs w:val="28"/>
          <w:lang w:val="uk-UA" w:eastAsia="ru-RU"/>
          <w14:ligatures w14:val="none"/>
        </w:rPr>
        <w:sym w:font="Symbol" w:char="F02D"/>
      </w:r>
      <w:r w:rsidRPr="00B44B71">
        <w:rPr>
          <w:rFonts w:ascii="Times New Roman" w:eastAsia="Times New Roman" w:hAnsi="Times New Roman" w:cs="Times New Roman"/>
          <w:i/>
          <w:iCs/>
          <w:color w:val="000000"/>
          <w:kern w:val="0"/>
          <w:sz w:val="28"/>
          <w:szCs w:val="28"/>
          <w:lang w:val="uk-UA" w:eastAsia="ru-RU"/>
          <w14:ligatures w14:val="none"/>
        </w:rPr>
        <w:t xml:space="preserve"> фахівців з фізичної культури і спорту ЗС України у ВВНЗ</w:t>
      </w:r>
      <w:r w:rsidRPr="00B44B71">
        <w:rPr>
          <w:rFonts w:ascii="Times New Roman" w:eastAsia="Times New Roman" w:hAnsi="Times New Roman" w:cs="Times New Roman"/>
          <w:color w:val="000000"/>
          <w:kern w:val="0"/>
          <w:sz w:val="28"/>
          <w:szCs w:val="28"/>
          <w:lang w:val="uk-UA" w:eastAsia="ru-RU"/>
          <w14:ligatures w14:val="none"/>
        </w:rPr>
        <w:t xml:space="preserve">, яка є механізмом реалізації процесу формування </w:t>
      </w:r>
      <w:r w:rsidRPr="00B44B71">
        <w:rPr>
          <w:rFonts w:ascii="Times New Roman" w:eastAsia="Times New Roman" w:hAnsi="Times New Roman" w:cs="Times New Roman"/>
          <w:color w:val="000000"/>
          <w:kern w:val="0"/>
          <w:sz w:val="28"/>
          <w:szCs w:val="28"/>
          <w:lang w:val="uk-UA" w:eastAsia="ru-RU"/>
          <w14:ligatures w14:val="none"/>
        </w:rPr>
        <w:lastRenderedPageBreak/>
        <w:t>професійної компетентності, професійна орієнтованість якої забезпечує відповідність підготовки реальним умовам військово-професійної діяльності, а також є основою експериментального дослідження та перевірки результативності педагогічних умов.</w:t>
      </w:r>
    </w:p>
    <w:p w14:paraId="0FFE53C5"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8"/>
          <w:lang w:val="uk-UA" w:eastAsia="ru-RU"/>
          <w14:ligatures w14:val="none"/>
        </w:rPr>
      </w:pPr>
      <w:r w:rsidRPr="00B44B71">
        <w:rPr>
          <w:rFonts w:ascii="Times New Roman" w:eastAsia="Times New Roman" w:hAnsi="Times New Roman" w:cs="Times New Roman"/>
          <w:b/>
          <w:bCs/>
          <w:color w:val="000000"/>
          <w:kern w:val="0"/>
          <w:sz w:val="28"/>
          <w:szCs w:val="28"/>
          <w:lang w:val="uk-UA" w:eastAsia="ru-RU"/>
          <w14:ligatures w14:val="none"/>
        </w:rPr>
        <w:t>Перспективи подальших досліджень (Prospects for further research).</w:t>
      </w:r>
      <w:r w:rsidRPr="00B44B71">
        <w:rPr>
          <w:rFonts w:ascii="Times New Roman" w:eastAsia="Times New Roman" w:hAnsi="Times New Roman" w:cs="Times New Roman"/>
          <w:color w:val="000000"/>
          <w:kern w:val="0"/>
          <w:sz w:val="28"/>
          <w:lang w:val="uk-UA" w:eastAsia="ru-RU"/>
          <w14:ligatures w14:val="none"/>
        </w:rPr>
        <w:t xml:space="preserve"> Полягають у розробленні та експериментальній перевірці моделі формування професійної компетентності майбутніх офіцерів – фахівців з фізичної культури і спорту у системі вищої військової освіти. Актуальним є уточнення критеріїв і показників її сформованості з урахуванням сучасних вимог військово-професійної діяльності. Подальшого вивчення потребують питання впровадження інноваційних освітніх технологій і вдосконалення професійно орієнтованих методик підготовки майбутніх фахівців. </w:t>
      </w:r>
    </w:p>
    <w:p w14:paraId="2AE05494" w14:textId="77777777" w:rsidR="00B44B71" w:rsidRPr="00B44B71" w:rsidRDefault="00B44B71" w:rsidP="00023291">
      <w:pPr>
        <w:widowControl w:val="0"/>
        <w:tabs>
          <w:tab w:val="left" w:pos="9638"/>
        </w:tabs>
        <w:spacing w:after="0" w:line="240" w:lineRule="auto"/>
        <w:ind w:firstLine="709"/>
        <w:jc w:val="both"/>
        <w:rPr>
          <w:rFonts w:ascii="Times New Roman" w:eastAsia="Times New Roman" w:hAnsi="Times New Roman" w:cs="Times New Roman"/>
          <w:color w:val="000000"/>
          <w:kern w:val="0"/>
          <w:sz w:val="28"/>
          <w:lang w:val="uk-UA" w:eastAsia="ru-RU"/>
          <w14:ligatures w14:val="none"/>
        </w:rPr>
      </w:pPr>
    </w:p>
    <w:p w14:paraId="7B198B74" w14:textId="77777777" w:rsidR="00B44B71" w:rsidRPr="00B44B71" w:rsidRDefault="00B44B71" w:rsidP="00E967C0">
      <w:pPr>
        <w:widowControl w:val="0"/>
        <w:tabs>
          <w:tab w:val="left" w:pos="9638"/>
        </w:tabs>
        <w:spacing w:after="0" w:line="240" w:lineRule="auto"/>
        <w:jc w:val="center"/>
        <w:rPr>
          <w:rFonts w:ascii="Times New Roman" w:eastAsia="Times New Roman" w:hAnsi="Times New Roman" w:cs="Times New Roman"/>
          <w:b/>
          <w:color w:val="000000"/>
          <w:kern w:val="0"/>
          <w:sz w:val="24"/>
          <w:szCs w:val="24"/>
          <w:lang w:val="uk-UA" w:eastAsia="ru-RU"/>
          <w14:ligatures w14:val="none"/>
        </w:rPr>
      </w:pPr>
      <w:r w:rsidRPr="00B44B71">
        <w:rPr>
          <w:rFonts w:ascii="Times New Roman" w:eastAsia="Times New Roman" w:hAnsi="Times New Roman" w:cs="Times New Roman"/>
          <w:b/>
          <w:color w:val="000000"/>
          <w:kern w:val="0"/>
          <w:sz w:val="24"/>
          <w:szCs w:val="24"/>
          <w:lang w:val="uk-UA" w:eastAsia="ru-RU"/>
          <w14:ligatures w14:val="none"/>
        </w:rPr>
        <w:t>ЛІТЕРАТУРА</w:t>
      </w:r>
    </w:p>
    <w:p w14:paraId="1E07CB3E"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 xml:space="preserve">Брюханова, Н. О. (2010). Основи педагогічного проектування в інженерно-педагогічній освіті [Монографія]. НТМТ. </w:t>
      </w:r>
      <w:hyperlink r:id="rId358" w:history="1">
        <w:r w:rsidRPr="00B44B71">
          <w:rPr>
            <w:rFonts w:ascii="Times New Roman" w:eastAsia="Times New Roman" w:hAnsi="Times New Roman" w:cs="Times New Roman"/>
            <w:color w:val="0563C1"/>
            <w:kern w:val="0"/>
            <w:sz w:val="24"/>
            <w:szCs w:val="24"/>
            <w:u w:val="single"/>
            <w:lang w:val="uk-UA" w:eastAsia="ru-RU"/>
            <w14:ligatures w14:val="none"/>
          </w:rPr>
          <w:t>http://library.uipa.edu.ua/images/data/monografies/ ryuhanova_2010.pdf</w:t>
        </w:r>
      </w:hyperlink>
    </w:p>
    <w:p w14:paraId="2C0CC4CB"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 xml:space="preserve">Вербин, Н. Б., &amp; Свистун, В. І. (2020). Педагогічні умови розвитку професійної витривалості майбутніх магістрів військового управління. У Фізичне виховання: проблеми та перспективи: монографія (с. 308–322). Рута. </w:t>
      </w:r>
      <w:hyperlink r:id="rId359" w:history="1">
        <w:r w:rsidRPr="00B44B71">
          <w:rPr>
            <w:rFonts w:ascii="Times New Roman" w:eastAsia="Times New Roman" w:hAnsi="Times New Roman" w:cs="Times New Roman"/>
            <w:color w:val="000000"/>
            <w:kern w:val="0"/>
            <w:sz w:val="24"/>
            <w:szCs w:val="24"/>
            <w:u w:val="single"/>
            <w:lang w:val="uk-UA" w:eastAsia="ru-RU"/>
            <w14:ligatures w14:val="none"/>
          </w:rPr>
          <w:t>https://nuou.org.ua/assets/documents/dr-kep-poly-23.pdf</w:t>
        </w:r>
      </w:hyperlink>
      <w:r w:rsidRPr="00B44B71">
        <w:rPr>
          <w:rFonts w:ascii="Times New Roman" w:eastAsia="Times New Roman" w:hAnsi="Times New Roman" w:cs="Times New Roman"/>
          <w:color w:val="000000"/>
          <w:kern w:val="0"/>
          <w:sz w:val="24"/>
          <w:szCs w:val="24"/>
          <w:lang w:val="uk-UA" w:eastAsia="ru-RU"/>
          <w14:ligatures w14:val="none"/>
        </w:rPr>
        <w:t xml:space="preserve"> </w:t>
      </w:r>
    </w:p>
    <w:p w14:paraId="00E66D3A"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 xml:space="preserve">Гнатієнко, Г. М., &amp; Снитюк, В. Є. (2008). Експертні технології прийняття рішень [Монографія]. Маклаут. </w:t>
      </w:r>
      <w:hyperlink r:id="rId360" w:history="1">
        <w:r w:rsidRPr="00B44B71">
          <w:rPr>
            <w:rFonts w:ascii="Times New Roman" w:eastAsia="Times New Roman" w:hAnsi="Times New Roman" w:cs="Times New Roman"/>
            <w:color w:val="000000"/>
            <w:kern w:val="0"/>
            <w:sz w:val="24"/>
            <w:szCs w:val="24"/>
            <w:u w:val="single"/>
            <w:lang w:val="uk-UA" w:eastAsia="ru-RU"/>
            <w14:ligatures w14:val="none"/>
          </w:rPr>
          <w:t>https://www.researchgate.net/profile/Vitaliy-Snytyuk/publication/324015476_Ekspertni_tehnologii_prijnatta_risen/links/5ab9212e45851515f59ff027/Ekspertni-tehnologii-prijnatta-risen.pdf</w:t>
        </w:r>
      </w:hyperlink>
      <w:r w:rsidRPr="00B44B71">
        <w:rPr>
          <w:rFonts w:ascii="Times New Roman" w:eastAsia="Times New Roman" w:hAnsi="Times New Roman" w:cs="Times New Roman"/>
          <w:color w:val="000000"/>
          <w:kern w:val="0"/>
          <w:sz w:val="24"/>
          <w:szCs w:val="24"/>
          <w:lang w:val="uk-UA" w:eastAsia="ru-RU"/>
          <w14:ligatures w14:val="none"/>
        </w:rPr>
        <w:t xml:space="preserve"> </w:t>
      </w:r>
    </w:p>
    <w:p w14:paraId="22F8F681"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Концепція розвитку фізичної підготовки і спорту в системі Міністерства оборони України (Наказ Міністерства оборони України № 452, 28 грудня 2022 року).</w:t>
      </w:r>
      <w:r w:rsidRPr="00B44B71">
        <w:rPr>
          <w:rFonts w:ascii="Times New Roman" w:eastAsia="Times New Roman" w:hAnsi="Times New Roman" w:cs="Times New Roman"/>
          <w:color w:val="000000"/>
          <w:kern w:val="0"/>
          <w:sz w:val="28"/>
          <w:lang w:val="uk-UA" w:eastAsia="ru-RU"/>
          <w14:ligatures w14:val="none"/>
        </w:rPr>
        <w:t xml:space="preserve"> </w:t>
      </w:r>
      <w:hyperlink r:id="rId361" w:history="1">
        <w:r w:rsidRPr="00B44B71">
          <w:rPr>
            <w:rFonts w:ascii="Times New Roman" w:eastAsia="Times New Roman" w:hAnsi="Times New Roman" w:cs="Times New Roman"/>
            <w:color w:val="000000"/>
            <w:kern w:val="0"/>
            <w:sz w:val="24"/>
            <w:szCs w:val="24"/>
            <w:u w:val="single"/>
            <w:lang w:val="uk-UA" w:eastAsia="ru-RU"/>
            <w14:ligatures w14:val="none"/>
          </w:rPr>
          <w:t>https://zakon.rada.gov.ua/go/v0452322-22</w:t>
        </w:r>
      </w:hyperlink>
      <w:r w:rsidRPr="00B44B71">
        <w:rPr>
          <w:rFonts w:ascii="Times New Roman" w:eastAsia="Times New Roman" w:hAnsi="Times New Roman" w:cs="Times New Roman"/>
          <w:color w:val="000000"/>
          <w:kern w:val="0"/>
          <w:sz w:val="24"/>
          <w:szCs w:val="24"/>
          <w:lang w:val="uk-UA" w:eastAsia="ru-RU"/>
          <w14:ligatures w14:val="none"/>
        </w:rPr>
        <w:t xml:space="preserve"> </w:t>
      </w:r>
    </w:p>
    <w:p w14:paraId="441581B0"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 xml:space="preserve">Кошуба, В. О., Денисова, Л. В., &amp; Усиченко, В. В. (2015). Комп’ютерна техніка та методи математичної статистики [Навчальний посібник]. Київ. </w:t>
      </w:r>
      <w:hyperlink r:id="rId362" w:history="1">
        <w:r w:rsidRPr="00B44B71">
          <w:rPr>
            <w:rFonts w:ascii="Times New Roman" w:eastAsia="Times New Roman" w:hAnsi="Times New Roman" w:cs="Times New Roman"/>
            <w:color w:val="000000"/>
            <w:kern w:val="0"/>
            <w:sz w:val="24"/>
            <w:szCs w:val="24"/>
            <w:u w:val="single"/>
            <w:lang w:val="uk-UA" w:eastAsia="ru-RU"/>
            <w14:ligatures w14:val="none"/>
          </w:rPr>
          <w:t>https://reposit.uni-sport.edu.ua/bitstreams/68b81341-9122-490c-a5e0-61c27a3b679a/download</w:t>
        </w:r>
      </w:hyperlink>
      <w:r w:rsidRPr="00B44B71">
        <w:rPr>
          <w:rFonts w:ascii="Times New Roman" w:eastAsia="Times New Roman" w:hAnsi="Times New Roman" w:cs="Times New Roman"/>
          <w:color w:val="000000"/>
          <w:kern w:val="0"/>
          <w:sz w:val="24"/>
          <w:szCs w:val="24"/>
          <w:lang w:val="uk-UA" w:eastAsia="ru-RU"/>
          <w14:ligatures w14:val="none"/>
        </w:rPr>
        <w:t xml:space="preserve"> </w:t>
      </w:r>
    </w:p>
    <w:p w14:paraId="081D2594"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 xml:space="preserve">Литвин, А. В. (2014). Методологічні засади поняття «педагогічні умови»: на допомогу здобувачам наукового ступеня. СПОЛОМ. </w:t>
      </w:r>
      <w:hyperlink r:id="rId363" w:history="1">
        <w:r w:rsidRPr="00B44B71">
          <w:rPr>
            <w:rFonts w:ascii="Times New Roman" w:eastAsia="Times New Roman" w:hAnsi="Times New Roman" w:cs="Times New Roman"/>
            <w:color w:val="000000"/>
            <w:kern w:val="0"/>
            <w:sz w:val="24"/>
            <w:szCs w:val="24"/>
            <w:u w:val="single"/>
            <w:lang w:val="uk-UA" w:eastAsia="ru-RU"/>
            <w14:ligatures w14:val="none"/>
          </w:rPr>
          <w:t>http://www.irbis-nbuv.gov.ua/cgi-bin/irbis_nbuv/cgiirbis_64.exe?I21DBN=LINK&amp;P21DBN=UJRN&amp;Z21ID=&amp;S21REF=10&amp;S21CNR=20&amp;S21STN=1&amp;S21FMT=ASP_meta&amp;C21COM=S&amp;2_S21P03=FILA=&amp;2_S21STR=pippo_2013_4_5</w:t>
        </w:r>
      </w:hyperlink>
      <w:r w:rsidRPr="00B44B71">
        <w:rPr>
          <w:rFonts w:ascii="Times New Roman" w:eastAsia="Times New Roman" w:hAnsi="Times New Roman" w:cs="Times New Roman"/>
          <w:color w:val="000000"/>
          <w:kern w:val="0"/>
          <w:sz w:val="24"/>
          <w:szCs w:val="24"/>
          <w:lang w:val="uk-UA" w:eastAsia="ru-RU"/>
          <w14:ligatures w14:val="none"/>
        </w:rPr>
        <w:t xml:space="preserve"> </w:t>
      </w:r>
    </w:p>
    <w:p w14:paraId="61375875"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Ольховий, О. М., Фіногенов, Ю. С., Бойко,</w:t>
      </w:r>
      <w:r w:rsidRPr="00B44B71">
        <w:rPr>
          <w:rFonts w:ascii="Times New Roman" w:eastAsia="Times New Roman" w:hAnsi="Times New Roman" w:cs="Times New Roman"/>
          <w:color w:val="000000"/>
          <w:kern w:val="0"/>
          <w:sz w:val="28"/>
          <w:lang w:val="uk-UA" w:eastAsia="ru-RU"/>
          <w14:ligatures w14:val="none"/>
        </w:rPr>
        <w:t> </w:t>
      </w:r>
      <w:r w:rsidRPr="00B44B71">
        <w:rPr>
          <w:rFonts w:ascii="Times New Roman" w:eastAsia="Times New Roman" w:hAnsi="Times New Roman" w:cs="Times New Roman"/>
          <w:color w:val="000000"/>
          <w:kern w:val="0"/>
          <w:sz w:val="24"/>
          <w:szCs w:val="24"/>
          <w:lang w:val="uk-UA" w:eastAsia="ru-RU"/>
          <w14:ligatures w14:val="none"/>
        </w:rPr>
        <w:t xml:space="preserve">С. С., &amp; Чічкан, О. М. (2020). Експериментальна модель організації фізичної підготовки у Збройних Силах України. У Сучасні тенденції та перспективи розвитку фізичної підготовки та спорту Збройних Сил України, правоохоронних органів, рятувальних та інших спеціальних служб на шляху євроатлантичної інтеграції України: тези ІV міжнародної науково-практичної конференції (Київ, 19 листопада 2020 р., с. 21–23). НУОУ. </w:t>
      </w:r>
      <w:hyperlink r:id="rId364" w:history="1">
        <w:r w:rsidRPr="00B44B71">
          <w:rPr>
            <w:rFonts w:ascii="Times New Roman" w:eastAsia="Times New Roman" w:hAnsi="Times New Roman" w:cs="Times New Roman"/>
            <w:color w:val="000000"/>
            <w:kern w:val="0"/>
            <w:sz w:val="24"/>
            <w:szCs w:val="24"/>
            <w:u w:val="single"/>
            <w:lang w:val="uk-UA" w:eastAsia="ru-RU"/>
            <w14:ligatures w14:val="none"/>
          </w:rPr>
          <w:t>https://nuou.org.ua/assets/documents/zbirnuk-tez-2020-nni-fk-ta-sot.pdf</w:t>
        </w:r>
      </w:hyperlink>
      <w:r w:rsidRPr="00B44B71">
        <w:rPr>
          <w:rFonts w:ascii="Times New Roman" w:eastAsia="Times New Roman" w:hAnsi="Times New Roman" w:cs="Times New Roman"/>
          <w:color w:val="000000"/>
          <w:kern w:val="0"/>
          <w:sz w:val="24"/>
          <w:szCs w:val="24"/>
          <w:lang w:val="uk-UA" w:eastAsia="ru-RU"/>
          <w14:ligatures w14:val="none"/>
        </w:rPr>
        <w:t xml:space="preserve"> </w:t>
      </w:r>
    </w:p>
    <w:p w14:paraId="23497B77"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 xml:space="preserve">Погребняк, Д. В. (2020). Розвиток фахової компетентності начальників фізичної підготовки і спорту військових частин у системі післядипломної освіти [Автореферат дисертації на здобуття наукового ступеня кандидата педагогічних наук, 13.00.04]. Київ. </w:t>
      </w:r>
      <w:hyperlink r:id="rId365" w:history="1">
        <w:r w:rsidRPr="00B44B71">
          <w:rPr>
            <w:rFonts w:ascii="Times New Roman" w:eastAsia="Times New Roman" w:hAnsi="Times New Roman" w:cs="Times New Roman"/>
            <w:color w:val="000000"/>
            <w:kern w:val="0"/>
            <w:sz w:val="24"/>
            <w:szCs w:val="24"/>
            <w:u w:val="single"/>
            <w:lang w:val="uk-UA" w:eastAsia="ru-RU"/>
            <w14:ligatures w14:val="none"/>
          </w:rPr>
          <w:t>https://repository.ldufk.edu.ua/items/11124ffe-9f08-4dcf-8ed3-9f8f5a271f19</w:t>
        </w:r>
      </w:hyperlink>
      <w:r w:rsidRPr="00B44B71">
        <w:rPr>
          <w:rFonts w:ascii="Times New Roman" w:eastAsia="Times New Roman" w:hAnsi="Times New Roman" w:cs="Times New Roman"/>
          <w:color w:val="000000"/>
          <w:kern w:val="0"/>
          <w:sz w:val="24"/>
          <w:szCs w:val="24"/>
          <w:lang w:val="uk-UA" w:eastAsia="ru-RU"/>
          <w14:ligatures w14:val="none"/>
        </w:rPr>
        <w:t xml:space="preserve"> </w:t>
      </w:r>
    </w:p>
    <w:p w14:paraId="55123A7A"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lastRenderedPageBreak/>
        <w:t xml:space="preserve">Романюк, О. А., Горбач, О. О., &amp; Івченко, А. О. (2020). Особливості формування професійної компетентності майбутніх фахівців фізичної підготовки і спорту. У Сучасні тенденції та перспективи розвитку фізичної підготовки та спорту Збройних Сил України, правоохоронних органів, рятувальних та інших спеціальних служб на шляху євроатлантичної інтеграції України: тези ІV міжнародної науково-практичної конференції (Київ, 19 листопада 2020 р., с. 154–158). НУОУ. </w:t>
      </w:r>
      <w:hyperlink r:id="rId366" w:history="1">
        <w:r w:rsidRPr="00B44B71">
          <w:rPr>
            <w:rFonts w:ascii="Times New Roman" w:eastAsia="Times New Roman" w:hAnsi="Times New Roman" w:cs="Times New Roman"/>
            <w:color w:val="000000"/>
            <w:kern w:val="0"/>
            <w:sz w:val="24"/>
            <w:szCs w:val="24"/>
            <w:u w:val="single"/>
            <w:lang w:val="uk-UA" w:eastAsia="ru-RU"/>
            <w14:ligatures w14:val="none"/>
          </w:rPr>
          <w:t>https://nuou.org.ua/assets/documents/conf_ifksot_211124.pdf</w:t>
        </w:r>
      </w:hyperlink>
      <w:r w:rsidRPr="00B44B71">
        <w:rPr>
          <w:rFonts w:ascii="Times New Roman" w:eastAsia="Times New Roman" w:hAnsi="Times New Roman" w:cs="Times New Roman"/>
          <w:color w:val="000000"/>
          <w:kern w:val="0"/>
          <w:sz w:val="24"/>
          <w:szCs w:val="24"/>
          <w:lang w:val="uk-UA" w:eastAsia="ru-RU"/>
          <w14:ligatures w14:val="none"/>
        </w:rPr>
        <w:t xml:space="preserve"> </w:t>
      </w:r>
    </w:p>
    <w:p w14:paraId="375A47A4"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 xml:space="preserve">Свистун, В. І. (2012). Педагогічні умови професійного навчання персоналу на виробництві. Професійна освіта: проблеми і перспективи, № 3, 31–36. </w:t>
      </w:r>
      <w:hyperlink r:id="rId367" w:history="1">
        <w:r w:rsidRPr="00B44B71">
          <w:rPr>
            <w:rFonts w:ascii="Times New Roman" w:eastAsia="Times New Roman" w:hAnsi="Times New Roman" w:cs="Times New Roman"/>
            <w:color w:val="000000"/>
            <w:kern w:val="0"/>
            <w:sz w:val="24"/>
            <w:szCs w:val="24"/>
            <w:u w:val="single"/>
            <w:lang w:val="uk-UA" w:eastAsia="ru-RU"/>
            <w14:ligatures w14:val="none"/>
          </w:rPr>
          <w:t>https://lib.iitta.gov.ua/id/eprint/2719/</w:t>
        </w:r>
      </w:hyperlink>
      <w:r w:rsidRPr="00B44B71">
        <w:rPr>
          <w:rFonts w:ascii="Times New Roman" w:eastAsia="Times New Roman" w:hAnsi="Times New Roman" w:cs="Times New Roman"/>
          <w:color w:val="000000"/>
          <w:kern w:val="0"/>
          <w:sz w:val="24"/>
          <w:szCs w:val="24"/>
          <w:lang w:val="uk-UA" w:eastAsia="ru-RU"/>
          <w14:ligatures w14:val="none"/>
        </w:rPr>
        <w:t xml:space="preserve"> </w:t>
      </w:r>
    </w:p>
    <w:p w14:paraId="1D7B38F2"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 xml:space="preserve">Свистун, В. І., &amp; Поливанюк, В. В. (2023). Аналіз дефініції «професійна компетентність» військових фахівців. Військова освіта, №2 (48), 251–266. </w:t>
      </w:r>
      <w:hyperlink r:id="rId368" w:history="1">
        <w:r w:rsidRPr="00B44B71">
          <w:rPr>
            <w:rFonts w:ascii="Times New Roman" w:eastAsia="Times New Roman" w:hAnsi="Times New Roman" w:cs="Times New Roman"/>
            <w:color w:val="000000"/>
            <w:kern w:val="0"/>
            <w:sz w:val="24"/>
            <w:szCs w:val="24"/>
            <w:u w:val="single"/>
            <w:lang w:val="uk-UA" w:eastAsia="ru-RU"/>
            <w14:ligatures w14:val="none"/>
          </w:rPr>
          <w:t>https://znp-vo.nuou.org.ua/article/view/294813</w:t>
        </w:r>
      </w:hyperlink>
      <w:r w:rsidRPr="00B44B71">
        <w:rPr>
          <w:rFonts w:ascii="Times New Roman" w:eastAsia="Times New Roman" w:hAnsi="Times New Roman" w:cs="Times New Roman"/>
          <w:color w:val="000000"/>
          <w:kern w:val="0"/>
          <w:sz w:val="24"/>
          <w:szCs w:val="24"/>
          <w:lang w:val="uk-UA" w:eastAsia="ru-RU"/>
          <w14:ligatures w14:val="none"/>
        </w:rPr>
        <w:t xml:space="preserve"> </w:t>
      </w:r>
    </w:p>
    <w:p w14:paraId="1B4451A4"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 xml:space="preserve">Свистун, В., &amp; Поливанюк, В. (2025). Формування професійної компетентності майбутніх офіцерів – фахівців з фізичної культури і спорту Збройних Сил України [Монографія]. НУОУ. </w:t>
      </w:r>
      <w:hyperlink r:id="rId369" w:history="1">
        <w:r w:rsidRPr="00B44B71">
          <w:rPr>
            <w:rFonts w:ascii="Times New Roman" w:eastAsia="Times New Roman" w:hAnsi="Times New Roman" w:cs="Times New Roman"/>
            <w:color w:val="000000"/>
            <w:kern w:val="0"/>
            <w:sz w:val="24"/>
            <w:szCs w:val="24"/>
            <w:u w:val="single"/>
            <w:lang w:val="uk-UA" w:eastAsia="ru-RU"/>
            <w14:ligatures w14:val="none"/>
          </w:rPr>
          <w:t>https://repository.ldufk.edu.ua/items/26b891ba-27c4-4ab5-8854-49629b006f76</w:t>
        </w:r>
      </w:hyperlink>
      <w:r w:rsidRPr="00B44B71">
        <w:rPr>
          <w:rFonts w:ascii="Times New Roman" w:eastAsia="Times New Roman" w:hAnsi="Times New Roman" w:cs="Times New Roman"/>
          <w:color w:val="000000"/>
          <w:kern w:val="0"/>
          <w:sz w:val="24"/>
          <w:szCs w:val="24"/>
          <w:lang w:val="uk-UA" w:eastAsia="ru-RU"/>
          <w14:ligatures w14:val="none"/>
        </w:rPr>
        <w:t xml:space="preserve"> </w:t>
      </w:r>
    </w:p>
    <w:p w14:paraId="26FCBD1F"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 xml:space="preserve">Семенова, А. В. (Ред.). (2006). Словник-довідник з професійної педагогіки. Пальміра. </w:t>
      </w:r>
      <w:hyperlink r:id="rId370" w:history="1">
        <w:r w:rsidRPr="00B44B71">
          <w:rPr>
            <w:rFonts w:ascii="Times New Roman" w:eastAsia="Times New Roman" w:hAnsi="Times New Roman" w:cs="Times New Roman"/>
            <w:color w:val="000000"/>
            <w:kern w:val="0"/>
            <w:sz w:val="24"/>
            <w:szCs w:val="24"/>
            <w:u w:val="single"/>
            <w:lang w:val="uk-UA" w:eastAsia="ru-RU"/>
            <w14:ligatures w14:val="none"/>
          </w:rPr>
          <w:t>https://www.pedagogic-master.com.ua/public/semenova/slovnik.pdf</w:t>
        </w:r>
      </w:hyperlink>
      <w:r w:rsidRPr="00B44B71">
        <w:rPr>
          <w:rFonts w:ascii="Times New Roman" w:eastAsia="Times New Roman" w:hAnsi="Times New Roman" w:cs="Times New Roman"/>
          <w:color w:val="000000"/>
          <w:kern w:val="0"/>
          <w:sz w:val="24"/>
          <w:szCs w:val="24"/>
          <w:lang w:val="uk-UA" w:eastAsia="ru-RU"/>
          <w14:ligatures w14:val="none"/>
        </w:rPr>
        <w:t xml:space="preserve"> </w:t>
      </w:r>
    </w:p>
    <w:p w14:paraId="48F01F1C"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Стратегія розвитку фізичної культури і спорту на період до 2028 року (Постанова Кабінету Міністрів України № 1089, 4 листопада 2020 року).</w:t>
      </w:r>
      <w:r w:rsidRPr="00B44B71">
        <w:rPr>
          <w:rFonts w:ascii="Times New Roman" w:eastAsia="Times New Roman" w:hAnsi="Times New Roman" w:cs="Times New Roman"/>
          <w:color w:val="000000"/>
          <w:kern w:val="0"/>
          <w:sz w:val="28"/>
          <w:lang w:val="uk-UA" w:eastAsia="ru-RU"/>
          <w14:ligatures w14:val="none"/>
        </w:rPr>
        <w:t xml:space="preserve"> </w:t>
      </w:r>
      <w:hyperlink r:id="rId371" w:history="1">
        <w:r w:rsidRPr="00B44B71">
          <w:rPr>
            <w:rFonts w:ascii="Times New Roman" w:eastAsia="Times New Roman" w:hAnsi="Times New Roman" w:cs="Times New Roman"/>
            <w:color w:val="000000"/>
            <w:kern w:val="0"/>
            <w:sz w:val="24"/>
            <w:szCs w:val="24"/>
            <w:u w:val="single"/>
            <w:lang w:val="uk-UA" w:eastAsia="ru-RU"/>
            <w14:ligatures w14:val="none"/>
          </w:rPr>
          <w:t>https://zakon.rada.gov.ua/go/1089-2020-%D0%BF</w:t>
        </w:r>
      </w:hyperlink>
      <w:r w:rsidRPr="00B44B71">
        <w:rPr>
          <w:rFonts w:ascii="Times New Roman" w:eastAsia="Times New Roman" w:hAnsi="Times New Roman" w:cs="Times New Roman"/>
          <w:color w:val="000000"/>
          <w:kern w:val="0"/>
          <w:sz w:val="24"/>
          <w:szCs w:val="24"/>
          <w:lang w:val="uk-UA" w:eastAsia="ru-RU"/>
          <w14:ligatures w14:val="none"/>
        </w:rPr>
        <w:t xml:space="preserve"> </w:t>
      </w:r>
    </w:p>
    <w:p w14:paraId="3EE64EA3"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 xml:space="preserve">Тракалюк, О. Л. (2020). Розвиток фахової компетентності посадових осіб кадрових органів Збройних сил України у системі післядипломної освіти [Автореферат дисертації на здобуття наукового ступеня кандидата педагогічних наук, 13.00.04]. Київ. </w:t>
      </w:r>
      <w:hyperlink r:id="rId372" w:history="1">
        <w:r w:rsidRPr="00B44B71">
          <w:rPr>
            <w:rFonts w:ascii="Times New Roman" w:eastAsia="Times New Roman" w:hAnsi="Times New Roman" w:cs="Times New Roman"/>
            <w:color w:val="000000"/>
            <w:kern w:val="0"/>
            <w:sz w:val="24"/>
            <w:szCs w:val="24"/>
            <w:u w:val="single"/>
            <w:lang w:val="uk-UA" w:eastAsia="ru-RU"/>
            <w14:ligatures w14:val="none"/>
          </w:rPr>
          <w:t>https://nuou.org.ua/assets/dissertations/autoref/autoref-trakaliuk.pdf</w:t>
        </w:r>
      </w:hyperlink>
      <w:r w:rsidRPr="00B44B71">
        <w:rPr>
          <w:rFonts w:ascii="Times New Roman" w:eastAsia="Times New Roman" w:hAnsi="Times New Roman" w:cs="Times New Roman"/>
          <w:color w:val="000000"/>
          <w:kern w:val="0"/>
          <w:sz w:val="24"/>
          <w:szCs w:val="24"/>
          <w:lang w:val="uk-UA" w:eastAsia="ru-RU"/>
          <w14:ligatures w14:val="none"/>
        </w:rPr>
        <w:t xml:space="preserve"> </w:t>
      </w:r>
    </w:p>
    <w:p w14:paraId="24639869"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 xml:space="preserve">Хриков, Є. М. (2011). Педагогічні умови як складова наукових знань. Шлях освіти, №2, 11–14. </w:t>
      </w:r>
      <w:hyperlink r:id="rId373" w:history="1">
        <w:r w:rsidRPr="00B44B71">
          <w:rPr>
            <w:rFonts w:ascii="Times New Roman" w:eastAsia="Times New Roman" w:hAnsi="Times New Roman" w:cs="Times New Roman"/>
            <w:color w:val="000000"/>
            <w:kern w:val="0"/>
            <w:sz w:val="24"/>
            <w:szCs w:val="24"/>
            <w:u w:val="single"/>
            <w:lang w:val="uk-UA" w:eastAsia="ru-RU"/>
            <w14:ligatures w14:val="none"/>
          </w:rPr>
          <w:t>https://dspace.luguniv.edu.ua/xmlui/bitstream/handle/123456789/2797/ped.umovi.pdf</w:t>
        </w:r>
      </w:hyperlink>
      <w:r w:rsidRPr="00B44B71">
        <w:rPr>
          <w:rFonts w:ascii="Times New Roman" w:eastAsia="Times New Roman" w:hAnsi="Times New Roman" w:cs="Times New Roman"/>
          <w:color w:val="000000"/>
          <w:kern w:val="0"/>
          <w:sz w:val="24"/>
          <w:szCs w:val="24"/>
          <w:lang w:val="uk-UA" w:eastAsia="ru-RU"/>
          <w14:ligatures w14:val="none"/>
        </w:rPr>
        <w:t xml:space="preserve"> </w:t>
      </w:r>
    </w:p>
    <w:p w14:paraId="1BDABBC7"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 xml:space="preserve">Ягупов, В. В. (2024). Методи дослідження у фізичному вихованні та спорті [Навчальний посібник]. Євро-Волинь. </w:t>
      </w:r>
      <w:hyperlink r:id="rId374" w:history="1">
        <w:r w:rsidRPr="00B44B71">
          <w:rPr>
            <w:rFonts w:ascii="Times New Roman" w:eastAsia="Times New Roman" w:hAnsi="Times New Roman" w:cs="Times New Roman"/>
            <w:color w:val="000000"/>
            <w:kern w:val="0"/>
            <w:sz w:val="24"/>
            <w:szCs w:val="24"/>
            <w:u w:val="single"/>
            <w:lang w:val="uk-UA" w:eastAsia="ru-RU"/>
            <w14:ligatures w14:val="none"/>
          </w:rPr>
          <w:t>https://nuou.org.ua/assets/documents/dr-kep-kyrp-25.pdf</w:t>
        </w:r>
      </w:hyperlink>
      <w:r w:rsidRPr="00B44B71">
        <w:rPr>
          <w:rFonts w:ascii="Times New Roman" w:eastAsia="Times New Roman" w:hAnsi="Times New Roman" w:cs="Times New Roman"/>
          <w:color w:val="000000"/>
          <w:kern w:val="0"/>
          <w:sz w:val="24"/>
          <w:szCs w:val="24"/>
          <w:lang w:val="uk-UA" w:eastAsia="ru-RU"/>
          <w14:ligatures w14:val="none"/>
        </w:rPr>
        <w:t xml:space="preserve"> </w:t>
      </w:r>
    </w:p>
    <w:p w14:paraId="31628DA5" w14:textId="77777777" w:rsidR="00B44B71" w:rsidRPr="00B44B71" w:rsidRDefault="00B44B71" w:rsidP="00023291">
      <w:pPr>
        <w:widowControl w:val="0"/>
        <w:tabs>
          <w:tab w:val="left" w:pos="993"/>
          <w:tab w:val="left" w:pos="9638"/>
        </w:tabs>
        <w:spacing w:after="0" w:line="240" w:lineRule="auto"/>
        <w:ind w:firstLine="567"/>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eastAsia="ru-RU"/>
          <w14:ligatures w14:val="none"/>
        </w:rPr>
        <w:t>Griban</w:t>
      </w:r>
      <w:r w:rsidRPr="00B44B71">
        <w:rPr>
          <w:rFonts w:ascii="Times New Roman" w:eastAsia="Times New Roman" w:hAnsi="Times New Roman" w:cs="Times New Roman"/>
          <w:color w:val="000000"/>
          <w:kern w:val="0"/>
          <w:sz w:val="24"/>
          <w:szCs w:val="24"/>
          <w:lang w:val="uk-UA" w:eastAsia="ru-RU"/>
          <w14:ligatures w14:val="none"/>
        </w:rPr>
        <w:t xml:space="preserve">, </w:t>
      </w:r>
      <w:r w:rsidRPr="00B44B71">
        <w:rPr>
          <w:rFonts w:ascii="Times New Roman" w:eastAsia="Times New Roman" w:hAnsi="Times New Roman" w:cs="Times New Roman"/>
          <w:color w:val="000000"/>
          <w:kern w:val="0"/>
          <w:sz w:val="24"/>
          <w:szCs w:val="24"/>
          <w:lang w:eastAsia="ru-RU"/>
          <w14:ligatures w14:val="none"/>
        </w:rPr>
        <w:t>G</w:t>
      </w:r>
      <w:r w:rsidRPr="00B44B71">
        <w:rPr>
          <w:rFonts w:ascii="Times New Roman" w:eastAsia="Times New Roman" w:hAnsi="Times New Roman" w:cs="Times New Roman"/>
          <w:color w:val="000000"/>
          <w:kern w:val="0"/>
          <w:sz w:val="24"/>
          <w:szCs w:val="24"/>
          <w:lang w:val="uk-UA" w:eastAsia="ru-RU"/>
          <w14:ligatures w14:val="none"/>
        </w:rPr>
        <w:t xml:space="preserve">., </w:t>
      </w:r>
      <w:r w:rsidRPr="00B44B71">
        <w:rPr>
          <w:rFonts w:ascii="Times New Roman" w:eastAsia="Times New Roman" w:hAnsi="Times New Roman" w:cs="Times New Roman"/>
          <w:color w:val="000000"/>
          <w:kern w:val="0"/>
          <w:sz w:val="24"/>
          <w:szCs w:val="24"/>
          <w:lang w:eastAsia="ru-RU"/>
          <w14:ligatures w14:val="none"/>
        </w:rPr>
        <w:t>Asauliuk</w:t>
      </w:r>
      <w:r w:rsidRPr="00B44B71">
        <w:rPr>
          <w:rFonts w:ascii="Times New Roman" w:eastAsia="Times New Roman" w:hAnsi="Times New Roman" w:cs="Times New Roman"/>
          <w:color w:val="000000"/>
          <w:kern w:val="0"/>
          <w:sz w:val="24"/>
          <w:szCs w:val="24"/>
          <w:lang w:val="uk-UA" w:eastAsia="ru-RU"/>
          <w14:ligatures w14:val="none"/>
        </w:rPr>
        <w:t xml:space="preserve">, </w:t>
      </w:r>
      <w:r w:rsidRPr="00B44B71">
        <w:rPr>
          <w:rFonts w:ascii="Times New Roman" w:eastAsia="Times New Roman" w:hAnsi="Times New Roman" w:cs="Times New Roman"/>
          <w:color w:val="000000"/>
          <w:kern w:val="0"/>
          <w:sz w:val="24"/>
          <w:szCs w:val="24"/>
          <w:lang w:eastAsia="ru-RU"/>
          <w14:ligatures w14:val="none"/>
        </w:rPr>
        <w:t>I</w:t>
      </w:r>
      <w:r w:rsidRPr="00B44B71">
        <w:rPr>
          <w:rFonts w:ascii="Times New Roman" w:eastAsia="Times New Roman" w:hAnsi="Times New Roman" w:cs="Times New Roman"/>
          <w:color w:val="000000"/>
          <w:kern w:val="0"/>
          <w:sz w:val="24"/>
          <w:szCs w:val="24"/>
          <w:lang w:val="uk-UA" w:eastAsia="ru-RU"/>
          <w14:ligatures w14:val="none"/>
        </w:rPr>
        <w:t xml:space="preserve">., </w:t>
      </w:r>
      <w:r w:rsidRPr="00B44B71">
        <w:rPr>
          <w:rFonts w:ascii="Times New Roman" w:eastAsia="Times New Roman" w:hAnsi="Times New Roman" w:cs="Times New Roman"/>
          <w:color w:val="000000"/>
          <w:kern w:val="0"/>
          <w:sz w:val="24"/>
          <w:szCs w:val="24"/>
          <w:lang w:eastAsia="ru-RU"/>
          <w14:ligatures w14:val="none"/>
        </w:rPr>
        <w:t>Yahupov</w:t>
      </w:r>
      <w:r w:rsidRPr="00B44B71">
        <w:rPr>
          <w:rFonts w:ascii="Times New Roman" w:eastAsia="Times New Roman" w:hAnsi="Times New Roman" w:cs="Times New Roman"/>
          <w:color w:val="000000"/>
          <w:kern w:val="0"/>
          <w:sz w:val="24"/>
          <w:szCs w:val="24"/>
          <w:lang w:val="uk-UA" w:eastAsia="ru-RU"/>
          <w14:ligatures w14:val="none"/>
        </w:rPr>
        <w:t xml:space="preserve">, </w:t>
      </w:r>
      <w:r w:rsidRPr="00B44B71">
        <w:rPr>
          <w:rFonts w:ascii="Times New Roman" w:eastAsia="Times New Roman" w:hAnsi="Times New Roman" w:cs="Times New Roman"/>
          <w:color w:val="000000"/>
          <w:kern w:val="0"/>
          <w:sz w:val="24"/>
          <w:szCs w:val="24"/>
          <w:lang w:eastAsia="ru-RU"/>
          <w14:ligatures w14:val="none"/>
        </w:rPr>
        <w:t>V</w:t>
      </w:r>
      <w:r w:rsidRPr="00B44B71">
        <w:rPr>
          <w:rFonts w:ascii="Times New Roman" w:eastAsia="Times New Roman" w:hAnsi="Times New Roman" w:cs="Times New Roman"/>
          <w:color w:val="000000"/>
          <w:kern w:val="0"/>
          <w:sz w:val="24"/>
          <w:szCs w:val="24"/>
          <w:lang w:val="uk-UA" w:eastAsia="ru-RU"/>
          <w14:ligatures w14:val="none"/>
        </w:rPr>
        <w:t xml:space="preserve">., </w:t>
      </w:r>
      <w:r w:rsidRPr="00B44B71">
        <w:rPr>
          <w:rFonts w:ascii="Times New Roman" w:eastAsia="Times New Roman" w:hAnsi="Times New Roman" w:cs="Times New Roman"/>
          <w:color w:val="000000"/>
          <w:kern w:val="0"/>
          <w:sz w:val="24"/>
          <w:szCs w:val="24"/>
          <w:lang w:eastAsia="ru-RU"/>
          <w14:ligatures w14:val="none"/>
        </w:rPr>
        <w:t>Svystun</w:t>
      </w:r>
      <w:r w:rsidRPr="00B44B71">
        <w:rPr>
          <w:rFonts w:ascii="Times New Roman" w:eastAsia="Times New Roman" w:hAnsi="Times New Roman" w:cs="Times New Roman"/>
          <w:color w:val="000000"/>
          <w:kern w:val="0"/>
          <w:sz w:val="24"/>
          <w:szCs w:val="24"/>
          <w:lang w:val="uk-UA" w:eastAsia="ru-RU"/>
          <w14:ligatures w14:val="none"/>
        </w:rPr>
        <w:t xml:space="preserve">, </w:t>
      </w:r>
      <w:r w:rsidRPr="00B44B71">
        <w:rPr>
          <w:rFonts w:ascii="Times New Roman" w:eastAsia="Times New Roman" w:hAnsi="Times New Roman" w:cs="Times New Roman"/>
          <w:color w:val="000000"/>
          <w:kern w:val="0"/>
          <w:sz w:val="24"/>
          <w:szCs w:val="24"/>
          <w:lang w:eastAsia="ru-RU"/>
          <w14:ligatures w14:val="none"/>
        </w:rPr>
        <w:t>V</w:t>
      </w:r>
      <w:r w:rsidRPr="00B44B71">
        <w:rPr>
          <w:rFonts w:ascii="Times New Roman" w:eastAsia="Times New Roman" w:hAnsi="Times New Roman" w:cs="Times New Roman"/>
          <w:color w:val="000000"/>
          <w:kern w:val="0"/>
          <w:sz w:val="24"/>
          <w:szCs w:val="24"/>
          <w:lang w:val="uk-UA" w:eastAsia="ru-RU"/>
          <w14:ligatures w14:val="none"/>
        </w:rPr>
        <w:t xml:space="preserve">., </w:t>
      </w:r>
      <w:r w:rsidRPr="00B44B71">
        <w:rPr>
          <w:rFonts w:ascii="Times New Roman" w:eastAsia="Times New Roman" w:hAnsi="Times New Roman" w:cs="Times New Roman"/>
          <w:color w:val="000000"/>
          <w:kern w:val="0"/>
          <w:sz w:val="24"/>
          <w:szCs w:val="24"/>
          <w:lang w:eastAsia="ru-RU"/>
          <w14:ligatures w14:val="none"/>
        </w:rPr>
        <w:t>Shukatka</w:t>
      </w:r>
      <w:r w:rsidRPr="00B44B71">
        <w:rPr>
          <w:rFonts w:ascii="Times New Roman" w:eastAsia="Times New Roman" w:hAnsi="Times New Roman" w:cs="Times New Roman"/>
          <w:color w:val="000000"/>
          <w:kern w:val="0"/>
          <w:sz w:val="24"/>
          <w:szCs w:val="24"/>
          <w:lang w:val="uk-UA" w:eastAsia="ru-RU"/>
          <w14:ligatures w14:val="none"/>
        </w:rPr>
        <w:t xml:space="preserve">, </w:t>
      </w:r>
      <w:r w:rsidRPr="00B44B71">
        <w:rPr>
          <w:rFonts w:ascii="Times New Roman" w:eastAsia="Times New Roman" w:hAnsi="Times New Roman" w:cs="Times New Roman"/>
          <w:color w:val="000000"/>
          <w:kern w:val="0"/>
          <w:sz w:val="24"/>
          <w:szCs w:val="24"/>
          <w:lang w:eastAsia="ru-RU"/>
          <w14:ligatures w14:val="none"/>
        </w:rPr>
        <w:t>O</w:t>
      </w:r>
      <w:r w:rsidRPr="00B44B71">
        <w:rPr>
          <w:rFonts w:ascii="Times New Roman" w:eastAsia="Times New Roman" w:hAnsi="Times New Roman" w:cs="Times New Roman"/>
          <w:color w:val="000000"/>
          <w:kern w:val="0"/>
          <w:sz w:val="24"/>
          <w:szCs w:val="24"/>
          <w:lang w:val="uk-UA" w:eastAsia="ru-RU"/>
          <w14:ligatures w14:val="none"/>
        </w:rPr>
        <w:t xml:space="preserve">., </w:t>
      </w:r>
      <w:r w:rsidRPr="00B44B71">
        <w:rPr>
          <w:rFonts w:ascii="Times New Roman" w:eastAsia="Times New Roman" w:hAnsi="Times New Roman" w:cs="Times New Roman"/>
          <w:color w:val="000000"/>
          <w:kern w:val="0"/>
          <w:sz w:val="24"/>
          <w:szCs w:val="24"/>
          <w:lang w:eastAsia="ru-RU"/>
          <w14:ligatures w14:val="none"/>
        </w:rPr>
        <w:t>Vasylieva</w:t>
      </w:r>
      <w:r w:rsidRPr="00B44B71">
        <w:rPr>
          <w:rFonts w:ascii="Times New Roman" w:eastAsia="Times New Roman" w:hAnsi="Times New Roman" w:cs="Times New Roman"/>
          <w:color w:val="000000"/>
          <w:kern w:val="0"/>
          <w:sz w:val="24"/>
          <w:szCs w:val="24"/>
          <w:lang w:val="uk-UA" w:eastAsia="ru-RU"/>
          <w14:ligatures w14:val="none"/>
        </w:rPr>
        <w:t xml:space="preserve">, </w:t>
      </w:r>
      <w:r w:rsidRPr="00B44B71">
        <w:rPr>
          <w:rFonts w:ascii="Times New Roman" w:eastAsia="Times New Roman" w:hAnsi="Times New Roman" w:cs="Times New Roman"/>
          <w:color w:val="000000"/>
          <w:kern w:val="0"/>
          <w:sz w:val="24"/>
          <w:szCs w:val="24"/>
          <w:lang w:eastAsia="ru-RU"/>
          <w14:ligatures w14:val="none"/>
        </w:rPr>
        <w:t>S</w:t>
      </w:r>
      <w:r w:rsidRPr="00B44B71">
        <w:rPr>
          <w:rFonts w:ascii="Times New Roman" w:eastAsia="Times New Roman" w:hAnsi="Times New Roman" w:cs="Times New Roman"/>
          <w:color w:val="000000"/>
          <w:kern w:val="0"/>
          <w:sz w:val="24"/>
          <w:szCs w:val="24"/>
          <w:lang w:val="uk-UA" w:eastAsia="ru-RU"/>
          <w14:ligatures w14:val="none"/>
        </w:rPr>
        <w:t xml:space="preserve">., </w:t>
      </w:r>
      <w:r w:rsidRPr="00B44B71">
        <w:rPr>
          <w:rFonts w:ascii="Times New Roman" w:eastAsia="Times New Roman" w:hAnsi="Times New Roman" w:cs="Times New Roman"/>
          <w:color w:val="000000"/>
          <w:kern w:val="0"/>
          <w:sz w:val="24"/>
          <w:szCs w:val="24"/>
          <w:lang w:eastAsia="ru-RU"/>
          <w14:ligatures w14:val="none"/>
        </w:rPr>
        <w:t>Oleniev</w:t>
      </w:r>
      <w:r w:rsidRPr="00B44B71">
        <w:rPr>
          <w:rFonts w:ascii="Times New Roman" w:eastAsia="Times New Roman" w:hAnsi="Times New Roman" w:cs="Times New Roman"/>
          <w:color w:val="000000"/>
          <w:kern w:val="0"/>
          <w:sz w:val="24"/>
          <w:szCs w:val="24"/>
          <w:lang w:val="uk-UA" w:eastAsia="ru-RU"/>
          <w14:ligatures w14:val="none"/>
        </w:rPr>
        <w:t xml:space="preserve">, </w:t>
      </w:r>
      <w:r w:rsidRPr="00B44B71">
        <w:rPr>
          <w:rFonts w:ascii="Times New Roman" w:eastAsia="Times New Roman" w:hAnsi="Times New Roman" w:cs="Times New Roman"/>
          <w:color w:val="000000"/>
          <w:kern w:val="0"/>
          <w:sz w:val="24"/>
          <w:szCs w:val="24"/>
          <w:lang w:eastAsia="ru-RU"/>
          <w14:ligatures w14:val="none"/>
        </w:rPr>
        <w:t>D</w:t>
      </w:r>
      <w:r w:rsidRPr="00B44B71">
        <w:rPr>
          <w:rFonts w:ascii="Times New Roman" w:eastAsia="Times New Roman" w:hAnsi="Times New Roman" w:cs="Times New Roman"/>
          <w:color w:val="000000"/>
          <w:kern w:val="0"/>
          <w:sz w:val="24"/>
          <w:szCs w:val="24"/>
          <w:lang w:val="uk-UA" w:eastAsia="ru-RU"/>
          <w14:ligatures w14:val="none"/>
        </w:rPr>
        <w:t xml:space="preserve">., </w:t>
      </w:r>
      <w:r w:rsidRPr="00B44B71">
        <w:rPr>
          <w:rFonts w:ascii="Times New Roman" w:eastAsia="Times New Roman" w:hAnsi="Times New Roman" w:cs="Times New Roman"/>
          <w:color w:val="000000"/>
          <w:kern w:val="0"/>
          <w:sz w:val="24"/>
          <w:szCs w:val="24"/>
          <w:lang w:eastAsia="ru-RU"/>
          <w14:ligatures w14:val="none"/>
        </w:rPr>
        <w:t>Yefimenko</w:t>
      </w:r>
      <w:r w:rsidRPr="00B44B71">
        <w:rPr>
          <w:rFonts w:ascii="Times New Roman" w:eastAsia="Times New Roman" w:hAnsi="Times New Roman" w:cs="Times New Roman"/>
          <w:color w:val="000000"/>
          <w:kern w:val="0"/>
          <w:sz w:val="24"/>
          <w:szCs w:val="24"/>
          <w:lang w:val="uk-UA" w:eastAsia="ru-RU"/>
          <w14:ligatures w14:val="none"/>
        </w:rPr>
        <w:t xml:space="preserve">, </w:t>
      </w:r>
      <w:r w:rsidRPr="00B44B71">
        <w:rPr>
          <w:rFonts w:ascii="Times New Roman" w:eastAsia="Times New Roman" w:hAnsi="Times New Roman" w:cs="Times New Roman"/>
          <w:color w:val="000000"/>
          <w:kern w:val="0"/>
          <w:sz w:val="24"/>
          <w:szCs w:val="24"/>
          <w:lang w:eastAsia="ru-RU"/>
          <w14:ligatures w14:val="none"/>
        </w:rPr>
        <w:t>P</w:t>
      </w:r>
      <w:r w:rsidRPr="00B44B71">
        <w:rPr>
          <w:rFonts w:ascii="Times New Roman" w:eastAsia="Times New Roman" w:hAnsi="Times New Roman" w:cs="Times New Roman"/>
          <w:color w:val="000000"/>
          <w:kern w:val="0"/>
          <w:sz w:val="24"/>
          <w:szCs w:val="24"/>
          <w:lang w:val="uk-UA" w:eastAsia="ru-RU"/>
          <w14:ligatures w14:val="none"/>
        </w:rPr>
        <w:t xml:space="preserve">., </w:t>
      </w:r>
      <w:r w:rsidRPr="00B44B71">
        <w:rPr>
          <w:rFonts w:ascii="Times New Roman" w:eastAsia="Times New Roman" w:hAnsi="Times New Roman" w:cs="Times New Roman"/>
          <w:color w:val="000000"/>
          <w:kern w:val="0"/>
          <w:sz w:val="24"/>
          <w:szCs w:val="24"/>
          <w:lang w:eastAsia="ru-RU"/>
          <w14:ligatures w14:val="none"/>
        </w:rPr>
        <w:t>Agarkova</w:t>
      </w:r>
      <w:r w:rsidRPr="00B44B71">
        <w:rPr>
          <w:rFonts w:ascii="Times New Roman" w:eastAsia="Times New Roman" w:hAnsi="Times New Roman" w:cs="Times New Roman"/>
          <w:color w:val="000000"/>
          <w:kern w:val="0"/>
          <w:sz w:val="24"/>
          <w:szCs w:val="24"/>
          <w:lang w:val="uk-UA" w:eastAsia="ru-RU"/>
          <w14:ligatures w14:val="none"/>
        </w:rPr>
        <w:t xml:space="preserve">, </w:t>
      </w:r>
      <w:r w:rsidRPr="00B44B71">
        <w:rPr>
          <w:rFonts w:ascii="Times New Roman" w:eastAsia="Times New Roman" w:hAnsi="Times New Roman" w:cs="Times New Roman"/>
          <w:color w:val="000000"/>
          <w:kern w:val="0"/>
          <w:sz w:val="24"/>
          <w:szCs w:val="24"/>
          <w:lang w:eastAsia="ru-RU"/>
          <w14:ligatures w14:val="none"/>
        </w:rPr>
        <w:t>N</w:t>
      </w:r>
      <w:r w:rsidRPr="00B44B71">
        <w:rPr>
          <w:rFonts w:ascii="Times New Roman" w:eastAsia="Times New Roman" w:hAnsi="Times New Roman" w:cs="Times New Roman"/>
          <w:color w:val="000000"/>
          <w:kern w:val="0"/>
          <w:sz w:val="24"/>
          <w:szCs w:val="24"/>
          <w:lang w:val="uk-UA" w:eastAsia="ru-RU"/>
          <w14:ligatures w14:val="none"/>
        </w:rPr>
        <w:t xml:space="preserve">., &amp; </w:t>
      </w:r>
      <w:r w:rsidRPr="00B44B71">
        <w:rPr>
          <w:rFonts w:ascii="Times New Roman" w:eastAsia="Times New Roman" w:hAnsi="Times New Roman" w:cs="Times New Roman"/>
          <w:color w:val="000000"/>
          <w:kern w:val="0"/>
          <w:sz w:val="24"/>
          <w:szCs w:val="24"/>
          <w:lang w:eastAsia="ru-RU"/>
          <w14:ligatures w14:val="none"/>
        </w:rPr>
        <w:t>Otroshko</w:t>
      </w:r>
      <w:r w:rsidRPr="00B44B71">
        <w:rPr>
          <w:rFonts w:ascii="Times New Roman" w:eastAsia="Times New Roman" w:hAnsi="Times New Roman" w:cs="Times New Roman"/>
          <w:color w:val="000000"/>
          <w:kern w:val="0"/>
          <w:sz w:val="24"/>
          <w:szCs w:val="24"/>
          <w:lang w:val="uk-UA" w:eastAsia="ru-RU"/>
          <w14:ligatures w14:val="none"/>
        </w:rPr>
        <w:t xml:space="preserve">, </w:t>
      </w:r>
      <w:r w:rsidRPr="00B44B71">
        <w:rPr>
          <w:rFonts w:ascii="Times New Roman" w:eastAsia="Times New Roman" w:hAnsi="Times New Roman" w:cs="Times New Roman"/>
          <w:color w:val="000000"/>
          <w:kern w:val="0"/>
          <w:sz w:val="24"/>
          <w:szCs w:val="24"/>
          <w:lang w:eastAsia="ru-RU"/>
          <w14:ligatures w14:val="none"/>
        </w:rPr>
        <w:t>O</w:t>
      </w:r>
      <w:r w:rsidRPr="00B44B71">
        <w:rPr>
          <w:rFonts w:ascii="Times New Roman" w:eastAsia="Times New Roman" w:hAnsi="Times New Roman" w:cs="Times New Roman"/>
          <w:color w:val="000000"/>
          <w:kern w:val="0"/>
          <w:sz w:val="24"/>
          <w:szCs w:val="24"/>
          <w:lang w:val="uk-UA" w:eastAsia="ru-RU"/>
          <w14:ligatures w14:val="none"/>
        </w:rPr>
        <w:t xml:space="preserve">. (2023). </w:t>
      </w:r>
      <w:r w:rsidRPr="00B44B71">
        <w:rPr>
          <w:rFonts w:ascii="Times New Roman" w:eastAsia="Times New Roman" w:hAnsi="Times New Roman" w:cs="Times New Roman"/>
          <w:color w:val="000000"/>
          <w:kern w:val="0"/>
          <w:sz w:val="24"/>
          <w:szCs w:val="24"/>
          <w:lang w:eastAsia="ru-RU"/>
          <w14:ligatures w14:val="none"/>
        </w:rPr>
        <w:t>Psychological and pedagogical characteristics of a teacher in the process of physical education of students. Revista Romaneasca Pentru Educatie Multidimensionala, №15 (1), 402–421.</w:t>
      </w:r>
      <w:r w:rsidRPr="00B44B71">
        <w:rPr>
          <w:rFonts w:ascii="Times New Roman" w:eastAsia="Times New Roman" w:hAnsi="Times New Roman" w:cs="Times New Roman"/>
          <w:color w:val="000000"/>
          <w:kern w:val="0"/>
          <w:sz w:val="24"/>
          <w:szCs w:val="24"/>
          <w:lang w:val="uk-UA" w:eastAsia="ru-RU"/>
          <w14:ligatures w14:val="none"/>
        </w:rPr>
        <w:t xml:space="preserve"> </w:t>
      </w:r>
      <w:hyperlink r:id="rId375" w:history="1">
        <w:r w:rsidRPr="00B44B71">
          <w:rPr>
            <w:rFonts w:ascii="Times New Roman" w:eastAsia="Times New Roman" w:hAnsi="Times New Roman" w:cs="Times New Roman"/>
            <w:color w:val="000000"/>
            <w:kern w:val="0"/>
            <w:sz w:val="24"/>
            <w:szCs w:val="24"/>
            <w:u w:val="single"/>
            <w:lang w:eastAsia="ru-RU"/>
            <w14:ligatures w14:val="none"/>
          </w:rPr>
          <w:t>https://lumenpublishing.com/journals/index.php/rrem/article/view/5307</w:t>
        </w:r>
      </w:hyperlink>
      <w:r w:rsidRPr="00B44B71">
        <w:rPr>
          <w:rFonts w:ascii="Times New Roman" w:eastAsia="Times New Roman" w:hAnsi="Times New Roman" w:cs="Times New Roman"/>
          <w:color w:val="000000"/>
          <w:kern w:val="0"/>
          <w:sz w:val="24"/>
          <w:szCs w:val="24"/>
          <w:lang w:val="uk-UA" w:eastAsia="ru-RU"/>
          <w14:ligatures w14:val="none"/>
        </w:rPr>
        <w:t xml:space="preserve"> </w:t>
      </w:r>
    </w:p>
    <w:p w14:paraId="2CE0D04E"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p>
    <w:p w14:paraId="47A40040" w14:textId="77777777" w:rsidR="00B44B71" w:rsidRPr="00B44B71" w:rsidRDefault="00B44B71" w:rsidP="00E967C0">
      <w:pPr>
        <w:widowControl w:val="0"/>
        <w:tabs>
          <w:tab w:val="left" w:pos="993"/>
          <w:tab w:val="left" w:pos="9638"/>
        </w:tabs>
        <w:spacing w:after="0" w:line="240" w:lineRule="auto"/>
        <w:jc w:val="center"/>
        <w:rPr>
          <w:rFonts w:ascii="Times New Roman" w:eastAsia="Times New Roman" w:hAnsi="Times New Roman" w:cs="Times New Roman"/>
          <w:b/>
          <w:color w:val="000000"/>
          <w:kern w:val="0"/>
          <w:sz w:val="24"/>
          <w:szCs w:val="24"/>
          <w:lang w:eastAsia="ru-RU"/>
          <w14:ligatures w14:val="none"/>
        </w:rPr>
      </w:pPr>
      <w:r w:rsidRPr="00B44B71">
        <w:rPr>
          <w:rFonts w:ascii="Times New Roman" w:eastAsia="Times New Roman" w:hAnsi="Times New Roman" w:cs="Times New Roman"/>
          <w:b/>
          <w:color w:val="000000"/>
          <w:kern w:val="0"/>
          <w:sz w:val="24"/>
          <w:szCs w:val="24"/>
          <w:lang w:eastAsia="ru-RU"/>
          <w14:ligatures w14:val="none"/>
        </w:rPr>
        <w:t>REFERENCES</w:t>
      </w:r>
    </w:p>
    <w:p w14:paraId="79AA6EC3"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 xml:space="preserve">Bryukhanova, N. O. (2010). Osnovy pedahohichnoho proektuvannya v inzhenerno-pedahohichniy osviti [Monohrafiya]. NTMT. </w:t>
      </w:r>
    </w:p>
    <w:p w14:paraId="1A68350A"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 xml:space="preserve">Verbyn, N. B., &amp; Svystun, V. I. (2020). Pedahohichni umovy rozvytku profesiynoyi vytryvalosti maybutnikh mahistriv viysʹkovoho upravlinnya. U Fizychne vykhovannya: problemy ta perspektyvy: monohrafiya (s. 308–322). Ruta. </w:t>
      </w:r>
    </w:p>
    <w:p w14:paraId="2AC78066"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 xml:space="preserve">Hnatiyenko, H. M., &amp; Snytyuk, V. YE. (2008). Ekspertni tekhnolohiyi pryynyattya rishenʹ [Monohrafiya]. Maklaut. </w:t>
      </w:r>
    </w:p>
    <w:p w14:paraId="429592A2"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 xml:space="preserve">Kontseptsiya rozvytku fizychnoyi pidhotovky i sportu v systemi Ministerstva oborony Ukrayiny (Nakaz Ministerstva oborony Ukrayiny № 452, 28 hrudnya 2022 roku). </w:t>
      </w:r>
    </w:p>
    <w:p w14:paraId="7F2738EC"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 xml:space="preserve">Koshuba, V. O., Denysova, L. V., &amp; Usychenko, V. V. (2015). Kompʺyuterna tekhnika ta metody matematychnoyi statystyky [Navchalʹnyy posibnyk]. Kyyiv. Lytvyn, A. V. (2014). Metodolohichni zasady ponyattya «pedahohichni umovy»: na dopomohu zdobuvacham naukovoho stupenya. SPOLOM. </w:t>
      </w:r>
    </w:p>
    <w:p w14:paraId="1EBFC167"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 xml:space="preserve">Olʹkhovyy, O. M., Finohenov, YU. S., Boyko, S. S., &amp; Chichkan, O. M. (2020). </w:t>
      </w:r>
      <w:r w:rsidRPr="00B44B71">
        <w:rPr>
          <w:rFonts w:ascii="Times New Roman" w:eastAsia="Times New Roman" w:hAnsi="Times New Roman" w:cs="Times New Roman"/>
          <w:color w:val="000000"/>
          <w:kern w:val="0"/>
          <w:sz w:val="24"/>
          <w:szCs w:val="24"/>
          <w:lang w:eastAsia="ru-RU"/>
          <w14:ligatures w14:val="none"/>
        </w:rPr>
        <w:lastRenderedPageBreak/>
        <w:t xml:space="preserve">Eksperymentalʹna modelʹ orhanizatsiyi fizychnoyi pidhotovky u Zbroynykh Sylakh Ukrayiny. U Suchasni tendentsiyi ta perspektyvy rozvytku fizychnoyi pidhotovky ta sportu Zbroynykh Syl Ukrayiny, pravookhoronnykh orhaniv, ryatuvalʹnykh ta inshykh spetsialʹnykh sluzhb na shlyakhu yevroatlantychnoyi intehratsiyi Ukrayiny: tezy IV mizhnarodnoyi naukovo-praktychnoyi konferentsiyi (Kyyiv, 19 lystopada 2020 r., s. 21–23). NUOU. </w:t>
      </w:r>
    </w:p>
    <w:p w14:paraId="3D6B5613"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 xml:space="preserve">Pohrebnyak, D. V. (2020). Rozvytok fakhovoyi kompetentnosti nachalʹnykiv fizychnoyi pidhotovky i sportu viysʹkovykh chastyn u systemi pislyadyplomnoyi osvity [Avtoreferat dysertatsiyi na zdobuttya naukovoho stupenya kandydata pedahohichnykh nauk, 13.00.04]. Kyyiv. </w:t>
      </w:r>
    </w:p>
    <w:p w14:paraId="59D1DF95"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 xml:space="preserve">Romanyuk, O. A., Horbach, O. O., &amp; Ivchenko, A. O. (2020). Osoblyvosti formuvannya profesiynoyi kompetentnosti maybutnikh fakhivtsiv fizychnoyi pidhotovky i sportu. U Suchasni tendentsiyi ta perspektyvy rozvytku fizychnoyi pidhotovky ta sportu Zbroynykh Syl Ukrayiny, pravookhoronnykh orhaniv, ryatuvalʹnykh ta inshykh spetsialʹnykh sluzhb na shlyakhu yevroatlantychnoyi intehratsiyi Ukrayiny: tezy IV mizhnarodnoyi naukovo-praktychnoyi konferentsiyi (Kyyiv, 19 lystopada 2020 r., s. 154–158). NUOU. </w:t>
      </w:r>
    </w:p>
    <w:p w14:paraId="637B384F"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 xml:space="preserve">Svystun, V. I. (2012). Pedahohichni umovy profesiynoho navchannya personalu na vyrobnytstvi. Profesiyna osvita: problemy i perspektyvy, № 3, 31–36. </w:t>
      </w:r>
    </w:p>
    <w:p w14:paraId="092C1F18"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 xml:space="preserve">Svystun, V. I., &amp; Polyvanyuk, V. V. (2023). Analiz definitsiyi «profesiyna kompetentnistʹ» viysʹkovykh fakhivtsiv. Viysʹkova osvita, №2 (48), 251–266. </w:t>
      </w:r>
    </w:p>
    <w:p w14:paraId="7CB1A0E0"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 xml:space="preserve">Svystun, V., &amp; Polyvanyuk, V. (2025). Formuvannya profesiynoyi kompetentnosti maybutnikh ofitseriv – fakhivtsiv z fizychnoyi kulʹtury i sportu Zbroynykh Syl Ukrayiny [Monohrafiya]. NUOU. </w:t>
      </w:r>
    </w:p>
    <w:p w14:paraId="4575A451"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 xml:space="preserve">Semenova, A. V. (Red.). (2006). Slovnyk-dovidnyk z profesiynoyi pedahohiky. Palʹmira. </w:t>
      </w:r>
    </w:p>
    <w:p w14:paraId="4D2D837A"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 xml:space="preserve">Stratehiya rozvytku fizychnoyi kulʹtury i sportu na period do 2028 roku (Postanova Kabinetu Ministriv Ukrayiny № 1089, 4 lystopada 2020 roku). </w:t>
      </w:r>
    </w:p>
    <w:p w14:paraId="6619C72B"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 xml:space="preserve">Trakalyuk, O. L. (2020). Rozvytok fakhovoyi kompetentnosti posadovykh osib kadrovykh orhaniv Zbroynykh syl Ukrayiny u systemi pislyadyplomnoyi osvity [Avtoreferat dysertatsiyi na zdobuttya naukovoho stupenya kandydata pedahohichnykh nauk, 13.00.04]. Kyyiv. </w:t>
      </w:r>
    </w:p>
    <w:p w14:paraId="05FAB363"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 xml:space="preserve">Khrykov, YE. M. (2011). Pedahohichni umovy yak skladova naukovykh znanʹ. Shlyakh osvity, №2, 11–14. </w:t>
      </w:r>
    </w:p>
    <w:p w14:paraId="7DC08C9E"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eastAsia="ru-RU"/>
          <w14:ligatures w14:val="none"/>
        </w:rPr>
      </w:pPr>
      <w:r w:rsidRPr="00B44B71">
        <w:rPr>
          <w:rFonts w:ascii="Times New Roman" w:eastAsia="Times New Roman" w:hAnsi="Times New Roman" w:cs="Times New Roman"/>
          <w:color w:val="000000"/>
          <w:kern w:val="0"/>
          <w:sz w:val="24"/>
          <w:szCs w:val="24"/>
          <w:lang w:eastAsia="ru-RU"/>
          <w14:ligatures w14:val="none"/>
        </w:rPr>
        <w:t>Yahupov, V. V. (2024). Metody doslidzhennya u fizychnomu vykhovanni ta sporti [Navchalʹnyy posibnyk]. Yevro-Volynʹ.</w:t>
      </w:r>
    </w:p>
    <w:p w14:paraId="5EDF7751"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eastAsia="ru-RU"/>
          <w14:ligatures w14:val="none"/>
        </w:rPr>
        <w:t xml:space="preserve">Griban, G., Asauliuk, I., Yahupov, V., Svystun, V., Shukatka, O., Vasylieva, S., Oleniev, D., Yefimenko, P., Agarkova, N., &amp; Otroshko, O. (2023). Psychological and pedagogical characteristics of a teacher in the process of physical education of students. Revista Romaneasca Pentru Educatie Multidimensionala, №15 (1), 402–421. </w:t>
      </w:r>
      <w:hyperlink r:id="rId376" w:history="1">
        <w:r w:rsidRPr="00B44B71">
          <w:rPr>
            <w:rFonts w:ascii="Times New Roman" w:eastAsia="Times New Roman" w:hAnsi="Times New Roman" w:cs="Times New Roman"/>
            <w:color w:val="0563C1"/>
            <w:kern w:val="0"/>
            <w:sz w:val="24"/>
            <w:szCs w:val="24"/>
            <w:u w:val="single"/>
            <w:lang w:eastAsia="ru-RU"/>
            <w14:ligatures w14:val="none"/>
          </w:rPr>
          <w:t>https://doi.org/10.18662/rrem/15.1/703</w:t>
        </w:r>
      </w:hyperlink>
    </w:p>
    <w:p w14:paraId="3DF14A3F" w14:textId="77777777" w:rsidR="00B44B71" w:rsidRPr="00B44B71" w:rsidRDefault="00B44B71" w:rsidP="00023291">
      <w:pPr>
        <w:widowControl w:val="0"/>
        <w:tabs>
          <w:tab w:val="left" w:pos="993"/>
          <w:tab w:val="left" w:pos="9638"/>
        </w:tabs>
        <w:spacing w:after="0" w:line="240" w:lineRule="auto"/>
        <w:ind w:firstLine="567"/>
        <w:jc w:val="both"/>
        <w:rPr>
          <w:rFonts w:ascii="Times New Roman" w:eastAsia="Times New Roman" w:hAnsi="Times New Roman" w:cs="Times New Roman"/>
          <w:color w:val="000000"/>
          <w:kern w:val="0"/>
          <w:sz w:val="24"/>
          <w:szCs w:val="24"/>
          <w:lang w:val="uk-UA" w:eastAsia="ru-RU"/>
          <w14:ligatures w14:val="none"/>
        </w:rPr>
      </w:pPr>
    </w:p>
    <w:p w14:paraId="6CBA3B56"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надійшов до редакції 10.04.2026</w:t>
      </w:r>
    </w:p>
    <w:p w14:paraId="3F833406"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прийнято до друку після рецензування 29.04.2026</w:t>
      </w:r>
    </w:p>
    <w:p w14:paraId="276FA5AB"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Дата публікації 25.05.2026</w:t>
      </w:r>
    </w:p>
    <w:p w14:paraId="013362A6"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p>
    <w:p w14:paraId="05B822DE" w14:textId="298FAA6A" w:rsidR="00BA5FBD" w:rsidRPr="00B44B71" w:rsidRDefault="00E967C0" w:rsidP="00BA5FBD">
      <w:pPr>
        <w:widowControl w:val="0"/>
        <w:tabs>
          <w:tab w:val="left" w:pos="9638"/>
        </w:tabs>
        <w:autoSpaceDE w:val="0"/>
        <w:autoSpaceDN w:val="0"/>
        <w:adjustRightInd w:val="0"/>
        <w:spacing w:after="0" w:line="240" w:lineRule="auto"/>
        <w:jc w:val="both"/>
        <w:rPr>
          <w:rFonts w:ascii="Times New Roman" w:eastAsia="Times New Roman" w:hAnsi="Times New Roman" w:cs="Times New Roman"/>
          <w:b/>
          <w:kern w:val="0"/>
          <w:sz w:val="24"/>
          <w:szCs w:val="24"/>
          <w:lang w:val="uk-UA" w:eastAsia="ru-RU"/>
          <w14:ligatures w14:val="none"/>
        </w:rPr>
      </w:pPr>
      <w:r>
        <w:rPr>
          <w:rFonts w:ascii="Times New Roman" w:eastAsia="Times New Roman" w:hAnsi="Times New Roman" w:cs="Times New Roman"/>
          <w:color w:val="000000"/>
          <w:kern w:val="0"/>
          <w:sz w:val="24"/>
          <w:szCs w:val="24"/>
          <w:lang w:val="uk-UA" w:eastAsia="ru-RU"/>
          <w14:ligatures w14:val="none"/>
        </w:rPr>
        <w:br w:type="column"/>
      </w:r>
      <w:r w:rsidR="00462322" w:rsidRPr="00B44B71">
        <w:rPr>
          <w:rFonts w:ascii="Times New Roman" w:eastAsia="Times New Roman" w:hAnsi="Times New Roman" w:cs="Times New Roman"/>
          <w:kern w:val="0"/>
          <w:sz w:val="23"/>
          <w:szCs w:val="23"/>
          <w:lang w:val="uk-UA" w:eastAsia="ru-RU"/>
          <w14:ligatures w14:val="none"/>
        </w:rPr>
        <w:lastRenderedPageBreak/>
        <w:t>ISSN:2617-1775</w:t>
      </w:r>
      <w:r w:rsidR="00462322" w:rsidRPr="00E4040F">
        <w:rPr>
          <w:rFonts w:ascii="Times New Roman" w:eastAsia="Calibri" w:hAnsi="Times New Roman" w:cs="Times New Roman"/>
          <w:b/>
          <w:kern w:val="0"/>
          <w:sz w:val="24"/>
          <w:szCs w:val="24"/>
          <w:lang w:val="uk-UA"/>
          <w14:ligatures w14:val="none"/>
        </w:rPr>
        <w:t xml:space="preserve"> </w:t>
      </w:r>
      <w:r w:rsidR="00462322" w:rsidRPr="00740AAF">
        <w:rPr>
          <w:rFonts w:ascii="Times New Roman" w:eastAsia="Calibri" w:hAnsi="Times New Roman" w:cs="Times New Roman"/>
          <w:b/>
          <w:kern w:val="0"/>
          <w:sz w:val="24"/>
          <w:szCs w:val="24"/>
          <w:lang w:val="uk-UA"/>
          <w14:ligatures w14:val="none"/>
        </w:rPr>
        <w:t xml:space="preserve">                                                               </w:t>
      </w:r>
      <w:r w:rsidR="00462322">
        <w:rPr>
          <w:rFonts w:ascii="Times New Roman" w:eastAsia="Calibri" w:hAnsi="Times New Roman" w:cs="Times New Roman"/>
          <w:b/>
          <w:kern w:val="0"/>
          <w:sz w:val="24"/>
          <w:szCs w:val="24"/>
          <w:lang w:val="uk-UA"/>
          <w14:ligatures w14:val="none"/>
        </w:rPr>
        <w:t xml:space="preserve">  </w:t>
      </w:r>
      <w:r w:rsidR="00BA5FBD">
        <w:rPr>
          <w:rFonts w:ascii="Times New Roman" w:eastAsia="Calibri" w:hAnsi="Times New Roman" w:cs="Times New Roman"/>
          <w:b/>
          <w:kern w:val="0"/>
          <w:sz w:val="24"/>
          <w:szCs w:val="24"/>
          <w:lang w:val="uk-UA"/>
          <w14:ligatures w14:val="none"/>
        </w:rPr>
        <w:t xml:space="preserve">  </w:t>
      </w:r>
      <w:r w:rsidR="008B31E1" w:rsidRPr="007B09E7">
        <w:rPr>
          <w:rFonts w:ascii="Times New Roman" w:eastAsia="Calibri" w:hAnsi="Times New Roman" w:cs="Times New Roman"/>
          <w:b/>
          <w:kern w:val="0"/>
          <w:sz w:val="24"/>
          <w:szCs w:val="24"/>
          <w:lang w:val="uk-UA"/>
          <w14:ligatures w14:val="none"/>
        </w:rPr>
        <w:t xml:space="preserve">                    </w:t>
      </w:r>
      <w:r w:rsidR="00462322" w:rsidRPr="0023456B">
        <w:rPr>
          <w:rFonts w:ascii="Times New Roman" w:eastAsia="Times New Roman" w:hAnsi="Times New Roman" w:cs="Times New Roman"/>
          <w:b/>
          <w:bCs/>
          <w:color w:val="000000"/>
          <w:kern w:val="0"/>
          <w:sz w:val="28"/>
          <w:szCs w:val="28"/>
          <w:lang w:val="uk-UA" w:eastAsia="uk-UA"/>
          <w14:ligatures w14:val="none"/>
        </w:rPr>
        <w:t xml:space="preserve">УДК </w:t>
      </w:r>
      <w:r w:rsidR="00BA5FBD" w:rsidRPr="00B44B71">
        <w:rPr>
          <w:rFonts w:ascii="Times New Roman" w:eastAsia="Times New Roman" w:hAnsi="Times New Roman" w:cs="Times New Roman"/>
          <w:b/>
          <w:kern w:val="0"/>
          <w:sz w:val="24"/>
          <w:szCs w:val="24"/>
          <w:lang w:val="uk-UA" w:eastAsia="ru-RU"/>
          <w14:ligatures w14:val="none"/>
        </w:rPr>
        <w:t>355.23:374.7:356.14</w:t>
      </w:r>
    </w:p>
    <w:p w14:paraId="26961079" w14:textId="0535C710" w:rsidR="00462322" w:rsidRPr="007B09E7" w:rsidRDefault="00462322" w:rsidP="00BA5FBD">
      <w:pPr>
        <w:shd w:val="clear" w:color="auto" w:fill="FFFFFF"/>
        <w:tabs>
          <w:tab w:val="left" w:pos="1134"/>
          <w:tab w:val="left" w:pos="9638"/>
        </w:tabs>
        <w:adjustRightInd w:val="0"/>
        <w:snapToGrid w:val="0"/>
        <w:spacing w:after="0" w:line="240" w:lineRule="auto"/>
        <w:rPr>
          <w:rFonts w:ascii="Times New Roman" w:eastAsia="Times New Roman" w:hAnsi="Times New Roman" w:cs="Times New Roman"/>
          <w:color w:val="0563C1"/>
          <w:kern w:val="0"/>
          <w:sz w:val="24"/>
          <w:szCs w:val="24"/>
          <w:u w:val="single"/>
          <w:lang w:val="uk-UA"/>
          <w14:ligatures w14:val="none"/>
        </w:rPr>
      </w:pPr>
      <w:r w:rsidRPr="00B44B71">
        <w:rPr>
          <w:rFonts w:ascii="Times New Roman" w:eastAsia="Times New Roman" w:hAnsi="Times New Roman" w:cs="Times New Roman"/>
          <w:kern w:val="0"/>
          <w:sz w:val="23"/>
          <w:szCs w:val="23"/>
          <w:lang w:val="uk-UA" w:eastAsia="ru-RU"/>
          <w14:ligatures w14:val="none"/>
        </w:rPr>
        <w:t>ISSN: 2617-1783 (online)</w:t>
      </w:r>
      <w:r w:rsidRPr="00740AAF">
        <w:rPr>
          <w:rFonts w:ascii="Times New Roman" w:eastAsia="Times New Roman" w:hAnsi="Times New Roman" w:cs="Times New Roman"/>
          <w:kern w:val="0"/>
          <w:sz w:val="23"/>
          <w:szCs w:val="23"/>
          <w:lang w:val="uk-UA" w:eastAsia="ru-RU"/>
          <w14:ligatures w14:val="none"/>
        </w:rPr>
        <w:t xml:space="preserve">                                             </w:t>
      </w:r>
      <w:r w:rsidR="008B31E1">
        <w:rPr>
          <w:rFonts w:ascii="Times New Roman" w:eastAsia="Times New Roman" w:hAnsi="Times New Roman" w:cs="Times New Roman"/>
          <w:kern w:val="0"/>
          <w:sz w:val="23"/>
          <w:szCs w:val="23"/>
          <w:lang w:val="uk-UA" w:eastAsia="ru-RU"/>
          <w14:ligatures w14:val="none"/>
        </w:rPr>
        <w:t xml:space="preserve">      </w:t>
      </w:r>
      <w:r>
        <w:rPr>
          <w:rFonts w:ascii="Times New Roman" w:eastAsia="Times New Roman" w:hAnsi="Times New Roman" w:cs="Times New Roman"/>
          <w:kern w:val="0"/>
          <w:sz w:val="23"/>
          <w:szCs w:val="23"/>
          <w:lang w:val="uk-UA" w:eastAsia="ru-RU"/>
          <w14:ligatures w14:val="none"/>
        </w:rPr>
        <w:t xml:space="preserve"> </w:t>
      </w:r>
      <w:r w:rsidRPr="00F96118">
        <w:rPr>
          <w:rFonts w:ascii="Times New Roman" w:eastAsia="Times New Roman" w:hAnsi="Times New Roman" w:cs="Times New Roman"/>
          <w:bCs/>
          <w:smallCaps/>
          <w:color w:val="000000"/>
          <w:kern w:val="0"/>
          <w:sz w:val="24"/>
          <w:szCs w:val="24"/>
          <w:lang w:eastAsia="ru-RU"/>
          <w14:ligatures w14:val="none"/>
        </w:rPr>
        <w:t>DOI</w:t>
      </w:r>
      <w:r w:rsidRPr="00F96118">
        <w:rPr>
          <w:rFonts w:ascii="Times New Roman" w:eastAsia="Times New Roman" w:hAnsi="Times New Roman" w:cs="Times New Roman"/>
          <w:bCs/>
          <w:smallCaps/>
          <w:color w:val="000000"/>
          <w:kern w:val="0"/>
          <w:sz w:val="24"/>
          <w:szCs w:val="24"/>
          <w:lang w:val="uk-UA" w:eastAsia="ru-RU"/>
          <w14:ligatures w14:val="none"/>
        </w:rPr>
        <w:t>: 10.33099/2617-1775/202</w:t>
      </w:r>
      <w:r>
        <w:rPr>
          <w:rFonts w:ascii="Times New Roman" w:eastAsia="Times New Roman" w:hAnsi="Times New Roman" w:cs="Times New Roman"/>
          <w:bCs/>
          <w:smallCaps/>
          <w:color w:val="000000"/>
          <w:kern w:val="0"/>
          <w:sz w:val="24"/>
          <w:szCs w:val="24"/>
          <w:lang w:val="uk-UA" w:eastAsia="ru-RU"/>
          <w14:ligatures w14:val="none"/>
        </w:rPr>
        <w:t>6</w:t>
      </w:r>
      <w:r w:rsidRPr="00F96118">
        <w:rPr>
          <w:rFonts w:ascii="Times New Roman" w:eastAsia="Times New Roman" w:hAnsi="Times New Roman" w:cs="Times New Roman"/>
          <w:bCs/>
          <w:smallCaps/>
          <w:color w:val="000000"/>
          <w:kern w:val="0"/>
          <w:sz w:val="24"/>
          <w:szCs w:val="24"/>
          <w:lang w:val="uk-UA" w:eastAsia="ru-RU"/>
          <w14:ligatures w14:val="none"/>
        </w:rPr>
        <w:t>-0</w:t>
      </w:r>
      <w:r>
        <w:rPr>
          <w:rFonts w:ascii="Times New Roman" w:eastAsia="Times New Roman" w:hAnsi="Times New Roman" w:cs="Times New Roman"/>
          <w:bCs/>
          <w:smallCaps/>
          <w:color w:val="000000"/>
          <w:kern w:val="0"/>
          <w:sz w:val="24"/>
          <w:szCs w:val="24"/>
          <w:lang w:val="uk-UA" w:eastAsia="ru-RU"/>
          <w14:ligatures w14:val="none"/>
        </w:rPr>
        <w:t>1</w:t>
      </w:r>
      <w:r w:rsidRPr="00F96118">
        <w:rPr>
          <w:rFonts w:ascii="Times New Roman" w:eastAsia="Times New Roman" w:hAnsi="Times New Roman" w:cs="Times New Roman"/>
          <w:bCs/>
          <w:smallCaps/>
          <w:color w:val="000000"/>
          <w:kern w:val="0"/>
          <w:sz w:val="24"/>
          <w:szCs w:val="24"/>
          <w:lang w:val="uk-UA" w:eastAsia="ru-RU"/>
          <w14:ligatures w14:val="none"/>
        </w:rPr>
        <w:t>/</w:t>
      </w:r>
      <w:r w:rsidR="008B31E1" w:rsidRPr="007B09E7">
        <w:rPr>
          <w:rFonts w:ascii="Times New Roman" w:eastAsia="Times New Roman" w:hAnsi="Times New Roman" w:cs="Times New Roman"/>
          <w:bCs/>
          <w:smallCaps/>
          <w:color w:val="000000"/>
          <w:kern w:val="0"/>
          <w:sz w:val="24"/>
          <w:szCs w:val="24"/>
          <w:lang w:val="uk-UA" w:eastAsia="ru-RU"/>
          <w14:ligatures w14:val="none"/>
        </w:rPr>
        <w:t>291-306</w:t>
      </w:r>
    </w:p>
    <w:p w14:paraId="431A8474" w14:textId="77777777" w:rsidR="00B44B71" w:rsidRPr="00B44B71" w:rsidRDefault="00B44B71" w:rsidP="00023291">
      <w:pPr>
        <w:widowControl w:val="0"/>
        <w:tabs>
          <w:tab w:val="left" w:pos="9638"/>
        </w:tabs>
        <w:autoSpaceDE w:val="0"/>
        <w:autoSpaceDN w:val="0"/>
        <w:adjustRightInd w:val="0"/>
        <w:spacing w:after="0" w:line="240" w:lineRule="auto"/>
        <w:jc w:val="both"/>
        <w:rPr>
          <w:rFonts w:ascii="Times New Roman" w:eastAsia="Times New Roman" w:hAnsi="Times New Roman" w:cs="Times New Roman"/>
          <w:b/>
          <w:kern w:val="0"/>
          <w:sz w:val="24"/>
          <w:szCs w:val="24"/>
          <w:lang w:val="uk-UA" w:eastAsia="ru-RU"/>
          <w14:ligatures w14:val="none"/>
        </w:rPr>
      </w:pPr>
    </w:p>
    <w:p w14:paraId="6B5827BC"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b/>
          <w:iCs/>
          <w:kern w:val="0"/>
          <w:sz w:val="24"/>
          <w:szCs w:val="24"/>
          <w:lang w:val="uk-UA" w:eastAsia="uk-UA"/>
          <w14:ligatures w14:val="none"/>
        </w:rPr>
      </w:pPr>
      <w:r w:rsidRPr="00B44B71">
        <w:rPr>
          <w:rFonts w:ascii="Times New Roman" w:eastAsia="Times New Roman" w:hAnsi="Times New Roman" w:cs="Times New Roman"/>
          <w:b/>
          <w:iCs/>
          <w:kern w:val="0"/>
          <w:sz w:val="24"/>
          <w:szCs w:val="24"/>
          <w:lang w:val="uk-UA" w:eastAsia="uk-UA"/>
          <w14:ligatures w14:val="none"/>
        </w:rPr>
        <w:t>Олег Фігура,</w:t>
      </w:r>
    </w:p>
    <w:p w14:paraId="2FF95015" w14:textId="33EB90FA" w:rsidR="00B44B71" w:rsidRPr="00B44B71" w:rsidRDefault="00B44B71" w:rsidP="00023291">
      <w:pPr>
        <w:tabs>
          <w:tab w:val="left" w:pos="9638"/>
        </w:tabs>
        <w:spacing w:after="0" w:line="240" w:lineRule="auto"/>
        <w:jc w:val="right"/>
        <w:rPr>
          <w:rFonts w:ascii="Times New Roman" w:eastAsia="Times New Roman" w:hAnsi="Times New Roman" w:cs="Times New Roman"/>
          <w:iCs/>
          <w:kern w:val="0"/>
          <w:sz w:val="24"/>
          <w:szCs w:val="24"/>
          <w:lang w:val="uk-UA" w:eastAsia="uk-UA"/>
          <w14:ligatures w14:val="none"/>
        </w:rPr>
      </w:pPr>
      <w:r w:rsidRPr="00B44B71">
        <w:rPr>
          <w:rFonts w:ascii="Times New Roman" w:eastAsia="Times New Roman" w:hAnsi="Times New Roman" w:cs="Times New Roman"/>
          <w:b/>
          <w:iCs/>
          <w:kern w:val="0"/>
          <w:sz w:val="24"/>
          <w:szCs w:val="24"/>
          <w:lang w:val="uk-UA" w:eastAsia="uk-UA"/>
          <w14:ligatures w14:val="none"/>
        </w:rPr>
        <w:t xml:space="preserve"> </w:t>
      </w:r>
      <w:r w:rsidRPr="00B44B71">
        <w:rPr>
          <w:rFonts w:ascii="Times New Roman" w:eastAsia="Times New Roman" w:hAnsi="Times New Roman" w:cs="Times New Roman"/>
          <w:iCs/>
          <w:kern w:val="0"/>
          <w:sz w:val="24"/>
          <w:szCs w:val="24"/>
          <w:lang w:val="uk-UA" w:eastAsia="uk-UA"/>
          <w14:ligatures w14:val="none"/>
        </w:rPr>
        <w:t>кан</w:t>
      </w:r>
      <w:r w:rsidR="00B15B58">
        <w:rPr>
          <w:rFonts w:ascii="Times New Roman" w:eastAsia="Times New Roman" w:hAnsi="Times New Roman" w:cs="Times New Roman"/>
          <w:iCs/>
          <w:kern w:val="0"/>
          <w:sz w:val="24"/>
          <w:szCs w:val="24"/>
          <w:lang w:val="uk-UA" w:eastAsia="uk-UA"/>
          <w14:ligatures w14:val="none"/>
        </w:rPr>
        <w:t>дидат педагогічних наук, доцент</w:t>
      </w:r>
    </w:p>
    <w:p w14:paraId="0A8207FB" w14:textId="127FDA56" w:rsidR="00B44B71" w:rsidRPr="00B44B71" w:rsidRDefault="00B44B71" w:rsidP="00023291">
      <w:pPr>
        <w:tabs>
          <w:tab w:val="left" w:pos="9638"/>
        </w:tabs>
        <w:spacing w:after="0" w:line="240" w:lineRule="auto"/>
        <w:jc w:val="right"/>
        <w:rPr>
          <w:rFonts w:ascii="Times New Roman" w:eastAsia="Times New Roman" w:hAnsi="Times New Roman" w:cs="Times New Roman"/>
          <w:iCs/>
          <w:kern w:val="0"/>
          <w:sz w:val="24"/>
          <w:szCs w:val="24"/>
          <w:lang w:val="uk-UA" w:eastAsia="uk-UA"/>
          <w14:ligatures w14:val="none"/>
        </w:rPr>
      </w:pPr>
      <w:r w:rsidRPr="00B44B71">
        <w:rPr>
          <w:rFonts w:ascii="Times New Roman" w:eastAsia="Times New Roman" w:hAnsi="Times New Roman" w:cs="Times New Roman"/>
          <w:iCs/>
          <w:kern w:val="0"/>
          <w:sz w:val="24"/>
          <w:szCs w:val="24"/>
          <w:lang w:val="uk-UA" w:eastAsia="uk-UA"/>
          <w14:ligatures w14:val="none"/>
        </w:rPr>
        <w:t xml:space="preserve"> Адміністрація Державної прикордонної служби України, м. К</w:t>
      </w:r>
      <w:r w:rsidR="00B15B58">
        <w:rPr>
          <w:rFonts w:ascii="Times New Roman" w:eastAsia="Times New Roman" w:hAnsi="Times New Roman" w:cs="Times New Roman"/>
          <w:iCs/>
          <w:kern w:val="0"/>
          <w:sz w:val="24"/>
          <w:szCs w:val="24"/>
          <w:lang w:val="uk-UA" w:eastAsia="uk-UA"/>
          <w14:ligatures w14:val="none"/>
        </w:rPr>
        <w:t>иїв</w:t>
      </w:r>
    </w:p>
    <w:p w14:paraId="3978CD33"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iCs/>
          <w:kern w:val="0"/>
          <w:sz w:val="24"/>
          <w:szCs w:val="24"/>
          <w:lang w:val="uk-UA" w:eastAsia="uk-UA"/>
          <w14:ligatures w14:val="none"/>
        </w:rPr>
      </w:pPr>
      <w:r w:rsidRPr="00B44B71">
        <w:rPr>
          <w:rFonts w:ascii="Times New Roman" w:eastAsia="Times New Roman" w:hAnsi="Times New Roman" w:cs="Times New Roman"/>
          <w:iCs/>
          <w:kern w:val="0"/>
          <w:sz w:val="24"/>
          <w:szCs w:val="24"/>
          <w:lang w:val="uk-UA" w:eastAsia="uk-UA"/>
          <w14:ligatures w14:val="none"/>
        </w:rPr>
        <w:t xml:space="preserve"> </w:t>
      </w:r>
      <w:hyperlink r:id="rId377" w:history="1">
        <w:r w:rsidRPr="00B44B71">
          <w:rPr>
            <w:rFonts w:ascii="Times New Roman" w:eastAsia="Times New Roman" w:hAnsi="Times New Roman" w:cs="Times New Roman"/>
            <w:iCs/>
            <w:color w:val="0000FF"/>
            <w:kern w:val="0"/>
            <w:sz w:val="24"/>
            <w:szCs w:val="24"/>
            <w:u w:val="single"/>
            <w:lang w:eastAsia="uk-UA"/>
            <w14:ligatures w14:val="none"/>
          </w:rPr>
          <w:t>https</w:t>
        </w:r>
        <w:r w:rsidRPr="00B44B71">
          <w:rPr>
            <w:rFonts w:ascii="Times New Roman" w:eastAsia="Times New Roman" w:hAnsi="Times New Roman" w:cs="Times New Roman"/>
            <w:iCs/>
            <w:color w:val="0000FF"/>
            <w:kern w:val="0"/>
            <w:sz w:val="24"/>
            <w:szCs w:val="24"/>
            <w:u w:val="single"/>
            <w:lang w:val="uk-UA" w:eastAsia="uk-UA"/>
            <w14:ligatures w14:val="none"/>
          </w:rPr>
          <w:t>://orcid.</w:t>
        </w:r>
        <w:r w:rsidRPr="00B44B71">
          <w:rPr>
            <w:rFonts w:ascii="Times New Roman" w:eastAsia="Times New Roman" w:hAnsi="Times New Roman" w:cs="Times New Roman"/>
            <w:iCs/>
            <w:color w:val="0000FF"/>
            <w:kern w:val="0"/>
            <w:sz w:val="24"/>
            <w:szCs w:val="24"/>
            <w:u w:val="single"/>
            <w:lang w:eastAsia="uk-UA"/>
            <w14:ligatures w14:val="none"/>
          </w:rPr>
          <w:t>org</w:t>
        </w:r>
        <w:r w:rsidRPr="00B44B71">
          <w:rPr>
            <w:rFonts w:ascii="Times New Roman" w:eastAsia="Times New Roman" w:hAnsi="Times New Roman" w:cs="Times New Roman"/>
            <w:iCs/>
            <w:color w:val="0000FF"/>
            <w:kern w:val="0"/>
            <w:sz w:val="24"/>
            <w:szCs w:val="24"/>
            <w:u w:val="single"/>
            <w:lang w:val="uk-UA" w:eastAsia="uk-UA"/>
            <w14:ligatures w14:val="none"/>
          </w:rPr>
          <w:t>/0000-0002-2802-0877</w:t>
        </w:r>
      </w:hyperlink>
    </w:p>
    <w:p w14:paraId="6A64ED06"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b/>
          <w:kern w:val="0"/>
          <w:sz w:val="24"/>
          <w:szCs w:val="24"/>
          <w:lang w:val="uk-UA" w:eastAsia="ru-RU"/>
          <w14:ligatures w14:val="none"/>
        </w:rPr>
      </w:pPr>
      <w:r w:rsidRPr="00B44B71">
        <w:rPr>
          <w:rFonts w:ascii="Times New Roman" w:eastAsia="Times New Roman" w:hAnsi="Times New Roman" w:cs="Times New Roman"/>
          <w:b/>
          <w:kern w:val="0"/>
          <w:sz w:val="24"/>
          <w:szCs w:val="24"/>
          <w:lang w:val="uk-UA" w:eastAsia="ru-RU"/>
          <w14:ligatures w14:val="none"/>
        </w:rPr>
        <w:t xml:space="preserve">Богдан Коваль, </w:t>
      </w:r>
    </w:p>
    <w:p w14:paraId="3CE5F4AB" w14:textId="5079479A" w:rsidR="00B44B71" w:rsidRPr="00B44B71" w:rsidRDefault="00B44B71" w:rsidP="00023291">
      <w:pPr>
        <w:tabs>
          <w:tab w:val="left" w:pos="9638"/>
        </w:tabs>
        <w:spacing w:after="0" w:line="240" w:lineRule="auto"/>
        <w:jc w:val="right"/>
        <w:rPr>
          <w:rFonts w:ascii="Times New Roman" w:eastAsia="Times New Roman" w:hAnsi="Times New Roman" w:cs="Times New Roman"/>
          <w:iCs/>
          <w:kern w:val="0"/>
          <w:sz w:val="24"/>
          <w:szCs w:val="24"/>
          <w:lang w:val="uk-UA" w:eastAsia="uk-UA"/>
          <w14:ligatures w14:val="none"/>
        </w:rPr>
      </w:pPr>
      <w:r w:rsidRPr="00B44B71">
        <w:rPr>
          <w:rFonts w:ascii="Times New Roman" w:eastAsia="Times New Roman" w:hAnsi="Times New Roman" w:cs="Times New Roman"/>
          <w:iCs/>
          <w:kern w:val="0"/>
          <w:sz w:val="24"/>
          <w:szCs w:val="24"/>
          <w:lang w:val="uk-UA" w:eastAsia="uk-UA"/>
          <w14:ligatures w14:val="none"/>
        </w:rPr>
        <w:t>Адміністрація Державної прико</w:t>
      </w:r>
      <w:r w:rsidR="00B15B58">
        <w:rPr>
          <w:rFonts w:ascii="Times New Roman" w:eastAsia="Times New Roman" w:hAnsi="Times New Roman" w:cs="Times New Roman"/>
          <w:iCs/>
          <w:kern w:val="0"/>
          <w:sz w:val="24"/>
          <w:szCs w:val="24"/>
          <w:lang w:val="uk-UA" w:eastAsia="uk-UA"/>
          <w14:ligatures w14:val="none"/>
        </w:rPr>
        <w:t>рдонної служби України, м. Київ</w:t>
      </w:r>
      <w:r w:rsidRPr="00B44B71">
        <w:rPr>
          <w:rFonts w:ascii="Times New Roman" w:eastAsia="Times New Roman" w:hAnsi="Times New Roman" w:cs="Times New Roman"/>
          <w:iCs/>
          <w:kern w:val="0"/>
          <w:sz w:val="24"/>
          <w:szCs w:val="24"/>
          <w:lang w:val="uk-UA" w:eastAsia="uk-UA"/>
          <w14:ligatures w14:val="none"/>
        </w:rPr>
        <w:t xml:space="preserve"> </w:t>
      </w:r>
    </w:p>
    <w:p w14:paraId="5CE816C4"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kern w:val="0"/>
          <w:sz w:val="24"/>
          <w:szCs w:val="24"/>
          <w:lang w:val="uk-UA" w:eastAsia="ru-RU"/>
          <w14:ligatures w14:val="none"/>
        </w:rPr>
      </w:pPr>
      <w:hyperlink r:id="rId378" w:history="1">
        <w:r w:rsidRPr="00B44B71">
          <w:rPr>
            <w:rFonts w:ascii="Times New Roman" w:eastAsia="Times New Roman" w:hAnsi="Times New Roman" w:cs="Times New Roman"/>
            <w:iCs/>
            <w:color w:val="0000FF"/>
            <w:kern w:val="0"/>
            <w:sz w:val="24"/>
            <w:szCs w:val="24"/>
            <w:u w:val="single"/>
            <w:lang w:eastAsia="uk-UA"/>
            <w14:ligatures w14:val="none"/>
          </w:rPr>
          <w:t>https</w:t>
        </w:r>
        <w:r w:rsidRPr="00B44B71">
          <w:rPr>
            <w:rFonts w:ascii="Times New Roman" w:eastAsia="Times New Roman" w:hAnsi="Times New Roman" w:cs="Times New Roman"/>
            <w:iCs/>
            <w:color w:val="0000FF"/>
            <w:kern w:val="0"/>
            <w:sz w:val="24"/>
            <w:szCs w:val="24"/>
            <w:u w:val="single"/>
            <w:lang w:val="uk-UA" w:eastAsia="uk-UA"/>
            <w14:ligatures w14:val="none"/>
          </w:rPr>
          <w:t>://orcid.</w:t>
        </w:r>
        <w:r w:rsidRPr="00B44B71">
          <w:rPr>
            <w:rFonts w:ascii="Times New Roman" w:eastAsia="Times New Roman" w:hAnsi="Times New Roman" w:cs="Times New Roman"/>
            <w:iCs/>
            <w:color w:val="0000FF"/>
            <w:kern w:val="0"/>
            <w:sz w:val="24"/>
            <w:szCs w:val="24"/>
            <w:u w:val="single"/>
            <w:lang w:eastAsia="uk-UA"/>
            <w14:ligatures w14:val="none"/>
          </w:rPr>
          <w:t>org</w:t>
        </w:r>
        <w:r w:rsidRPr="00B44B71">
          <w:rPr>
            <w:rFonts w:ascii="Times New Roman" w:eastAsia="Times New Roman" w:hAnsi="Times New Roman" w:cs="Times New Roman"/>
            <w:iCs/>
            <w:color w:val="0000FF"/>
            <w:kern w:val="0"/>
            <w:sz w:val="24"/>
            <w:szCs w:val="24"/>
            <w:u w:val="single"/>
            <w:lang w:val="uk-UA" w:eastAsia="uk-UA"/>
            <w14:ligatures w14:val="none"/>
          </w:rPr>
          <w:t>/</w:t>
        </w:r>
        <w:r w:rsidRPr="00B44B71">
          <w:rPr>
            <w:rFonts w:ascii="Times New Roman" w:eastAsia="Times New Roman" w:hAnsi="Times New Roman" w:cs="Times New Roman"/>
            <w:color w:val="0000FF"/>
            <w:kern w:val="0"/>
            <w:sz w:val="24"/>
            <w:szCs w:val="24"/>
            <w:u w:val="single"/>
            <w:lang w:val="uk-UA" w:eastAsia="ru-RU"/>
            <w14:ligatures w14:val="none"/>
          </w:rPr>
          <w:t>0000-0001-9758-4273</w:t>
        </w:r>
      </w:hyperlink>
    </w:p>
    <w:p w14:paraId="4EBE4474" w14:textId="77777777" w:rsidR="00B44B71" w:rsidRPr="00B44B71" w:rsidRDefault="00B44B71" w:rsidP="00023291">
      <w:pPr>
        <w:tabs>
          <w:tab w:val="left" w:pos="1080"/>
          <w:tab w:val="left" w:pos="9638"/>
        </w:tabs>
        <w:spacing w:after="0" w:line="240" w:lineRule="auto"/>
        <w:jc w:val="right"/>
        <w:rPr>
          <w:rFonts w:ascii="Times New Roman" w:eastAsia="Calibri" w:hAnsi="Times New Roman" w:cs="Times New Roman"/>
          <w:b/>
          <w:bCs/>
          <w:kern w:val="0"/>
          <w:sz w:val="24"/>
          <w:szCs w:val="24"/>
          <w:lang w:val="uk-UA"/>
          <w14:ligatures w14:val="none"/>
        </w:rPr>
      </w:pPr>
      <w:r w:rsidRPr="00B44B71">
        <w:rPr>
          <w:rFonts w:ascii="Times New Roman" w:eastAsia="Calibri" w:hAnsi="Times New Roman" w:cs="Times New Roman"/>
          <w:b/>
          <w:bCs/>
          <w:kern w:val="0"/>
          <w:sz w:val="24"/>
          <w:szCs w:val="24"/>
          <w:lang w:val="uk-UA"/>
          <w14:ligatures w14:val="none"/>
        </w:rPr>
        <w:t>Ірина Боровик,</w:t>
      </w:r>
    </w:p>
    <w:p w14:paraId="7454FB84" w14:textId="7D7FCEE5" w:rsidR="00B44B71" w:rsidRPr="00B44B71" w:rsidRDefault="00B44B71" w:rsidP="00023291">
      <w:pPr>
        <w:tabs>
          <w:tab w:val="left" w:pos="1080"/>
          <w:tab w:val="left" w:pos="9638"/>
        </w:tabs>
        <w:spacing w:after="0" w:line="240" w:lineRule="auto"/>
        <w:jc w:val="right"/>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b/>
          <w:bCs/>
          <w:kern w:val="0"/>
          <w:sz w:val="24"/>
          <w:szCs w:val="24"/>
          <w:lang w:val="uk-UA"/>
          <w14:ligatures w14:val="none"/>
        </w:rPr>
        <w:t xml:space="preserve"> </w:t>
      </w:r>
      <w:r w:rsidRPr="00B44B71">
        <w:rPr>
          <w:rFonts w:ascii="Times New Roman" w:eastAsia="Calibri" w:hAnsi="Times New Roman" w:cs="Times New Roman"/>
          <w:kern w:val="0"/>
          <w:sz w:val="24"/>
          <w:szCs w:val="24"/>
          <w:lang w:val="uk-UA"/>
          <w14:ligatures w14:val="none"/>
        </w:rPr>
        <w:t>докто</w:t>
      </w:r>
      <w:r w:rsidR="00B15B58">
        <w:rPr>
          <w:rFonts w:ascii="Times New Roman" w:eastAsia="Calibri" w:hAnsi="Times New Roman" w:cs="Times New Roman"/>
          <w:kern w:val="0"/>
          <w:sz w:val="24"/>
          <w:szCs w:val="24"/>
          <w:lang w:val="uk-UA"/>
          <w14:ligatures w14:val="none"/>
        </w:rPr>
        <w:t>р філософії (Філологія), доцент</w:t>
      </w:r>
      <w:r w:rsidRPr="00B44B71">
        <w:rPr>
          <w:rFonts w:ascii="Times New Roman" w:eastAsia="Calibri" w:hAnsi="Times New Roman" w:cs="Times New Roman"/>
          <w:kern w:val="0"/>
          <w:sz w:val="24"/>
          <w:szCs w:val="24"/>
          <w:lang w:val="uk-UA"/>
          <w14:ligatures w14:val="none"/>
        </w:rPr>
        <w:t xml:space="preserve"> </w:t>
      </w:r>
    </w:p>
    <w:p w14:paraId="7B41EDF0" w14:textId="77777777" w:rsidR="00B44B71" w:rsidRPr="00B44B71" w:rsidRDefault="00B44B71" w:rsidP="00023291">
      <w:pPr>
        <w:tabs>
          <w:tab w:val="left" w:pos="1080"/>
          <w:tab w:val="left" w:pos="9638"/>
        </w:tabs>
        <w:spacing w:after="0" w:line="240" w:lineRule="auto"/>
        <w:jc w:val="right"/>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iCs/>
          <w:kern w:val="0"/>
          <w:sz w:val="24"/>
          <w:szCs w:val="24"/>
          <w:lang w:val="uk-UA"/>
          <w14:ligatures w14:val="none"/>
        </w:rPr>
        <w:t xml:space="preserve">Національна академія </w:t>
      </w:r>
      <w:r w:rsidRPr="00B44B71">
        <w:rPr>
          <w:rFonts w:ascii="Times New Roman" w:eastAsia="Calibri" w:hAnsi="Times New Roman" w:cs="Times New Roman"/>
          <w:kern w:val="0"/>
          <w:sz w:val="24"/>
          <w:szCs w:val="24"/>
          <w:lang w:val="uk-UA"/>
          <w14:ligatures w14:val="none"/>
        </w:rPr>
        <w:t>Державної прикордонної служби України</w:t>
      </w:r>
    </w:p>
    <w:p w14:paraId="2B51FB1D" w14:textId="1895D5DF" w:rsidR="00B44B71" w:rsidRPr="00B44B71" w:rsidRDefault="00B44B71" w:rsidP="00023291">
      <w:pPr>
        <w:tabs>
          <w:tab w:val="left" w:pos="1080"/>
          <w:tab w:val="left" w:pos="9638"/>
        </w:tabs>
        <w:spacing w:after="0" w:line="240" w:lineRule="auto"/>
        <w:jc w:val="right"/>
        <w:rPr>
          <w:rFonts w:ascii="Times New Roman" w:eastAsia="Calibri" w:hAnsi="Times New Roman" w:cs="Times New Roman"/>
          <w:kern w:val="0"/>
          <w:sz w:val="24"/>
          <w:szCs w:val="24"/>
          <w:lang w:val="uk-UA"/>
          <w14:ligatures w14:val="none"/>
        </w:rPr>
      </w:pPr>
      <w:r w:rsidRPr="00B44B71">
        <w:rPr>
          <w:rFonts w:ascii="Times New Roman" w:eastAsia="Calibri" w:hAnsi="Times New Roman" w:cs="Times New Roman"/>
          <w:kern w:val="0"/>
          <w:sz w:val="24"/>
          <w:szCs w:val="24"/>
          <w:lang w:val="uk-UA"/>
          <w14:ligatures w14:val="none"/>
        </w:rPr>
        <w:t xml:space="preserve"> </w:t>
      </w:r>
      <w:r w:rsidRPr="00B44B71">
        <w:rPr>
          <w:rFonts w:ascii="Times New Roman" w:eastAsia="Calibri" w:hAnsi="Times New Roman" w:cs="Times New Roman"/>
          <w:iCs/>
          <w:kern w:val="0"/>
          <w:sz w:val="24"/>
          <w:szCs w:val="24"/>
          <w:lang w:val="uk-UA"/>
          <w14:ligatures w14:val="none"/>
        </w:rPr>
        <w:t xml:space="preserve">імені Богдана </w:t>
      </w:r>
      <w:r w:rsidR="00B15B58">
        <w:rPr>
          <w:rFonts w:ascii="Times New Roman" w:eastAsia="Calibri" w:hAnsi="Times New Roman" w:cs="Times New Roman"/>
          <w:kern w:val="0"/>
          <w:sz w:val="24"/>
          <w:szCs w:val="24"/>
          <w:lang w:val="uk-UA"/>
          <w14:ligatures w14:val="none"/>
        </w:rPr>
        <w:t>Хмельницького, м. Хмельницький,</w:t>
      </w:r>
    </w:p>
    <w:p w14:paraId="031B42CF" w14:textId="77777777" w:rsidR="00B44B71" w:rsidRPr="00B44B71" w:rsidRDefault="00B44B71" w:rsidP="00023291">
      <w:pPr>
        <w:tabs>
          <w:tab w:val="left" w:pos="1080"/>
          <w:tab w:val="left" w:pos="9638"/>
        </w:tabs>
        <w:spacing w:after="0" w:line="240" w:lineRule="auto"/>
        <w:jc w:val="right"/>
        <w:rPr>
          <w:rFonts w:ascii="Times New Roman" w:eastAsia="Calibri" w:hAnsi="Times New Roman" w:cs="Times New Roman"/>
          <w:kern w:val="0"/>
          <w:sz w:val="24"/>
          <w:szCs w:val="24"/>
          <w:lang w:val="uk-UA"/>
          <w14:ligatures w14:val="none"/>
        </w:rPr>
      </w:pPr>
      <w:hyperlink r:id="rId379" w:history="1">
        <w:r w:rsidRPr="00B44B71">
          <w:rPr>
            <w:rFonts w:ascii="Times New Roman" w:eastAsia="Calibri" w:hAnsi="Times New Roman" w:cs="Times New Roman"/>
            <w:color w:val="0000FF"/>
            <w:kern w:val="0"/>
            <w:sz w:val="24"/>
            <w:szCs w:val="24"/>
            <w:u w:val="single"/>
            <w:lang w:val="uk-UA"/>
            <w14:ligatures w14:val="none"/>
          </w:rPr>
          <w:t>https://orcid.org/0000-0002-3209-9119</w:t>
        </w:r>
      </w:hyperlink>
    </w:p>
    <w:p w14:paraId="47DEA650"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b/>
          <w:iCs/>
          <w:kern w:val="0"/>
          <w:sz w:val="24"/>
          <w:szCs w:val="24"/>
          <w:lang w:val="uk-UA" w:eastAsia="uk-UA"/>
          <w14:ligatures w14:val="none"/>
        </w:rPr>
      </w:pPr>
      <w:r w:rsidRPr="00B44B71">
        <w:rPr>
          <w:rFonts w:ascii="Times New Roman" w:eastAsia="Times New Roman" w:hAnsi="Times New Roman" w:cs="Times New Roman"/>
          <w:b/>
          <w:iCs/>
          <w:kern w:val="0"/>
          <w:sz w:val="24"/>
          <w:szCs w:val="24"/>
          <w:lang w:val="uk-UA" w:eastAsia="uk-UA"/>
          <w14:ligatures w14:val="none"/>
        </w:rPr>
        <w:t>Олег Боровик,</w:t>
      </w:r>
    </w:p>
    <w:p w14:paraId="439F1DDC" w14:textId="2B7E8178" w:rsidR="00B44B71" w:rsidRPr="00B44B71" w:rsidRDefault="00B44B71" w:rsidP="00023291">
      <w:pPr>
        <w:tabs>
          <w:tab w:val="left" w:pos="9638"/>
        </w:tabs>
        <w:spacing w:after="0" w:line="240" w:lineRule="auto"/>
        <w:jc w:val="right"/>
        <w:rPr>
          <w:rFonts w:ascii="Times New Roman" w:eastAsia="Times New Roman" w:hAnsi="Times New Roman" w:cs="Times New Roman"/>
          <w:iCs/>
          <w:kern w:val="0"/>
          <w:sz w:val="24"/>
          <w:szCs w:val="24"/>
          <w:lang w:val="uk-UA" w:eastAsia="uk-UA"/>
          <w14:ligatures w14:val="none"/>
        </w:rPr>
      </w:pPr>
      <w:r w:rsidRPr="00B44B71">
        <w:rPr>
          <w:rFonts w:ascii="Times New Roman" w:eastAsia="Times New Roman" w:hAnsi="Times New Roman" w:cs="Times New Roman"/>
          <w:b/>
          <w:iCs/>
          <w:kern w:val="0"/>
          <w:sz w:val="24"/>
          <w:szCs w:val="24"/>
          <w:lang w:val="uk-UA" w:eastAsia="uk-UA"/>
          <w14:ligatures w14:val="none"/>
        </w:rPr>
        <w:t xml:space="preserve"> </w:t>
      </w:r>
      <w:r w:rsidR="00B15B58">
        <w:rPr>
          <w:rFonts w:ascii="Times New Roman" w:eastAsia="Times New Roman" w:hAnsi="Times New Roman" w:cs="Times New Roman"/>
          <w:iCs/>
          <w:kern w:val="0"/>
          <w:sz w:val="24"/>
          <w:szCs w:val="24"/>
          <w:lang w:val="uk-UA" w:eastAsia="uk-UA"/>
          <w14:ligatures w14:val="none"/>
        </w:rPr>
        <w:t>доктор технічних наук, професор</w:t>
      </w:r>
    </w:p>
    <w:p w14:paraId="4A4966C0" w14:textId="2F39ACAA" w:rsidR="00B44B71" w:rsidRPr="00B44B71" w:rsidRDefault="00B44B71" w:rsidP="00023291">
      <w:pPr>
        <w:tabs>
          <w:tab w:val="left" w:pos="9638"/>
        </w:tabs>
        <w:spacing w:after="0" w:line="240" w:lineRule="auto"/>
        <w:jc w:val="right"/>
        <w:rPr>
          <w:rFonts w:ascii="Times New Roman" w:eastAsia="Times New Roman" w:hAnsi="Times New Roman" w:cs="Times New Roman"/>
          <w:iCs/>
          <w:kern w:val="0"/>
          <w:sz w:val="24"/>
          <w:szCs w:val="24"/>
          <w:lang w:val="uk-UA" w:eastAsia="uk-UA"/>
          <w14:ligatures w14:val="none"/>
        </w:rPr>
      </w:pPr>
      <w:r w:rsidRPr="00B44B71">
        <w:rPr>
          <w:rFonts w:ascii="Times New Roman" w:eastAsia="Times New Roman" w:hAnsi="Times New Roman" w:cs="Times New Roman"/>
          <w:iCs/>
          <w:kern w:val="0"/>
          <w:sz w:val="24"/>
          <w:szCs w:val="24"/>
          <w:lang w:val="uk-UA" w:eastAsia="uk-UA"/>
          <w14:ligatures w14:val="none"/>
        </w:rPr>
        <w:t xml:space="preserve"> Адміністрація Державної прикордонної служби України, м. Київ</w:t>
      </w:r>
    </w:p>
    <w:p w14:paraId="7CF7A7D1" w14:textId="77777777" w:rsidR="00B44B71" w:rsidRDefault="00B44B71" w:rsidP="00023291">
      <w:pPr>
        <w:tabs>
          <w:tab w:val="left" w:pos="9638"/>
        </w:tabs>
        <w:spacing w:after="0" w:line="240" w:lineRule="auto"/>
        <w:jc w:val="right"/>
        <w:rPr>
          <w:lang w:val="uk-UA"/>
        </w:rPr>
      </w:pPr>
      <w:r w:rsidRPr="00B44B71">
        <w:rPr>
          <w:rFonts w:ascii="Times New Roman" w:eastAsia="Times New Roman" w:hAnsi="Times New Roman" w:cs="Times New Roman"/>
          <w:iCs/>
          <w:kern w:val="0"/>
          <w:sz w:val="24"/>
          <w:szCs w:val="24"/>
          <w:lang w:val="uk-UA" w:eastAsia="uk-UA"/>
          <w14:ligatures w14:val="none"/>
        </w:rPr>
        <w:t xml:space="preserve"> </w:t>
      </w:r>
      <w:hyperlink r:id="rId380" w:history="1">
        <w:r w:rsidRPr="00B44B71">
          <w:rPr>
            <w:rFonts w:ascii="Times New Roman" w:eastAsia="Times New Roman" w:hAnsi="Times New Roman" w:cs="Times New Roman"/>
            <w:iCs/>
            <w:color w:val="0000FF"/>
            <w:kern w:val="0"/>
            <w:sz w:val="24"/>
            <w:szCs w:val="24"/>
            <w:u w:val="single"/>
            <w:lang w:val="uk-UA" w:eastAsia="uk-UA"/>
            <w14:ligatures w14:val="none"/>
          </w:rPr>
          <w:t>https://orcid.org/</w:t>
        </w:r>
        <w:r w:rsidRPr="00B44B71">
          <w:rPr>
            <w:rFonts w:ascii="Times New Roman" w:eastAsia="Times New Roman" w:hAnsi="Times New Roman" w:cs="Times New Roman"/>
            <w:color w:val="0000FF"/>
            <w:kern w:val="0"/>
            <w:sz w:val="24"/>
            <w:szCs w:val="24"/>
            <w:u w:val="single"/>
            <w:lang w:val="uk-UA" w:eastAsia="ru-RU"/>
            <w14:ligatures w14:val="none"/>
          </w:rPr>
          <w:t>0000-0003-3691-662X</w:t>
        </w:r>
      </w:hyperlink>
    </w:p>
    <w:p w14:paraId="5194F520" w14:textId="77777777" w:rsidR="00B8709F" w:rsidRPr="00F96118" w:rsidRDefault="00B8709F" w:rsidP="00023291">
      <w:pPr>
        <w:tabs>
          <w:tab w:val="left" w:pos="993"/>
          <w:tab w:val="left" w:pos="9638"/>
        </w:tabs>
        <w:spacing w:after="0" w:line="240" w:lineRule="auto"/>
        <w:jc w:val="right"/>
        <w:rPr>
          <w:rFonts w:ascii="Times New Roman" w:eastAsia="Calibri" w:hAnsi="Times New Roman" w:cs="Times New Roman"/>
          <w:kern w:val="0"/>
          <w:sz w:val="28"/>
          <w:szCs w:val="28"/>
          <w:lang w:val="uk-UA"/>
          <w14:ligatures w14:val="none"/>
        </w:rPr>
      </w:pPr>
    </w:p>
    <w:p w14:paraId="1AEF79EE" w14:textId="77777777" w:rsidR="00B44B71" w:rsidRPr="00B44B71" w:rsidRDefault="00B44B71" w:rsidP="00023291">
      <w:pPr>
        <w:tabs>
          <w:tab w:val="left" w:pos="9638"/>
        </w:tabs>
        <w:spacing w:after="0" w:line="240" w:lineRule="auto"/>
        <w:contextualSpacing/>
        <w:jc w:val="center"/>
        <w:rPr>
          <w:rFonts w:ascii="Times New Roman" w:eastAsia="Calibri" w:hAnsi="Times New Roman" w:cs="Times New Roman"/>
          <w:b/>
          <w:kern w:val="0"/>
          <w:sz w:val="24"/>
          <w:szCs w:val="24"/>
          <w:lang w:val="uk-UA"/>
          <w14:ligatures w14:val="none"/>
        </w:rPr>
      </w:pPr>
      <w:r w:rsidRPr="00B44B71">
        <w:rPr>
          <w:rFonts w:ascii="Times New Roman" w:eastAsia="Calibri" w:hAnsi="Times New Roman" w:cs="Times New Roman"/>
          <w:b/>
          <w:kern w:val="0"/>
          <w:sz w:val="24"/>
          <w:szCs w:val="24"/>
          <w:lang w:val="uk-UA"/>
          <w14:ligatures w14:val="none"/>
        </w:rPr>
        <w:t>МОДЕЛЬ РЕАЛІЗАЦІЇ ПРИНЦИПУ «ОСВІТА ВПРОДОВЖ ВІЙСЬКОВОЇ КАР’ЄРИ» ДЛЯ ОСНОВНИХ ТИПОВИХ ПОСАД ОФІЦЕРСЬКОГО СКЛАДУ ДЕРЖАВНОЇ ПРИКОРДОННОЇ СЛУЖБИ УКРАЇНИ</w:t>
      </w:r>
    </w:p>
    <w:p w14:paraId="702557CE" w14:textId="77777777" w:rsidR="00B44B71" w:rsidRPr="00B44B71" w:rsidRDefault="00B44B71" w:rsidP="00023291">
      <w:pPr>
        <w:tabs>
          <w:tab w:val="left" w:pos="9638"/>
        </w:tabs>
        <w:spacing w:after="0" w:line="240" w:lineRule="auto"/>
        <w:contextualSpacing/>
        <w:jc w:val="center"/>
        <w:rPr>
          <w:rFonts w:ascii="Times New Roman" w:eastAsia="Calibri" w:hAnsi="Times New Roman" w:cs="Times New Roman"/>
          <w:b/>
          <w:caps/>
          <w:kern w:val="0"/>
          <w:sz w:val="24"/>
          <w:szCs w:val="24"/>
          <w:lang w:val="uk-UA"/>
          <w14:ligatures w14:val="none"/>
        </w:rPr>
      </w:pPr>
    </w:p>
    <w:p w14:paraId="63A66A74" w14:textId="77777777" w:rsidR="00B44B71" w:rsidRPr="00B44B71" w:rsidRDefault="00B44B71" w:rsidP="00023291">
      <w:pPr>
        <w:tabs>
          <w:tab w:val="left" w:pos="9638"/>
        </w:tabs>
        <w:spacing w:after="0" w:line="240" w:lineRule="auto"/>
        <w:ind w:firstLine="567"/>
        <w:contextualSpacing/>
        <w:jc w:val="both"/>
        <w:rPr>
          <w:rFonts w:ascii="Times New Roman" w:eastAsia="Calibri" w:hAnsi="Times New Roman" w:cs="Times New Roman"/>
          <w:i/>
          <w:kern w:val="0"/>
          <w:sz w:val="24"/>
          <w:szCs w:val="24"/>
          <w:lang w:val="uk-UA"/>
          <w14:ligatures w14:val="none"/>
        </w:rPr>
      </w:pPr>
      <w:r w:rsidRPr="00B44B71">
        <w:rPr>
          <w:rFonts w:ascii="Times New Roman" w:eastAsia="Calibri" w:hAnsi="Times New Roman" w:cs="Times New Roman"/>
          <w:i/>
          <w:kern w:val="0"/>
          <w:sz w:val="24"/>
          <w:szCs w:val="24"/>
          <w:lang w:val="uk-UA"/>
          <w14:ligatures w14:val="none"/>
        </w:rPr>
        <w:t xml:space="preserve">Чинними нормативно-правовими актами визначено </w:t>
      </w:r>
      <w:r w:rsidRPr="00B44B71">
        <w:rPr>
          <w:rFonts w:ascii="Times New Roman" w:eastAsia="Calibri" w:hAnsi="Times New Roman" w:cs="Times New Roman"/>
          <w:i/>
          <w:kern w:val="0"/>
          <w:sz w:val="24"/>
          <w:szCs w:val="24"/>
          <w:lang w:val="ru-RU"/>
          <w14:ligatures w14:val="none"/>
        </w:rPr>
        <w:t>основні напрями реалізації воєнної політики України в контексті всеохоплюючої оборони</w:t>
      </w:r>
      <w:r w:rsidRPr="00B44B71">
        <w:rPr>
          <w:rFonts w:ascii="Times New Roman" w:eastAsia="Calibri" w:hAnsi="Times New Roman" w:cs="Times New Roman"/>
          <w:i/>
          <w:kern w:val="0"/>
          <w:sz w:val="24"/>
          <w:szCs w:val="24"/>
          <w:lang w:val="uk-UA"/>
          <w14:ligatures w14:val="none"/>
        </w:rPr>
        <w:t xml:space="preserve">, </w:t>
      </w:r>
      <w:r w:rsidRPr="00B44B71">
        <w:rPr>
          <w:rFonts w:ascii="Times New Roman" w:eastAsia="Calibri" w:hAnsi="Times New Roman" w:cs="Times New Roman"/>
          <w:i/>
          <w:kern w:val="0"/>
          <w:sz w:val="24"/>
          <w:szCs w:val="24"/>
          <w:lang w:val="ru-RU"/>
          <w14:ligatures w14:val="none"/>
        </w:rPr>
        <w:t xml:space="preserve">перспективну модель </w:t>
      </w:r>
      <w:r w:rsidRPr="00B44B71">
        <w:rPr>
          <w:rFonts w:ascii="Times New Roman" w:eastAsia="Calibri" w:hAnsi="Times New Roman" w:cs="Times New Roman"/>
          <w:i/>
          <w:kern w:val="0"/>
          <w:sz w:val="24"/>
          <w:szCs w:val="24"/>
          <w:lang w:val="uk-UA"/>
          <w14:ligatures w14:val="none"/>
        </w:rPr>
        <w:t xml:space="preserve">Збройних Сил України (ЗСУ) </w:t>
      </w:r>
      <w:r w:rsidRPr="00B44B71">
        <w:rPr>
          <w:rFonts w:ascii="Times New Roman" w:eastAsia="Calibri" w:hAnsi="Times New Roman" w:cs="Times New Roman"/>
          <w:i/>
          <w:kern w:val="0"/>
          <w:sz w:val="24"/>
          <w:szCs w:val="24"/>
          <w:lang w:val="ru-RU"/>
          <w14:ligatures w14:val="none"/>
        </w:rPr>
        <w:t>та інших складових сил оборони</w:t>
      </w:r>
      <w:r w:rsidRPr="00B44B71">
        <w:rPr>
          <w:rFonts w:ascii="Times New Roman" w:eastAsia="Calibri" w:hAnsi="Times New Roman" w:cs="Times New Roman"/>
          <w:i/>
          <w:kern w:val="0"/>
          <w:sz w:val="24"/>
          <w:szCs w:val="24"/>
          <w:lang w:val="uk-UA"/>
          <w14:ligatures w14:val="none"/>
        </w:rPr>
        <w:t xml:space="preserve">, </w:t>
      </w:r>
      <w:r w:rsidRPr="00B44B71">
        <w:rPr>
          <w:rFonts w:ascii="Times New Roman" w:eastAsia="Calibri" w:hAnsi="Times New Roman" w:cs="Times New Roman"/>
          <w:i/>
          <w:kern w:val="0"/>
          <w:sz w:val="24"/>
          <w:szCs w:val="24"/>
          <w:lang w:val="ru-RU"/>
          <w14:ligatures w14:val="none"/>
        </w:rPr>
        <w:t>вимоги до її побудови, місію та візію сил оборони зразка 2030 року</w:t>
      </w:r>
      <w:r w:rsidRPr="00B44B71">
        <w:rPr>
          <w:rFonts w:ascii="Times New Roman" w:eastAsia="Calibri" w:hAnsi="Times New Roman" w:cs="Times New Roman"/>
          <w:i/>
          <w:kern w:val="0"/>
          <w:sz w:val="24"/>
          <w:szCs w:val="24"/>
          <w:lang w:val="uk-UA"/>
          <w14:ligatures w14:val="none"/>
        </w:rPr>
        <w:t xml:space="preserve">, </w:t>
      </w:r>
      <w:r w:rsidRPr="00B44B71">
        <w:rPr>
          <w:rFonts w:ascii="Times New Roman" w:eastAsia="Calibri" w:hAnsi="Times New Roman" w:cs="Times New Roman"/>
          <w:i/>
          <w:kern w:val="0"/>
          <w:sz w:val="24"/>
          <w:szCs w:val="24"/>
          <w:lang w:val="ru-RU"/>
          <w14:ligatures w14:val="none"/>
        </w:rPr>
        <w:t>основні спроможності, яких необхідно досягти</w:t>
      </w:r>
      <w:r w:rsidRPr="00B44B71">
        <w:rPr>
          <w:rFonts w:ascii="Times New Roman" w:eastAsia="Calibri" w:hAnsi="Times New Roman" w:cs="Times New Roman"/>
          <w:i/>
          <w:kern w:val="0"/>
          <w:sz w:val="24"/>
          <w:szCs w:val="24"/>
          <w:lang w:val="uk-UA"/>
          <w14:ligatures w14:val="none"/>
        </w:rPr>
        <w:t xml:space="preserve">, а також те, що </w:t>
      </w:r>
      <w:r w:rsidRPr="00B44B71">
        <w:rPr>
          <w:rFonts w:ascii="Times New Roman" w:eastAsia="Calibri" w:hAnsi="Times New Roman" w:cs="Times New Roman"/>
          <w:i/>
          <w:kern w:val="0"/>
          <w:sz w:val="24"/>
          <w:szCs w:val="24"/>
          <w:lang w:val="ru-RU"/>
          <w14:ligatures w14:val="none"/>
        </w:rPr>
        <w:t xml:space="preserve">розвиток сил оборони </w:t>
      </w:r>
      <w:r w:rsidRPr="00B44B71">
        <w:rPr>
          <w:rFonts w:ascii="Times New Roman" w:eastAsia="Calibri" w:hAnsi="Times New Roman" w:cs="Times New Roman"/>
          <w:i/>
          <w:kern w:val="0"/>
          <w:sz w:val="24"/>
          <w:szCs w:val="24"/>
          <w:lang w:val="uk-UA"/>
          <w14:ligatures w14:val="none"/>
        </w:rPr>
        <w:t xml:space="preserve">України </w:t>
      </w:r>
      <w:r w:rsidRPr="00B44B71">
        <w:rPr>
          <w:rFonts w:ascii="Times New Roman" w:eastAsia="Calibri" w:hAnsi="Times New Roman" w:cs="Times New Roman"/>
          <w:i/>
          <w:kern w:val="0"/>
          <w:sz w:val="24"/>
          <w:szCs w:val="24"/>
          <w:lang w:val="ru-RU"/>
          <w14:ligatures w14:val="none"/>
        </w:rPr>
        <w:t>здійснюватиметься відповідно до принципів і стандартів НАТО</w:t>
      </w:r>
      <w:r w:rsidRPr="00B44B71">
        <w:rPr>
          <w:rFonts w:ascii="Times New Roman" w:eastAsia="Calibri" w:hAnsi="Times New Roman" w:cs="Times New Roman"/>
          <w:i/>
          <w:kern w:val="0"/>
          <w:sz w:val="24"/>
          <w:szCs w:val="24"/>
          <w:lang w:val="uk-UA"/>
          <w14:ligatures w14:val="none"/>
        </w:rPr>
        <w:t xml:space="preserve">. </w:t>
      </w:r>
      <w:r w:rsidRPr="00B44B71">
        <w:rPr>
          <w:rFonts w:ascii="Times New Roman" w:eastAsia="Calibri" w:hAnsi="Times New Roman" w:cs="Times New Roman"/>
          <w:i/>
          <w:kern w:val="0"/>
          <w:sz w:val="24"/>
          <w:szCs w:val="24"/>
          <w:lang w:val="ru-RU" w:eastAsia="uk-UA"/>
          <w14:ligatures w14:val="none"/>
        </w:rPr>
        <w:t xml:space="preserve">На цей час для складових сектору оборони України відсутній єдиний підхід до реалізації положень </w:t>
      </w:r>
      <w:r w:rsidRPr="00B44B71">
        <w:rPr>
          <w:rFonts w:ascii="Times New Roman" w:eastAsia="Calibri" w:hAnsi="Times New Roman" w:cs="Times New Roman"/>
          <w:i/>
          <w:kern w:val="0"/>
          <w:sz w:val="24"/>
          <w:szCs w:val="24"/>
          <w:lang w:val="uk-UA"/>
          <w14:ligatures w14:val="none"/>
        </w:rPr>
        <w:t>Концепці</w:t>
      </w:r>
      <w:r w:rsidRPr="00B44B71">
        <w:rPr>
          <w:rFonts w:ascii="Times New Roman" w:eastAsia="Calibri" w:hAnsi="Times New Roman" w:cs="Times New Roman"/>
          <w:i/>
          <w:kern w:val="0"/>
          <w:sz w:val="24"/>
          <w:szCs w:val="24"/>
          <w:lang w:val="ru-RU"/>
          <w14:ligatures w14:val="none"/>
        </w:rPr>
        <w:t>ї</w:t>
      </w:r>
      <w:r w:rsidRPr="00B44B71">
        <w:rPr>
          <w:rFonts w:ascii="Times New Roman" w:eastAsia="Calibri" w:hAnsi="Times New Roman" w:cs="Times New Roman"/>
          <w:i/>
          <w:kern w:val="0"/>
          <w:sz w:val="24"/>
          <w:szCs w:val="24"/>
          <w:lang w:val="uk-UA"/>
          <w14:ligatures w14:val="none"/>
        </w:rPr>
        <w:t xml:space="preserve"> трансформації </w:t>
      </w:r>
      <w:r w:rsidRPr="00B44B71">
        <w:rPr>
          <w:rFonts w:ascii="Times New Roman" w:eastAsia="Calibri" w:hAnsi="Times New Roman" w:cs="Times New Roman"/>
          <w:i/>
          <w:kern w:val="0"/>
          <w:sz w:val="24"/>
          <w:szCs w:val="24"/>
          <w:lang w:val="ru-RU"/>
          <w14:ligatures w14:val="none"/>
        </w:rPr>
        <w:t xml:space="preserve">системи військової освіти. Вирішення проблеми підвищення професійного рівня особового складу Державної прикордонної служби України (ДПСУ), як суб’єкту сил оборони, залежить від </w:t>
      </w:r>
      <w:r w:rsidRPr="00B44B71">
        <w:rPr>
          <w:rFonts w:ascii="Times New Roman" w:eastAsia="Calibri" w:hAnsi="Times New Roman" w:cs="Times New Roman"/>
          <w:i/>
          <w:kern w:val="0"/>
          <w:sz w:val="24"/>
          <w:szCs w:val="24"/>
          <w:lang w:val="uk-UA"/>
          <w14:ligatures w14:val="none"/>
        </w:rPr>
        <w:t xml:space="preserve">розуміння структури системи підготовки офіцерського складу </w:t>
      </w:r>
      <w:r w:rsidRPr="00B44B71">
        <w:rPr>
          <w:rFonts w:ascii="Times New Roman" w:eastAsia="Calibri" w:hAnsi="Times New Roman" w:cs="Times New Roman"/>
          <w:i/>
          <w:kern w:val="0"/>
          <w:sz w:val="24"/>
          <w:szCs w:val="24"/>
          <w:lang w:val="ru-RU"/>
          <w14:ligatures w14:val="none"/>
        </w:rPr>
        <w:t xml:space="preserve">та ефективності </w:t>
      </w:r>
      <w:r w:rsidRPr="00B44B71">
        <w:rPr>
          <w:rFonts w:ascii="Times New Roman" w:eastAsia="Calibri" w:hAnsi="Times New Roman" w:cs="Times New Roman"/>
          <w:i/>
          <w:kern w:val="0"/>
          <w:sz w:val="24"/>
          <w:szCs w:val="24"/>
          <w:lang w:val="uk-UA"/>
          <w14:ligatures w14:val="none"/>
        </w:rPr>
        <w:t xml:space="preserve">її реалізації. </w:t>
      </w:r>
    </w:p>
    <w:p w14:paraId="024EBE49" w14:textId="77777777" w:rsidR="00B44B71" w:rsidRPr="00B44B71" w:rsidRDefault="00B44B71" w:rsidP="00023291">
      <w:pPr>
        <w:tabs>
          <w:tab w:val="left" w:pos="9638"/>
        </w:tabs>
        <w:spacing w:after="0" w:line="240" w:lineRule="auto"/>
        <w:ind w:firstLine="567"/>
        <w:contextualSpacing/>
        <w:jc w:val="both"/>
        <w:rPr>
          <w:rFonts w:ascii="Times New Roman" w:eastAsia="Calibri" w:hAnsi="Times New Roman" w:cs="Times New Roman"/>
          <w:i/>
          <w:kern w:val="0"/>
          <w:sz w:val="24"/>
          <w:szCs w:val="24"/>
          <w:lang w:val="uk-UA"/>
          <w14:ligatures w14:val="none"/>
        </w:rPr>
      </w:pPr>
      <w:r w:rsidRPr="00B44B71">
        <w:rPr>
          <w:rFonts w:ascii="Times New Roman" w:eastAsia="Calibri" w:hAnsi="Times New Roman" w:cs="Times New Roman"/>
          <w:i/>
          <w:kern w:val="0"/>
          <w:sz w:val="24"/>
          <w:szCs w:val="24"/>
          <w:lang w:val="uk-UA" w:eastAsia="uk-UA"/>
          <w14:ligatures w14:val="none"/>
        </w:rPr>
        <w:t>Метою статті є представлення бачення щодо формування м</w:t>
      </w:r>
      <w:r w:rsidRPr="00B44B71">
        <w:rPr>
          <w:rFonts w:ascii="Times New Roman" w:eastAsia="Calibri" w:hAnsi="Times New Roman" w:cs="Times New Roman"/>
          <w:i/>
          <w:kern w:val="0"/>
          <w:sz w:val="24"/>
          <w:szCs w:val="24"/>
          <w:lang w:val="uk-UA"/>
          <w14:ligatures w14:val="none"/>
        </w:rPr>
        <w:t xml:space="preserve">оделі реалізації принципу «Освіта впродовж військової кар’єри» для основних типових посад офіцерського складу ДПСУ, як організаційної і науково-методичної конструкції реалізації Концепції </w:t>
      </w:r>
      <w:r w:rsidRPr="00B44B71">
        <w:rPr>
          <w:rFonts w:ascii="Times New Roman" w:eastAsia="Calibri" w:hAnsi="Times New Roman" w:cs="Times New Roman"/>
          <w:i/>
          <w:iCs/>
          <w:kern w:val="0"/>
          <w:sz w:val="24"/>
          <w:szCs w:val="24"/>
          <w:lang w:val="uk-UA" w:eastAsia="uk-UA"/>
          <w14:ligatures w14:val="none"/>
        </w:rPr>
        <w:t>трансформації системи військової освіти</w:t>
      </w:r>
      <w:r w:rsidRPr="00B44B71">
        <w:rPr>
          <w:rFonts w:ascii="Times New Roman" w:eastAsia="Calibri" w:hAnsi="Times New Roman" w:cs="Times New Roman"/>
          <w:i/>
          <w:kern w:val="0"/>
          <w:sz w:val="24"/>
          <w:szCs w:val="24"/>
          <w:lang w:val="uk-UA"/>
          <w14:ligatures w14:val="none"/>
        </w:rPr>
        <w:t xml:space="preserve"> з урахуванням положень нормативно-правових актів, що регламентують діяльність ДПСУ. </w:t>
      </w:r>
    </w:p>
    <w:p w14:paraId="21E69757" w14:textId="77777777" w:rsidR="00B44B71" w:rsidRPr="00B44B71" w:rsidRDefault="00B44B71" w:rsidP="00023291">
      <w:pPr>
        <w:tabs>
          <w:tab w:val="left" w:pos="9638"/>
        </w:tabs>
        <w:spacing w:after="0" w:line="240" w:lineRule="auto"/>
        <w:ind w:firstLine="567"/>
        <w:contextualSpacing/>
        <w:jc w:val="both"/>
        <w:rPr>
          <w:rFonts w:ascii="Times New Roman" w:eastAsia="Calibri" w:hAnsi="Times New Roman" w:cs="Times New Roman"/>
          <w:i/>
          <w:kern w:val="0"/>
          <w:sz w:val="24"/>
          <w:szCs w:val="24"/>
          <w:lang w:val="uk-UA"/>
          <w14:ligatures w14:val="none"/>
        </w:rPr>
      </w:pPr>
      <w:r w:rsidRPr="00B44B71">
        <w:rPr>
          <w:rFonts w:ascii="Times New Roman" w:eastAsia="Calibri" w:hAnsi="Times New Roman" w:cs="Times New Roman"/>
          <w:i/>
          <w:kern w:val="0"/>
          <w:sz w:val="24"/>
          <w:szCs w:val="24"/>
          <w:lang w:val="uk-UA" w:eastAsia="uk-UA"/>
          <w14:ligatures w14:val="none"/>
        </w:rPr>
        <w:t xml:space="preserve">Для досягнення мети дослідження </w:t>
      </w:r>
      <w:r w:rsidRPr="00B44B71">
        <w:rPr>
          <w:rFonts w:ascii="Times New Roman" w:eastAsia="Calibri" w:hAnsi="Times New Roman" w:cs="Times New Roman"/>
          <w:i/>
          <w:kern w:val="0"/>
          <w:sz w:val="24"/>
          <w:szCs w:val="24"/>
          <w:lang w:val="uk-UA"/>
          <w14:ligatures w14:val="none"/>
        </w:rPr>
        <w:t xml:space="preserve">використовувались структурно-функціональний аналіз і загальнонаукові методи: порівняння, аналогії, аналізу та синтезу, інформаційний підхід. </w:t>
      </w:r>
      <w:r w:rsidRPr="00B44B71">
        <w:rPr>
          <w:rFonts w:ascii="Times New Roman" w:eastAsia="Calibri" w:hAnsi="Times New Roman" w:cs="Times New Roman"/>
          <w:i/>
          <w:iCs/>
          <w:kern w:val="0"/>
          <w:sz w:val="24"/>
          <w:szCs w:val="24"/>
          <w:lang w:val="uk-UA" w:eastAsia="uk-UA"/>
          <w14:ligatures w14:val="none"/>
        </w:rPr>
        <w:t>У статті о</w:t>
      </w:r>
      <w:r w:rsidRPr="00B44B71">
        <w:rPr>
          <w:rFonts w:ascii="Times New Roman" w:eastAsia="Calibri" w:hAnsi="Times New Roman" w:cs="Times New Roman"/>
          <w:i/>
          <w:kern w:val="0"/>
          <w:sz w:val="24"/>
          <w:szCs w:val="24"/>
          <w:lang w:val="uk-UA"/>
          <w14:ligatures w14:val="none"/>
        </w:rPr>
        <w:t xml:space="preserve">креслено основні положення системи військово-прикордонної освіти, описано структуру системи освіти офіцерів </w:t>
      </w:r>
      <w:r w:rsidRPr="00B44B71">
        <w:rPr>
          <w:rFonts w:ascii="Times New Roman" w:eastAsia="Calibri" w:hAnsi="Times New Roman" w:cs="Times New Roman"/>
          <w:i/>
          <w:iCs/>
          <w:kern w:val="0"/>
          <w:sz w:val="24"/>
          <w:szCs w:val="24"/>
          <w:lang w:val="uk-UA" w:eastAsia="uk-UA"/>
          <w14:ligatures w14:val="none"/>
        </w:rPr>
        <w:t>ДПСУ та сформовано м</w:t>
      </w:r>
      <w:r w:rsidRPr="00B44B71">
        <w:rPr>
          <w:rFonts w:ascii="Times New Roman" w:eastAsia="Calibri" w:hAnsi="Times New Roman" w:cs="Times New Roman"/>
          <w:i/>
          <w:kern w:val="0"/>
          <w:sz w:val="24"/>
          <w:szCs w:val="24"/>
          <w:lang w:val="uk-UA"/>
          <w14:ligatures w14:val="none"/>
        </w:rPr>
        <w:t xml:space="preserve">одель реалізації принципу «Освіта впродовж військової кар’єри» для основних типових посад офіцерського складу </w:t>
      </w:r>
      <w:r w:rsidRPr="00B44B71">
        <w:rPr>
          <w:rFonts w:ascii="Times New Roman" w:eastAsia="Calibri" w:hAnsi="Times New Roman" w:cs="Times New Roman"/>
          <w:i/>
          <w:iCs/>
          <w:kern w:val="0"/>
          <w:sz w:val="24"/>
          <w:szCs w:val="24"/>
          <w:lang w:val="uk-UA" w:eastAsia="uk-UA"/>
          <w14:ligatures w14:val="none"/>
        </w:rPr>
        <w:t>ДПСУ.</w:t>
      </w:r>
      <w:r w:rsidRPr="00B44B71">
        <w:rPr>
          <w:rFonts w:ascii="Times New Roman" w:eastAsia="Calibri" w:hAnsi="Times New Roman" w:cs="Times New Roman"/>
          <w:i/>
          <w:iCs/>
          <w:kern w:val="0"/>
          <w:lang w:val="uk-UA" w:eastAsia="uk-UA"/>
          <w14:ligatures w14:val="none"/>
        </w:rPr>
        <w:t xml:space="preserve"> </w:t>
      </w:r>
      <w:r w:rsidRPr="00B44B71">
        <w:rPr>
          <w:rFonts w:ascii="Times New Roman" w:eastAsia="Calibri" w:hAnsi="Times New Roman" w:cs="Times New Roman"/>
          <w:i/>
          <w:kern w:val="0"/>
          <w:sz w:val="24"/>
          <w:szCs w:val="24"/>
          <w:lang w:val="uk-UA"/>
          <w14:ligatures w14:val="none"/>
        </w:rPr>
        <w:t xml:space="preserve">При формуванні моделі враховано організаційно-штатну структуру та функції штатних структур ДПСУ, перелік офіцерських посад у ДПСУ, відповідність штатних структур ДПСУ та ЗСУ за кількісними показниками та завданнями, що ними вирішуються, досвід діяльності прикордонного відомства. </w:t>
      </w:r>
      <w:r w:rsidRPr="00B44B71">
        <w:rPr>
          <w:rFonts w:ascii="Times New Roman" w:eastAsia="Calibri" w:hAnsi="Times New Roman" w:cs="Times New Roman"/>
          <w:i/>
          <w:color w:val="000000"/>
          <w:kern w:val="0"/>
          <w:sz w:val="24"/>
          <w:szCs w:val="24"/>
          <w:lang w:val="uk-UA" w:eastAsia="uk-UA"/>
          <w14:ligatures w14:val="none"/>
        </w:rPr>
        <w:t xml:space="preserve">У рамках моделі встановлено, зокрема, відповідність між </w:t>
      </w:r>
      <w:r w:rsidRPr="00B44B71">
        <w:rPr>
          <w:rFonts w:ascii="Times New Roman" w:eastAsia="Calibri" w:hAnsi="Times New Roman" w:cs="Times New Roman"/>
          <w:i/>
          <w:kern w:val="0"/>
          <w:sz w:val="24"/>
          <w:szCs w:val="24"/>
          <w:lang w:val="uk-UA"/>
          <w14:ligatures w14:val="none"/>
        </w:rPr>
        <w:t xml:space="preserve">рівнями освіти, типовими посадами, відповідними військовими званнями </w:t>
      </w:r>
      <w:r w:rsidRPr="00B44B71">
        <w:rPr>
          <w:rFonts w:ascii="Times New Roman" w:eastAsia="Calibri" w:hAnsi="Times New Roman" w:cs="Times New Roman"/>
          <w:i/>
          <w:kern w:val="0"/>
          <w:sz w:val="24"/>
          <w:szCs w:val="24"/>
          <w:lang w:val="uk-UA"/>
          <w14:ligatures w14:val="none"/>
        </w:rPr>
        <w:lastRenderedPageBreak/>
        <w:t xml:space="preserve">та кваліфікаціями офіцерського складу ДПСУ. Встановлено залежність можливості </w:t>
      </w:r>
      <w:r w:rsidRPr="00C578C0">
        <w:rPr>
          <w:rFonts w:ascii="Times New Roman" w:eastAsia="Calibri" w:hAnsi="Times New Roman" w:cs="Times New Roman"/>
          <w:i/>
          <w:kern w:val="0"/>
          <w:sz w:val="24"/>
          <w:szCs w:val="24"/>
          <w:lang w:val="uk-UA"/>
          <w14:ligatures w14:val="none"/>
        </w:rPr>
        <w:t>вирішення проблеми підвищення професійного рівня особового складу ДПСУ, як суб’єкту сил оборони, від ефективної реалізації сформованої моделі.</w:t>
      </w:r>
    </w:p>
    <w:p w14:paraId="4D356151" w14:textId="1AC83461" w:rsidR="00B44B71" w:rsidRPr="00E967C0" w:rsidRDefault="00B44B71" w:rsidP="00E967C0">
      <w:pPr>
        <w:tabs>
          <w:tab w:val="left" w:pos="9638"/>
        </w:tabs>
        <w:spacing w:after="0" w:line="240" w:lineRule="auto"/>
        <w:ind w:firstLine="567"/>
        <w:jc w:val="both"/>
        <w:rPr>
          <w:rFonts w:ascii="Times New Roman" w:eastAsia="Times New Roman" w:hAnsi="Times New Roman" w:cs="Times New Roman"/>
          <w:i/>
          <w:iCs/>
          <w:kern w:val="0"/>
          <w:sz w:val="24"/>
          <w:szCs w:val="24"/>
          <w:lang w:val="uk-UA" w:eastAsia="uk-UA"/>
          <w14:ligatures w14:val="none"/>
        </w:rPr>
      </w:pPr>
      <w:r w:rsidRPr="00B44B71">
        <w:rPr>
          <w:rFonts w:ascii="Times New Roman" w:eastAsia="Times New Roman" w:hAnsi="Times New Roman" w:cs="Times New Roman"/>
          <w:b/>
          <w:bCs/>
          <w:i/>
          <w:iCs/>
          <w:kern w:val="0"/>
          <w:sz w:val="24"/>
          <w:szCs w:val="24"/>
          <w:lang w:val="uk-UA" w:eastAsia="uk-UA"/>
          <w14:ligatures w14:val="none"/>
        </w:rPr>
        <w:t>Ключові слова</w:t>
      </w:r>
      <w:r w:rsidRPr="00B44B71">
        <w:rPr>
          <w:rFonts w:ascii="Times New Roman" w:eastAsia="Times New Roman" w:hAnsi="Times New Roman" w:cs="Times New Roman"/>
          <w:i/>
          <w:iCs/>
          <w:kern w:val="0"/>
          <w:sz w:val="24"/>
          <w:szCs w:val="24"/>
          <w:lang w:val="uk-UA" w:eastAsia="uk-UA"/>
          <w14:ligatures w14:val="none"/>
        </w:rPr>
        <w:t>:</w:t>
      </w:r>
      <w:r w:rsidRPr="00B44B71">
        <w:rPr>
          <w:rFonts w:ascii="Times New Roman" w:eastAsia="Times New Roman" w:hAnsi="Times New Roman" w:cs="Times New Roman"/>
          <w:i/>
          <w:iCs/>
          <w:kern w:val="0"/>
          <w:sz w:val="24"/>
          <w:szCs w:val="24"/>
          <w:lang w:val="uk-UA" w:eastAsia="ru-RU"/>
          <w14:ligatures w14:val="none"/>
        </w:rPr>
        <w:t xml:space="preserve"> сили оборони, модель, принцип, Державна прикордонна служба України</w:t>
      </w:r>
      <w:r w:rsidRPr="00B44B71">
        <w:rPr>
          <w:rFonts w:ascii="Times New Roman" w:eastAsia="Times New Roman" w:hAnsi="Times New Roman" w:cs="Times New Roman"/>
          <w:i/>
          <w:iCs/>
          <w:kern w:val="0"/>
          <w:sz w:val="24"/>
          <w:szCs w:val="24"/>
          <w:lang w:val="uk-UA" w:eastAsia="uk-UA"/>
          <w14:ligatures w14:val="none"/>
        </w:rPr>
        <w:t>, офіцерський склад, трансформація системи військової освіти.</w:t>
      </w:r>
    </w:p>
    <w:p w14:paraId="13E33B64"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iCs/>
          <w:color w:val="000000"/>
          <w:kern w:val="0"/>
          <w:sz w:val="24"/>
          <w:szCs w:val="24"/>
          <w:lang w:val="uk-UA" w:eastAsia="uk-UA"/>
          <w14:ligatures w14:val="none"/>
        </w:rPr>
      </w:pPr>
      <w:r w:rsidRPr="00B44B71">
        <w:rPr>
          <w:rFonts w:ascii="Times New Roman" w:eastAsia="Times New Roman" w:hAnsi="Times New Roman" w:cs="Times New Roman"/>
          <w:b/>
          <w:bCs/>
          <w:iCs/>
          <w:color w:val="000000"/>
          <w:kern w:val="0"/>
          <w:sz w:val="24"/>
          <w:szCs w:val="24"/>
          <w:lang w:eastAsia="uk-UA"/>
          <w14:ligatures w14:val="none"/>
        </w:rPr>
        <w:t>Oleh Fihura</w:t>
      </w:r>
      <w:r w:rsidRPr="00B44B71">
        <w:rPr>
          <w:rFonts w:ascii="Times New Roman" w:eastAsia="Times New Roman" w:hAnsi="Times New Roman" w:cs="Times New Roman"/>
          <w:iCs/>
          <w:color w:val="000000"/>
          <w:kern w:val="0"/>
          <w:sz w:val="24"/>
          <w:szCs w:val="24"/>
          <w:lang w:eastAsia="uk-UA"/>
          <w14:ligatures w14:val="none"/>
        </w:rPr>
        <w:t>,</w:t>
      </w:r>
    </w:p>
    <w:p w14:paraId="0F6A3270" w14:textId="5438DCE8" w:rsidR="00B44B71" w:rsidRPr="00B15B58" w:rsidRDefault="00B44B71" w:rsidP="00023291">
      <w:pPr>
        <w:tabs>
          <w:tab w:val="left" w:pos="9638"/>
        </w:tabs>
        <w:spacing w:after="0" w:line="240" w:lineRule="auto"/>
        <w:jc w:val="right"/>
        <w:rPr>
          <w:rFonts w:ascii="Times New Roman" w:eastAsia="Times New Roman" w:hAnsi="Times New Roman" w:cs="Times New Roman"/>
          <w:iCs/>
          <w:color w:val="000000"/>
          <w:kern w:val="0"/>
          <w:sz w:val="24"/>
          <w:szCs w:val="24"/>
          <w:lang w:val="uk-UA" w:eastAsia="uk-UA"/>
          <w14:ligatures w14:val="none"/>
        </w:rPr>
      </w:pPr>
      <w:r w:rsidRPr="00B44B71">
        <w:rPr>
          <w:rFonts w:ascii="Times New Roman" w:eastAsia="Times New Roman" w:hAnsi="Times New Roman" w:cs="Times New Roman"/>
          <w:iCs/>
          <w:color w:val="000000"/>
          <w:kern w:val="0"/>
          <w:sz w:val="24"/>
          <w:szCs w:val="24"/>
          <w:lang w:eastAsia="uk-UA"/>
          <w14:ligatures w14:val="none"/>
        </w:rPr>
        <w:t xml:space="preserve"> Candidate of Pedagogical Sciences,</w:t>
      </w:r>
      <w:r w:rsidRPr="00B44B71">
        <w:rPr>
          <w:rFonts w:ascii="Times New Roman" w:eastAsia="Times New Roman" w:hAnsi="Times New Roman" w:cs="Times New Roman"/>
          <w:iCs/>
          <w:color w:val="000000"/>
          <w:kern w:val="0"/>
          <w:sz w:val="24"/>
          <w:szCs w:val="24"/>
          <w:lang w:val="uk-UA" w:eastAsia="uk-UA"/>
          <w14:ligatures w14:val="none"/>
        </w:rPr>
        <w:t xml:space="preserve"> </w:t>
      </w:r>
      <w:r w:rsidRPr="00B44B71">
        <w:rPr>
          <w:rFonts w:ascii="Times New Roman" w:eastAsia="Times New Roman" w:hAnsi="Times New Roman" w:cs="Times New Roman"/>
          <w:iCs/>
          <w:color w:val="000000"/>
          <w:kern w:val="0"/>
          <w:sz w:val="24"/>
          <w:szCs w:val="24"/>
          <w:lang w:eastAsia="uk-UA"/>
          <w14:ligatures w14:val="none"/>
        </w:rPr>
        <w:t>Associate Professo</w:t>
      </w:r>
      <w:r w:rsidR="00B15B58">
        <w:rPr>
          <w:rFonts w:ascii="Times New Roman" w:eastAsia="Times New Roman" w:hAnsi="Times New Roman" w:cs="Times New Roman"/>
          <w:iCs/>
          <w:color w:val="000000"/>
          <w:kern w:val="0"/>
          <w:sz w:val="24"/>
          <w:szCs w:val="24"/>
          <w:lang w:eastAsia="uk-UA"/>
          <w14:ligatures w14:val="none"/>
        </w:rPr>
        <w:t>r</w:t>
      </w:r>
    </w:p>
    <w:p w14:paraId="781DB49F"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iCs/>
          <w:color w:val="000000"/>
          <w:kern w:val="0"/>
          <w:sz w:val="24"/>
          <w:szCs w:val="24"/>
          <w:lang w:val="uk-UA" w:eastAsia="uk-UA"/>
          <w14:ligatures w14:val="none"/>
        </w:rPr>
      </w:pPr>
      <w:r w:rsidRPr="00B44B71">
        <w:rPr>
          <w:rFonts w:ascii="Times New Roman" w:eastAsia="Times New Roman" w:hAnsi="Times New Roman" w:cs="Times New Roman"/>
          <w:iCs/>
          <w:color w:val="000000"/>
          <w:kern w:val="0"/>
          <w:sz w:val="24"/>
          <w:szCs w:val="24"/>
          <w:lang w:eastAsia="uk-UA"/>
          <w14:ligatures w14:val="none"/>
        </w:rPr>
        <w:t xml:space="preserve"> Administration of the State Border Guard Service of Ukraine, Kyiv</w:t>
      </w:r>
    </w:p>
    <w:p w14:paraId="26A731F9"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iCs/>
          <w:kern w:val="0"/>
          <w:sz w:val="24"/>
          <w:szCs w:val="24"/>
          <w:lang w:val="uk-UA" w:eastAsia="uk-UA"/>
          <w14:ligatures w14:val="none"/>
        </w:rPr>
        <w:t xml:space="preserve"> </w:t>
      </w:r>
      <w:r w:rsidRPr="00B44B71">
        <w:rPr>
          <w:rFonts w:ascii="Times New Roman" w:eastAsia="Times New Roman" w:hAnsi="Times New Roman" w:cs="Times New Roman"/>
          <w:b/>
          <w:bCs/>
          <w:color w:val="000000"/>
          <w:kern w:val="0"/>
          <w:sz w:val="24"/>
          <w:szCs w:val="24"/>
          <w:lang w:eastAsia="ru-RU"/>
          <w14:ligatures w14:val="none"/>
        </w:rPr>
        <w:t>Bohdan Koval</w:t>
      </w:r>
      <w:r w:rsidRPr="00B44B71">
        <w:rPr>
          <w:rFonts w:ascii="Times New Roman" w:eastAsia="Times New Roman" w:hAnsi="Times New Roman" w:cs="Times New Roman"/>
          <w:color w:val="000000"/>
          <w:kern w:val="0"/>
          <w:sz w:val="24"/>
          <w:szCs w:val="24"/>
          <w:lang w:eastAsia="ru-RU"/>
          <w14:ligatures w14:val="none"/>
        </w:rPr>
        <w:t xml:space="preserve">, </w:t>
      </w:r>
    </w:p>
    <w:p w14:paraId="7734DAD2"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Administration of the State Border Guard Service of Ukraine, Kyiv</w:t>
      </w:r>
    </w:p>
    <w:p w14:paraId="41BBA16D" w14:textId="77777777" w:rsidR="00B44B71" w:rsidRPr="00B44B71" w:rsidRDefault="00B44B71" w:rsidP="00023291">
      <w:pPr>
        <w:tabs>
          <w:tab w:val="left" w:pos="9638"/>
        </w:tabs>
        <w:spacing w:after="0" w:line="240" w:lineRule="auto"/>
        <w:jc w:val="right"/>
        <w:rPr>
          <w:rFonts w:ascii="Times New Roman" w:eastAsia="Calibri" w:hAnsi="Times New Roman" w:cs="Times New Roman"/>
          <w:color w:val="000000"/>
          <w:kern w:val="0"/>
          <w:sz w:val="24"/>
          <w:szCs w:val="24"/>
          <w:lang w:val="uk-UA"/>
          <w14:ligatures w14:val="none"/>
        </w:rPr>
      </w:pPr>
      <w:r w:rsidRPr="00B44B71">
        <w:rPr>
          <w:rFonts w:ascii="Times New Roman" w:eastAsia="Times New Roman" w:hAnsi="Times New Roman" w:cs="Times New Roman"/>
          <w:color w:val="000000"/>
          <w:kern w:val="0"/>
          <w:sz w:val="24"/>
          <w:szCs w:val="24"/>
          <w:lang w:eastAsia="ru-RU"/>
          <w14:ligatures w14:val="none"/>
        </w:rPr>
        <w:t xml:space="preserve"> </w:t>
      </w:r>
      <w:r w:rsidRPr="00B44B71">
        <w:rPr>
          <w:rFonts w:ascii="Times New Roman" w:eastAsia="Calibri" w:hAnsi="Times New Roman" w:cs="Times New Roman"/>
          <w:b/>
          <w:bCs/>
          <w:color w:val="000000"/>
          <w:kern w:val="0"/>
          <w:sz w:val="24"/>
          <w:szCs w:val="24"/>
          <w14:ligatures w14:val="none"/>
        </w:rPr>
        <w:t>Iryna Borovyk</w:t>
      </w:r>
      <w:r w:rsidRPr="00B44B71">
        <w:rPr>
          <w:rFonts w:ascii="Times New Roman" w:eastAsia="Calibri" w:hAnsi="Times New Roman" w:cs="Times New Roman"/>
          <w:color w:val="000000"/>
          <w:kern w:val="0"/>
          <w:sz w:val="24"/>
          <w:szCs w:val="24"/>
          <w14:ligatures w14:val="none"/>
        </w:rPr>
        <w:t>,</w:t>
      </w:r>
    </w:p>
    <w:p w14:paraId="562CA53E" w14:textId="2380BF72" w:rsidR="00B44B71" w:rsidRPr="00B15B58" w:rsidRDefault="00B44B71" w:rsidP="00023291">
      <w:pPr>
        <w:tabs>
          <w:tab w:val="left" w:pos="1080"/>
          <w:tab w:val="left" w:pos="9638"/>
        </w:tabs>
        <w:spacing w:after="0" w:line="240" w:lineRule="auto"/>
        <w:jc w:val="right"/>
        <w:rPr>
          <w:rFonts w:ascii="Times New Roman" w:eastAsia="Calibri" w:hAnsi="Times New Roman" w:cs="Times New Roman"/>
          <w:color w:val="000000"/>
          <w:kern w:val="0"/>
          <w:sz w:val="24"/>
          <w:szCs w:val="24"/>
          <w:lang w:val="uk-UA"/>
          <w14:ligatures w14:val="none"/>
        </w:rPr>
      </w:pPr>
      <w:r w:rsidRPr="00B44B71">
        <w:rPr>
          <w:rFonts w:ascii="Times New Roman" w:eastAsia="Calibri" w:hAnsi="Times New Roman" w:cs="Times New Roman"/>
          <w:color w:val="000000"/>
          <w:kern w:val="0"/>
          <w:sz w:val="24"/>
          <w:szCs w:val="24"/>
          <w14:ligatures w14:val="none"/>
        </w:rPr>
        <w:t xml:space="preserve"> Doctor of Philosophy (</w:t>
      </w:r>
      <w:r w:rsidR="00B15B58">
        <w:rPr>
          <w:rFonts w:ascii="Times New Roman" w:eastAsia="Calibri" w:hAnsi="Times New Roman" w:cs="Times New Roman"/>
          <w:color w:val="000000"/>
          <w:kern w:val="0"/>
          <w:sz w:val="24"/>
          <w:szCs w:val="24"/>
          <w14:ligatures w14:val="none"/>
        </w:rPr>
        <w:t>Philology), Associate Professor</w:t>
      </w:r>
    </w:p>
    <w:p w14:paraId="09CC22C7" w14:textId="77777777" w:rsidR="00B44B71" w:rsidRPr="00B44B71" w:rsidRDefault="00B44B71" w:rsidP="00023291">
      <w:pPr>
        <w:tabs>
          <w:tab w:val="left" w:pos="1080"/>
          <w:tab w:val="left" w:pos="9638"/>
        </w:tabs>
        <w:spacing w:after="0" w:line="240" w:lineRule="auto"/>
        <w:jc w:val="right"/>
        <w:rPr>
          <w:rFonts w:ascii="Times New Roman" w:eastAsia="Calibri" w:hAnsi="Times New Roman" w:cs="Times New Roman"/>
          <w:color w:val="000000"/>
          <w:kern w:val="0"/>
          <w:sz w:val="24"/>
          <w:szCs w:val="24"/>
          <w:lang w:val="uk-UA"/>
          <w14:ligatures w14:val="none"/>
        </w:rPr>
      </w:pPr>
      <w:r w:rsidRPr="00B44B71">
        <w:rPr>
          <w:rFonts w:ascii="Times New Roman" w:eastAsia="Calibri" w:hAnsi="Times New Roman" w:cs="Times New Roman"/>
          <w:color w:val="000000"/>
          <w:kern w:val="0"/>
          <w:sz w:val="24"/>
          <w:szCs w:val="24"/>
          <w14:ligatures w14:val="none"/>
        </w:rPr>
        <w:t xml:space="preserve"> Bohdan Khmelnytskyi National Academy of the State Border Guard </w:t>
      </w:r>
    </w:p>
    <w:p w14:paraId="775EEB4E" w14:textId="77777777" w:rsidR="00B44B71" w:rsidRPr="00B44B71" w:rsidRDefault="00B44B71" w:rsidP="00023291">
      <w:pPr>
        <w:tabs>
          <w:tab w:val="left" w:pos="1080"/>
          <w:tab w:val="left" w:pos="9638"/>
        </w:tabs>
        <w:spacing w:after="0" w:line="240" w:lineRule="auto"/>
        <w:jc w:val="right"/>
        <w:rPr>
          <w:rFonts w:ascii="Times New Roman" w:eastAsia="Calibri" w:hAnsi="Times New Roman" w:cs="Times New Roman"/>
          <w:color w:val="000000"/>
          <w:kern w:val="0"/>
          <w:sz w:val="24"/>
          <w:szCs w:val="24"/>
          <w:lang w:val="uk-UA"/>
          <w14:ligatures w14:val="none"/>
        </w:rPr>
      </w:pPr>
      <w:r w:rsidRPr="00B44B71">
        <w:rPr>
          <w:rFonts w:ascii="Times New Roman" w:eastAsia="Calibri" w:hAnsi="Times New Roman" w:cs="Times New Roman"/>
          <w:color w:val="000000"/>
          <w:kern w:val="0"/>
          <w:sz w:val="24"/>
          <w:szCs w:val="24"/>
          <w14:ligatures w14:val="none"/>
        </w:rPr>
        <w:t>Service of Ukraine, Khmelnytskyi</w:t>
      </w:r>
    </w:p>
    <w:p w14:paraId="0F760653" w14:textId="77777777" w:rsidR="00B44B71" w:rsidRPr="00B44B71" w:rsidRDefault="00B44B71" w:rsidP="00023291">
      <w:pPr>
        <w:tabs>
          <w:tab w:val="left" w:pos="1080"/>
          <w:tab w:val="left" w:pos="9638"/>
        </w:tabs>
        <w:spacing w:after="0" w:line="240" w:lineRule="auto"/>
        <w:jc w:val="right"/>
        <w:rPr>
          <w:rFonts w:ascii="Times New Roman" w:eastAsia="Times New Roman" w:hAnsi="Times New Roman" w:cs="Times New Roman"/>
          <w:b/>
          <w:bCs/>
          <w:color w:val="000000"/>
          <w:kern w:val="0"/>
          <w:sz w:val="24"/>
          <w:szCs w:val="24"/>
          <w:lang w:val="uk-UA" w:eastAsia="ru-RU"/>
          <w14:ligatures w14:val="none"/>
        </w:rPr>
      </w:pPr>
      <w:r w:rsidRPr="00B44B71">
        <w:rPr>
          <w:rFonts w:ascii="Times New Roman" w:eastAsia="Calibri" w:hAnsi="Times New Roman" w:cs="Times New Roman"/>
          <w:color w:val="000000"/>
          <w:kern w:val="0"/>
          <w:sz w:val="24"/>
          <w:szCs w:val="24"/>
          <w:u w:val="single"/>
          <w14:ligatures w14:val="none"/>
        </w:rPr>
        <w:t xml:space="preserve"> </w:t>
      </w:r>
      <w:r w:rsidRPr="00B44B71">
        <w:rPr>
          <w:rFonts w:ascii="Times New Roman" w:eastAsia="Times New Roman" w:hAnsi="Times New Roman" w:cs="Times New Roman"/>
          <w:b/>
          <w:bCs/>
          <w:color w:val="000000"/>
          <w:kern w:val="0"/>
          <w:sz w:val="24"/>
          <w:szCs w:val="24"/>
          <w:lang w:eastAsia="ru-RU"/>
          <w14:ligatures w14:val="none"/>
        </w:rPr>
        <w:t xml:space="preserve">Oleh Borovyk, </w:t>
      </w:r>
    </w:p>
    <w:p w14:paraId="3DDD62B6" w14:textId="4BDCD931" w:rsidR="00B44B71" w:rsidRPr="00B44B71" w:rsidRDefault="00B44B71" w:rsidP="00023291">
      <w:pPr>
        <w:tabs>
          <w:tab w:val="left" w:pos="9638"/>
        </w:tabs>
        <w:spacing w:after="0" w:line="240" w:lineRule="auto"/>
        <w:jc w:val="right"/>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Doctor o</w:t>
      </w:r>
      <w:r w:rsidR="00B15B58">
        <w:rPr>
          <w:rFonts w:ascii="Times New Roman" w:eastAsia="Times New Roman" w:hAnsi="Times New Roman" w:cs="Times New Roman"/>
          <w:color w:val="000000"/>
          <w:kern w:val="0"/>
          <w:sz w:val="24"/>
          <w:szCs w:val="24"/>
          <w:lang w:val="uk-UA" w:eastAsia="ru-RU"/>
          <w14:ligatures w14:val="none"/>
        </w:rPr>
        <w:t>f Technical Sciences, Professor</w:t>
      </w:r>
    </w:p>
    <w:p w14:paraId="7120C1AC" w14:textId="77777777" w:rsidR="00B44B71" w:rsidRPr="00B44B71" w:rsidRDefault="00B44B71" w:rsidP="00023291">
      <w:pPr>
        <w:tabs>
          <w:tab w:val="left" w:pos="9638"/>
        </w:tabs>
        <w:spacing w:after="0" w:line="240" w:lineRule="auto"/>
        <w:jc w:val="right"/>
        <w:rPr>
          <w:rFonts w:ascii="Times New Roman" w:eastAsia="Times New Roman" w:hAnsi="Times New Roman" w:cs="Times New Roman"/>
          <w:color w:val="000000"/>
          <w:kern w:val="0"/>
          <w:sz w:val="24"/>
          <w:szCs w:val="24"/>
          <w:lang w:val="uk-UA" w:eastAsia="ru-RU"/>
          <w14:ligatures w14:val="none"/>
        </w:rPr>
      </w:pPr>
      <w:r w:rsidRPr="00B44B71">
        <w:rPr>
          <w:rFonts w:ascii="Times New Roman" w:eastAsia="Times New Roman" w:hAnsi="Times New Roman" w:cs="Times New Roman"/>
          <w:color w:val="000000"/>
          <w:kern w:val="0"/>
          <w:sz w:val="24"/>
          <w:szCs w:val="24"/>
          <w:lang w:val="uk-UA" w:eastAsia="ru-RU"/>
          <w14:ligatures w14:val="none"/>
        </w:rPr>
        <w:t xml:space="preserve"> Administration of the State Border Guard Service of Ukraine, Kyiv</w:t>
      </w:r>
    </w:p>
    <w:p w14:paraId="10B2D05C" w14:textId="77777777" w:rsidR="00B44B71" w:rsidRPr="00B44B71" w:rsidRDefault="00B44B71" w:rsidP="00023291">
      <w:pPr>
        <w:tabs>
          <w:tab w:val="left" w:pos="9638"/>
        </w:tabs>
        <w:spacing w:after="0" w:line="240" w:lineRule="auto"/>
        <w:jc w:val="both"/>
        <w:rPr>
          <w:rFonts w:ascii="Times New Roman" w:eastAsia="Times New Roman" w:hAnsi="Times New Roman" w:cs="Times New Roman"/>
          <w:b/>
          <w:bCs/>
          <w:color w:val="000000"/>
          <w:kern w:val="0"/>
          <w:sz w:val="24"/>
          <w:szCs w:val="24"/>
          <w:lang w:val="uk-UA" w:eastAsia="ru-RU"/>
          <w14:ligatures w14:val="none"/>
        </w:rPr>
      </w:pPr>
    </w:p>
    <w:p w14:paraId="0BA7C5E1" w14:textId="1FA27A7E" w:rsidR="0015666D" w:rsidRPr="0015666D" w:rsidRDefault="0015666D" w:rsidP="00C578C0">
      <w:pPr>
        <w:tabs>
          <w:tab w:val="left" w:pos="9638"/>
        </w:tabs>
        <w:spacing w:after="0" w:line="240" w:lineRule="auto"/>
        <w:ind w:firstLine="567"/>
        <w:contextualSpacing/>
        <w:jc w:val="both"/>
        <w:rPr>
          <w:rFonts w:ascii="Times New Roman" w:eastAsia="Calibri" w:hAnsi="Times New Roman" w:cs="Times New Roman"/>
          <w:b/>
          <w:kern w:val="0"/>
          <w:sz w:val="24"/>
          <w:szCs w:val="24"/>
          <w:lang w:val="uk-UA"/>
          <w14:ligatures w14:val="none"/>
        </w:rPr>
      </w:pPr>
      <w:r w:rsidRPr="0015666D">
        <w:rPr>
          <w:rFonts w:ascii="Times New Roman" w:eastAsia="Calibri" w:hAnsi="Times New Roman" w:cs="Times New Roman"/>
          <w:b/>
          <w:kern w:val="0"/>
          <w:sz w:val="24"/>
          <w:szCs w:val="24"/>
          <w:lang w:val="uk-UA"/>
          <w14:ligatures w14:val="none"/>
        </w:rPr>
        <w:t xml:space="preserve">Model for </w:t>
      </w:r>
      <w:r w:rsidR="00E967C0" w:rsidRPr="0015666D">
        <w:rPr>
          <w:rFonts w:ascii="Times New Roman" w:eastAsia="Calibri" w:hAnsi="Times New Roman" w:cs="Times New Roman"/>
          <w:b/>
          <w:kern w:val="0"/>
          <w:sz w:val="24"/>
          <w:szCs w:val="24"/>
          <w:lang w:val="uk-UA"/>
          <w14:ligatures w14:val="none"/>
        </w:rPr>
        <w:t xml:space="preserve">implementing the principle of «education throughout military career» for the main typical standard officer positions within the state border guard service </w:t>
      </w:r>
      <w:r w:rsidRPr="0015666D">
        <w:rPr>
          <w:rFonts w:ascii="Times New Roman" w:eastAsia="Calibri" w:hAnsi="Times New Roman" w:cs="Times New Roman"/>
          <w:b/>
          <w:kern w:val="0"/>
          <w:sz w:val="24"/>
          <w:szCs w:val="24"/>
          <w:lang w:val="uk-UA"/>
          <w14:ligatures w14:val="none"/>
        </w:rPr>
        <w:t>of Ukraine</w:t>
      </w:r>
    </w:p>
    <w:p w14:paraId="3E5EFA44" w14:textId="77777777" w:rsidR="0015666D" w:rsidRPr="0015666D" w:rsidRDefault="0015666D" w:rsidP="0015666D">
      <w:pPr>
        <w:suppressAutoHyphens/>
        <w:spacing w:after="0" w:line="240" w:lineRule="auto"/>
        <w:contextualSpacing/>
        <w:jc w:val="center"/>
        <w:rPr>
          <w:rFonts w:ascii="Times New Roman" w:eastAsia="Calibri" w:hAnsi="Times New Roman" w:cs="Times New Roman"/>
          <w:b/>
          <w:caps/>
          <w:kern w:val="0"/>
          <w:sz w:val="24"/>
          <w:szCs w:val="24"/>
          <w:shd w:val="clear" w:color="auto" w:fill="FFFF00"/>
          <w14:ligatures w14:val="none"/>
        </w:rPr>
      </w:pPr>
    </w:p>
    <w:p w14:paraId="70FAC39D"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i/>
          <w:kern w:val="0"/>
          <w:sz w:val="24"/>
          <w:szCs w:val="24"/>
          <w:lang w:eastAsia="ru-RU"/>
          <w14:ligatures w14:val="none"/>
        </w:rPr>
      </w:pPr>
      <w:r w:rsidRPr="00B44B71">
        <w:rPr>
          <w:rFonts w:ascii="Times New Roman" w:eastAsia="Calibri" w:hAnsi="Times New Roman" w:cs="Times New Roman"/>
          <w:i/>
          <w:kern w:val="0"/>
          <w:sz w:val="24"/>
          <w:szCs w:val="24"/>
          <w:lang w:eastAsia="ru-RU"/>
          <w14:ligatures w14:val="none"/>
        </w:rPr>
        <w:t xml:space="preserve">The current regulatory and legal framework defines the key directions for the implementation of Ukraine’s military policy within the context of comprehensive defence, the prospective model of the </w:t>
      </w:r>
      <w:r w:rsidRPr="00B44B71">
        <w:rPr>
          <w:rFonts w:ascii="Times New Roman" w:eastAsia="Times New Roman" w:hAnsi="Times New Roman" w:cs="Times New Roman"/>
          <w:i/>
          <w:kern w:val="0"/>
          <w:sz w:val="24"/>
          <w:szCs w:val="24"/>
          <w:lang w:eastAsia="ru-RU"/>
          <w14:ligatures w14:val="none"/>
        </w:rPr>
        <w:t>Armed Forces of Ukraine</w:t>
      </w:r>
      <w:r w:rsidRPr="00B44B71">
        <w:rPr>
          <w:rFonts w:ascii="Times New Roman" w:eastAsia="Calibri" w:hAnsi="Times New Roman" w:cs="Times New Roman"/>
          <w:i/>
          <w:kern w:val="0"/>
          <w:sz w:val="24"/>
          <w:szCs w:val="24"/>
          <w:lang w:eastAsia="ru-RU"/>
          <w14:ligatures w14:val="none"/>
        </w:rPr>
        <w:t xml:space="preserve"> and other components of the defence forces, the requirements for their development, as well as the mission and vision of the defence forces of the 2030 model. It also outlines the core capabilities that must be achieved and stipulates that the development of Ukraine’s defence forces will be carried out in accordance with the principles and standards of </w:t>
      </w:r>
      <w:r w:rsidRPr="00B44B71">
        <w:rPr>
          <w:rFonts w:ascii="Times New Roman" w:eastAsia="Times New Roman" w:hAnsi="Times New Roman" w:cs="Times New Roman"/>
          <w:i/>
          <w:kern w:val="0"/>
          <w:sz w:val="24"/>
          <w:szCs w:val="24"/>
          <w:lang w:eastAsia="ru-RU"/>
          <w14:ligatures w14:val="none"/>
        </w:rPr>
        <w:t>North Atlantic Treaty Organization</w:t>
      </w:r>
      <w:r w:rsidRPr="00B44B71">
        <w:rPr>
          <w:rFonts w:ascii="Times New Roman" w:eastAsia="Calibri" w:hAnsi="Times New Roman" w:cs="Times New Roman"/>
          <w:i/>
          <w:kern w:val="0"/>
          <w:sz w:val="24"/>
          <w:szCs w:val="24"/>
          <w:lang w:eastAsia="ru-RU"/>
          <w14:ligatures w14:val="none"/>
        </w:rPr>
        <w:t xml:space="preserve">. At present, there is no unified approach among the components of Ukraine’s defence sector regarding the implementation of the provisions of the Concept for the Transformation of the Military Education System. Addressing the issue of enhancing the professional competence of personnel of the </w:t>
      </w:r>
      <w:r w:rsidRPr="00B44B71">
        <w:rPr>
          <w:rFonts w:ascii="Times New Roman" w:eastAsia="Times New Roman" w:hAnsi="Times New Roman" w:cs="Times New Roman"/>
          <w:i/>
          <w:kern w:val="0"/>
          <w:sz w:val="24"/>
          <w:szCs w:val="24"/>
          <w:lang w:eastAsia="ru-RU"/>
          <w14:ligatures w14:val="none"/>
        </w:rPr>
        <w:t>State Border Guard Service of Ukraine</w:t>
      </w:r>
      <w:r w:rsidRPr="00B44B71">
        <w:rPr>
          <w:rFonts w:ascii="Times New Roman" w:eastAsia="Calibri" w:hAnsi="Times New Roman" w:cs="Times New Roman"/>
          <w:i/>
          <w:kern w:val="0"/>
          <w:sz w:val="24"/>
          <w:szCs w:val="24"/>
          <w:lang w:eastAsia="ru-RU"/>
          <w14:ligatures w14:val="none"/>
        </w:rPr>
        <w:t xml:space="preserve">, as a subject of the defence forces, depends on a clear understanding of the structure of the officer training system and the effectiveness of its implementation. The purpose of this article is to present a vision for the formation of a model for implementing the principle of “Education Throughout the Military Career” for the main standard positions of the officer corps of the State Border Guard Service of Ukraine as an organizational and scientific-methodological framework for implementing the Concept for the Transformation of the Military Education System, taking into account the provisions of regulatory and legal acts governing the activities of the State Border Guard Service of Ukraine. To achieve the research objective, a structural-functional analysis was performed, along with general scientific methods such as comparison, analogy, analysis and synthesis and an information-based approach. The article outlines the main provisions of the military border guard education system, describes the structure of the education system for officers of the State Border Guard Service of Ukraine and develops a model for implementing the principle of “Education Throughout the Military Career” for the main standard positions of the officer corps of the State Border Guard Service of Ukraine. In developing the model, consideration was given to the organizational and staffing structure and functions of the established structural units of the State Border Guard Service of Ukraine, the list of officer positions within the Service, the correspondence between the structural units of the State Border Guard Service of Ukraine and the Armed Forces of Ukraine in terms of quantitative indicators and assigned tasks, as well as the institutional experience of the border guard agency. Within the framework of the proposed model, in particular, the correspondence between educational levels, standard positions, </w:t>
      </w:r>
      <w:r w:rsidRPr="00B44B71">
        <w:rPr>
          <w:rFonts w:ascii="Times New Roman" w:eastAsia="Calibri" w:hAnsi="Times New Roman" w:cs="Times New Roman"/>
          <w:i/>
          <w:kern w:val="0"/>
          <w:sz w:val="24"/>
          <w:szCs w:val="24"/>
          <w:lang w:eastAsia="ru-RU"/>
          <w14:ligatures w14:val="none"/>
        </w:rPr>
        <w:lastRenderedPageBreak/>
        <w:t>corresponding military ranks and qualifications of the officer corps of the State Border Guard Service of Ukraine has been clarified. It has been determined that the possibility of addressing the problem of enhancing the professional competence of personnel of the State Border Guard Service of Ukraine as a component of the defence forces, depends on the effective implementation of the developed model.</w:t>
      </w:r>
    </w:p>
    <w:p w14:paraId="5F2F4463"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i/>
          <w:kern w:val="0"/>
          <w:sz w:val="24"/>
          <w:szCs w:val="24"/>
          <w:lang w:eastAsia="ru-RU"/>
          <w14:ligatures w14:val="none"/>
        </w:rPr>
      </w:pPr>
      <w:r w:rsidRPr="00B44B71">
        <w:rPr>
          <w:rFonts w:ascii="Times New Roman" w:eastAsia="Calibri" w:hAnsi="Times New Roman" w:cs="Times New Roman"/>
          <w:b/>
          <w:bCs/>
          <w:i/>
          <w:kern w:val="0"/>
          <w:sz w:val="24"/>
          <w:szCs w:val="24"/>
          <w:lang w:eastAsia="ru-RU"/>
          <w14:ligatures w14:val="none"/>
        </w:rPr>
        <w:t>Keywords:</w:t>
      </w:r>
      <w:r w:rsidRPr="00B44B71">
        <w:rPr>
          <w:rFonts w:ascii="Times New Roman" w:eastAsia="Calibri" w:hAnsi="Times New Roman" w:cs="Times New Roman"/>
          <w:i/>
          <w:kern w:val="0"/>
          <w:sz w:val="24"/>
          <w:szCs w:val="24"/>
          <w:lang w:eastAsia="ru-RU"/>
          <w14:ligatures w14:val="none"/>
        </w:rPr>
        <w:t xml:space="preserve"> defence forces, model, principle, State Border Guard Service of Ukraine, officer corps, transformation of the military education system.</w:t>
      </w:r>
    </w:p>
    <w:p w14:paraId="335F689A" w14:textId="77777777" w:rsidR="00B44B71" w:rsidRPr="00B44B71" w:rsidRDefault="00B44B71" w:rsidP="00023291">
      <w:pPr>
        <w:tabs>
          <w:tab w:val="left" w:pos="9638"/>
        </w:tabs>
        <w:spacing w:after="0" w:line="240" w:lineRule="auto"/>
        <w:ind w:firstLine="567"/>
        <w:contextualSpacing/>
        <w:jc w:val="both"/>
        <w:rPr>
          <w:rFonts w:ascii="Times New Roman" w:eastAsia="Calibri" w:hAnsi="Times New Roman" w:cs="Times New Roman"/>
          <w:kern w:val="0"/>
          <w:sz w:val="28"/>
          <w:szCs w:val="28"/>
          <w14:ligatures w14:val="none"/>
        </w:rPr>
      </w:pPr>
    </w:p>
    <w:p w14:paraId="6E3C9F3A"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kern w:val="0"/>
          <w:sz w:val="28"/>
          <w:szCs w:val="28"/>
          <w:lang w:val="uk-UA" w:eastAsia="ru-RU"/>
          <w14:ligatures w14:val="none"/>
        </w:rPr>
        <w:t>Вступ.</w:t>
      </w:r>
      <w:r w:rsidRPr="00B44B71">
        <w:rPr>
          <w:rFonts w:ascii="Times New Roman" w:eastAsia="Times New Roman" w:hAnsi="Times New Roman" w:cs="Times New Roman"/>
          <w:kern w:val="0"/>
          <w:sz w:val="28"/>
          <w:szCs w:val="28"/>
          <w:lang w:val="uk-UA" w:eastAsia="ru-RU"/>
          <w14:ligatures w14:val="none"/>
        </w:rPr>
        <w:t xml:space="preserve"> </w:t>
      </w:r>
      <w:bookmarkStart w:id="43" w:name="_Hlk69135236"/>
      <w:r w:rsidRPr="00B44B71">
        <w:rPr>
          <w:rFonts w:ascii="Times New Roman" w:eastAsia="Times New Roman" w:hAnsi="Times New Roman" w:cs="Times New Roman"/>
          <w:kern w:val="0"/>
          <w:sz w:val="28"/>
          <w:szCs w:val="28"/>
          <w:lang w:val="uk-UA" w:eastAsia="ru-RU"/>
          <w14:ligatures w14:val="none"/>
        </w:rPr>
        <w:t xml:space="preserve">Протягом останнього десятиліття Україна чітко декларує і провадить активну діяльність щодо європейської та євроатлантичної інтеграції. Одним із механізмів її досягнення є стандартизація систем, норм, процедур, що стосуються різних сфер діяльності, в тому числі і сфери безпеки і оборони України. </w:t>
      </w:r>
    </w:p>
    <w:p w14:paraId="26B5789F"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ru-RU" w:eastAsia="uk-UA"/>
          <w14:ligatures w14:val="none"/>
        </w:rPr>
      </w:pPr>
      <w:r w:rsidRPr="00B44B71">
        <w:rPr>
          <w:rFonts w:ascii="Times New Roman" w:eastAsia="Times New Roman" w:hAnsi="Times New Roman" w:cs="Times New Roman"/>
          <w:kern w:val="0"/>
          <w:sz w:val="28"/>
          <w:szCs w:val="28"/>
          <w:lang w:val="uk-UA"/>
          <w14:ligatures w14:val="none"/>
        </w:rPr>
        <w:t>Результати діяльності основних суб’єктів сф</w:t>
      </w:r>
      <w:r w:rsidRPr="00B44B71">
        <w:rPr>
          <w:rFonts w:ascii="Times New Roman" w:eastAsia="Times New Roman" w:hAnsi="Times New Roman" w:cs="Times New Roman"/>
          <w:kern w:val="0"/>
          <w:sz w:val="28"/>
          <w:szCs w:val="28"/>
          <w:lang w:val="uk-UA" w:eastAsia="ru-RU"/>
          <w14:ligatures w14:val="none"/>
        </w:rPr>
        <w:t>ери безпеки і оборони України,</w:t>
      </w:r>
      <w:r w:rsidRPr="00B44B71">
        <w:rPr>
          <w:rFonts w:ascii="Times New Roman" w:eastAsia="Times New Roman" w:hAnsi="Times New Roman" w:cs="Times New Roman"/>
          <w:kern w:val="0"/>
          <w:sz w:val="28"/>
          <w:szCs w:val="28"/>
          <w:lang w:val="uk-UA"/>
          <w14:ligatures w14:val="none"/>
        </w:rPr>
        <w:t xml:space="preserve"> їх актуальні проблеми та шляхи і механізми вирішення систематично аналізуються </w:t>
      </w:r>
      <w:r w:rsidRPr="00B44B71">
        <w:rPr>
          <w:rFonts w:ascii="Times New Roman" w:eastAsia="Times New Roman" w:hAnsi="Times New Roman" w:cs="Times New Roman"/>
          <w:kern w:val="0"/>
          <w:sz w:val="28"/>
          <w:szCs w:val="28"/>
          <w:lang w:val="uk-UA" w:eastAsia="ru-RU"/>
          <w14:ligatures w14:val="none"/>
        </w:rPr>
        <w:t>Радою національної безпеки і оборони України. Так, у р</w:t>
      </w:r>
      <w:r w:rsidRPr="00B44B71">
        <w:rPr>
          <w:rFonts w:ascii="Times New Roman" w:eastAsia="Times New Roman" w:hAnsi="Times New Roman" w:cs="Times New Roman"/>
          <w:kern w:val="0"/>
          <w:sz w:val="28"/>
          <w:szCs w:val="28"/>
          <w:lang w:val="ru-RU" w:eastAsia="ru-RU"/>
          <w14:ligatures w14:val="none"/>
        </w:rPr>
        <w:t>ішенн</w:t>
      </w:r>
      <w:r w:rsidRPr="00B44B71">
        <w:rPr>
          <w:rFonts w:ascii="Times New Roman" w:eastAsia="Times New Roman" w:hAnsi="Times New Roman" w:cs="Times New Roman"/>
          <w:kern w:val="0"/>
          <w:sz w:val="28"/>
          <w:szCs w:val="28"/>
          <w:lang w:val="uk-UA" w:eastAsia="ru-RU"/>
          <w14:ligatures w14:val="none"/>
        </w:rPr>
        <w:t>і</w:t>
      </w:r>
      <w:r w:rsidRPr="00B44B71">
        <w:rPr>
          <w:rFonts w:ascii="Times New Roman" w:eastAsia="Times New Roman" w:hAnsi="Times New Roman" w:cs="Times New Roman"/>
          <w:kern w:val="0"/>
          <w:sz w:val="28"/>
          <w:szCs w:val="28"/>
          <w:lang w:val="ru-RU" w:eastAsia="ru-RU"/>
          <w14:ligatures w14:val="none"/>
        </w:rPr>
        <w:t xml:space="preserve"> Ради національної безпеки і оборони України від 20</w:t>
      </w:r>
      <w:r w:rsidRPr="00B44B71">
        <w:rPr>
          <w:rFonts w:ascii="Times New Roman" w:eastAsia="Times New Roman" w:hAnsi="Times New Roman" w:cs="Times New Roman"/>
          <w:kern w:val="0"/>
          <w:sz w:val="28"/>
          <w:szCs w:val="28"/>
          <w:lang w:val="uk-UA" w:eastAsia="ru-RU"/>
          <w14:ligatures w14:val="none"/>
        </w:rPr>
        <w:t> </w:t>
      </w:r>
      <w:r w:rsidRPr="00B44B71">
        <w:rPr>
          <w:rFonts w:ascii="Times New Roman" w:eastAsia="Times New Roman" w:hAnsi="Times New Roman" w:cs="Times New Roman"/>
          <w:kern w:val="0"/>
          <w:sz w:val="28"/>
          <w:szCs w:val="28"/>
          <w:lang w:val="ru-RU" w:eastAsia="ru-RU"/>
          <w14:ligatures w14:val="none"/>
        </w:rPr>
        <w:t>серпня 2021</w:t>
      </w:r>
      <w:r w:rsidRPr="00B44B71">
        <w:rPr>
          <w:rFonts w:ascii="Times New Roman" w:eastAsia="Times New Roman" w:hAnsi="Times New Roman" w:cs="Times New Roman"/>
          <w:kern w:val="0"/>
          <w:sz w:val="28"/>
          <w:szCs w:val="28"/>
          <w:lang w:val="uk-UA" w:eastAsia="ru-RU"/>
          <w14:ligatures w14:val="none"/>
        </w:rPr>
        <w:t> </w:t>
      </w:r>
      <w:r w:rsidRPr="00B44B71">
        <w:rPr>
          <w:rFonts w:ascii="Times New Roman" w:eastAsia="Times New Roman" w:hAnsi="Times New Roman" w:cs="Times New Roman"/>
          <w:kern w:val="0"/>
          <w:sz w:val="28"/>
          <w:szCs w:val="28"/>
          <w:lang w:val="ru-RU" w:eastAsia="ru-RU"/>
          <w14:ligatures w14:val="none"/>
        </w:rPr>
        <w:t>року «Про Стратегічний оборонний бюлетень України» визначено, що розвиток сил оборони України здійснюється відповідно до принципів і стандартів НАТО</w:t>
      </w:r>
      <w:r w:rsidRPr="00B44B71">
        <w:rPr>
          <w:rFonts w:ascii="Times New Roman" w:eastAsia="Times New Roman" w:hAnsi="Times New Roman" w:cs="Times New Roman"/>
          <w:kern w:val="0"/>
          <w:sz w:val="28"/>
          <w:szCs w:val="28"/>
          <w:lang w:val="uk-UA" w:eastAsia="ru-RU"/>
          <w14:ligatures w14:val="none"/>
        </w:rPr>
        <w:t xml:space="preserve">, а також </w:t>
      </w:r>
      <w:r w:rsidRPr="00B44B71">
        <w:rPr>
          <w:rFonts w:ascii="Times New Roman" w:eastAsia="Times New Roman" w:hAnsi="Times New Roman" w:cs="Times New Roman"/>
          <w:kern w:val="0"/>
          <w:sz w:val="28"/>
          <w:szCs w:val="28"/>
          <w:lang w:val="ru-RU" w:eastAsia="ru-RU"/>
          <w14:ligatures w14:val="none"/>
        </w:rPr>
        <w:t>ідентифік</w:t>
      </w:r>
      <w:r w:rsidRPr="00B44B71">
        <w:rPr>
          <w:rFonts w:ascii="Times New Roman" w:eastAsia="Times New Roman" w:hAnsi="Times New Roman" w:cs="Times New Roman"/>
          <w:kern w:val="0"/>
          <w:sz w:val="28"/>
          <w:szCs w:val="28"/>
          <w:lang w:val="uk-UA" w:eastAsia="ru-RU"/>
          <w14:ligatures w14:val="none"/>
        </w:rPr>
        <w:t xml:space="preserve">овано </w:t>
      </w:r>
      <w:r w:rsidRPr="00B44B71">
        <w:rPr>
          <w:rFonts w:ascii="Times New Roman" w:eastAsia="Times New Roman" w:hAnsi="Times New Roman" w:cs="Times New Roman"/>
          <w:kern w:val="0"/>
          <w:sz w:val="28"/>
          <w:szCs w:val="28"/>
          <w:lang w:val="ru-RU" w:eastAsia="ru-RU"/>
          <w14:ligatures w14:val="none"/>
        </w:rPr>
        <w:t xml:space="preserve">низку системних проблем функціонування сил оборони в умовах наявних і потенційних загроз, серед яких: недосконалість законодавчого забезпечення у сфері оборони; незавершеність формування системи об’єднаного керівництва силами оборони та військового управління у </w:t>
      </w:r>
      <w:r w:rsidRPr="00B44B71">
        <w:rPr>
          <w:rFonts w:ascii="Times New Roman" w:eastAsia="Times New Roman" w:hAnsi="Times New Roman" w:cs="Times New Roman"/>
          <w:kern w:val="0"/>
          <w:sz w:val="28"/>
          <w:szCs w:val="28"/>
          <w:lang w:val="uk-UA" w:eastAsia="ru-RU"/>
          <w14:ligatures w14:val="none"/>
        </w:rPr>
        <w:t>ЗСУ</w:t>
      </w:r>
      <w:r w:rsidRPr="00B44B71">
        <w:rPr>
          <w:rFonts w:ascii="Times New Roman" w:eastAsia="Times New Roman" w:hAnsi="Times New Roman" w:cs="Times New Roman"/>
          <w:kern w:val="0"/>
          <w:sz w:val="28"/>
          <w:szCs w:val="28"/>
          <w:lang w:val="ru-RU" w:eastAsia="ru-RU"/>
          <w14:ligatures w14:val="none"/>
        </w:rPr>
        <w:t>; потреба у підвищенні професійного рівня особового складу сил оборони</w:t>
      </w:r>
      <w:r w:rsidRPr="00B44B71">
        <w:rPr>
          <w:rFonts w:ascii="Times New Roman" w:eastAsia="Times New Roman" w:hAnsi="Times New Roman" w:cs="Times New Roman"/>
          <w:kern w:val="0"/>
          <w:sz w:val="28"/>
          <w:szCs w:val="28"/>
          <w:lang w:val="uk-UA" w:eastAsia="ru-RU"/>
          <w14:ligatures w14:val="none"/>
        </w:rPr>
        <w:t xml:space="preserve"> </w:t>
      </w:r>
      <w:r w:rsidRPr="00B44B71">
        <w:rPr>
          <w:rFonts w:ascii="Times New Roman" w:eastAsia="Times New Roman" w:hAnsi="Times New Roman" w:cs="Times New Roman"/>
          <w:kern w:val="0"/>
          <w:sz w:val="28"/>
          <w:szCs w:val="28"/>
          <w:lang w:val="ru-RU" w:eastAsia="ru-RU"/>
          <w14:ligatures w14:val="none"/>
        </w:rPr>
        <w:t>тощо.</w:t>
      </w:r>
    </w:p>
    <w:p w14:paraId="1AE12BAE"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ru-RU" w:eastAsia="ru-RU"/>
          <w14:ligatures w14:val="none"/>
        </w:rPr>
        <w:t xml:space="preserve">Пошук ефективних механізмів розв’язання проблеми підвищення професійного рівня особового складу сил оборони </w:t>
      </w:r>
      <w:r w:rsidRPr="00B44B71">
        <w:rPr>
          <w:rFonts w:ascii="Times New Roman" w:eastAsia="Times New Roman" w:hAnsi="Times New Roman" w:cs="Times New Roman"/>
          <w:kern w:val="0"/>
          <w:sz w:val="28"/>
          <w:szCs w:val="28"/>
          <w:lang w:val="uk-UA" w:eastAsia="ru-RU"/>
          <w14:ligatures w14:val="none"/>
        </w:rPr>
        <w:t xml:space="preserve">призвів до </w:t>
      </w:r>
      <w:r w:rsidRPr="00B44B71">
        <w:rPr>
          <w:rFonts w:ascii="Times New Roman" w:eastAsia="Times New Roman" w:hAnsi="Times New Roman" w:cs="Times New Roman"/>
          <w:kern w:val="0"/>
          <w:sz w:val="28"/>
          <w:szCs w:val="28"/>
          <w:lang w:val="ru-RU" w:eastAsia="ru-RU"/>
          <w14:ligatures w14:val="none"/>
        </w:rPr>
        <w:t>прийнятт</w:t>
      </w:r>
      <w:r w:rsidRPr="00B44B71">
        <w:rPr>
          <w:rFonts w:ascii="Times New Roman" w:eastAsia="Times New Roman" w:hAnsi="Times New Roman" w:cs="Times New Roman"/>
          <w:kern w:val="0"/>
          <w:sz w:val="28"/>
          <w:szCs w:val="28"/>
          <w:lang w:val="uk-UA" w:eastAsia="ru-RU"/>
          <w14:ligatures w14:val="none"/>
        </w:rPr>
        <w:t>я</w:t>
      </w:r>
      <w:r w:rsidRPr="00B44B71">
        <w:rPr>
          <w:rFonts w:ascii="Times New Roman" w:eastAsia="Times New Roman" w:hAnsi="Times New Roman" w:cs="Times New Roman"/>
          <w:kern w:val="0"/>
          <w:sz w:val="28"/>
          <w:szCs w:val="28"/>
          <w:lang w:val="ru-RU" w:eastAsia="ru-RU"/>
          <w14:ligatures w14:val="none"/>
        </w:rPr>
        <w:t xml:space="preserve"> Закону України «Про внесення змін до деяких законів України щодо військової освіти та науки». Відповідно до зазначеного нормативно-правового акта до Закону України «Про освіту» було внесено зміни, зокрема запроваджено поняття професійної військової освіти</w:t>
      </w:r>
      <w:r w:rsidRPr="00B44B71">
        <w:rPr>
          <w:rFonts w:ascii="Times New Roman" w:eastAsia="Times New Roman" w:hAnsi="Times New Roman" w:cs="Times New Roman"/>
          <w:kern w:val="0"/>
          <w:sz w:val="28"/>
          <w:szCs w:val="28"/>
          <w:lang w:val="uk-UA" w:eastAsia="ru-RU"/>
          <w14:ligatures w14:val="none"/>
        </w:rPr>
        <w:t xml:space="preserve">. </w:t>
      </w:r>
      <w:r w:rsidRPr="00B44B71">
        <w:rPr>
          <w:rFonts w:ascii="Times New Roman" w:eastAsia="Times New Roman" w:hAnsi="Times New Roman" w:cs="Times New Roman"/>
          <w:kern w:val="0"/>
          <w:sz w:val="28"/>
          <w:szCs w:val="28"/>
          <w:lang w:val="uk-UA"/>
          <w14:ligatures w14:val="none"/>
        </w:rPr>
        <w:t>Також було внесено зміни і в Закон України «</w:t>
      </w:r>
      <w:r w:rsidRPr="00B44B71">
        <w:rPr>
          <w:rFonts w:ascii="Times New Roman" w:eastAsia="Times New Roman" w:hAnsi="Times New Roman" w:cs="Times New Roman"/>
          <w:kern w:val="0"/>
          <w:sz w:val="28"/>
          <w:szCs w:val="28"/>
          <w:lang w:val="uk-UA" w:eastAsia="ru-RU"/>
          <w14:ligatures w14:val="none"/>
        </w:rPr>
        <w:t xml:space="preserve">Про вищу освіту» </w:t>
      </w:r>
      <w:r w:rsidRPr="00B44B71">
        <w:rPr>
          <w:rFonts w:ascii="Times New Roman" w:eastAsia="Times New Roman" w:hAnsi="Times New Roman" w:cs="Times New Roman"/>
          <w:kern w:val="0"/>
          <w:sz w:val="28"/>
          <w:szCs w:val="28"/>
          <w:lang w:val="uk-UA"/>
          <w14:ligatures w14:val="none"/>
        </w:rPr>
        <w:t xml:space="preserve">та розмежовано поняття </w:t>
      </w:r>
      <w:r w:rsidRPr="00B44B71">
        <w:rPr>
          <w:rFonts w:ascii="Times New Roman" w:eastAsia="Times New Roman" w:hAnsi="Times New Roman" w:cs="Times New Roman"/>
          <w:kern w:val="0"/>
          <w:sz w:val="28"/>
          <w:szCs w:val="28"/>
          <w:lang w:val="uk-UA" w:eastAsia="ru-RU"/>
          <w14:ligatures w14:val="none"/>
        </w:rPr>
        <w:t xml:space="preserve">вищого військового навчального закладу (ВВНЗ) та закладу вищої освіти (ЗВО) із специфічними умовами навчання. </w:t>
      </w:r>
      <w:r w:rsidRPr="00B44B71">
        <w:rPr>
          <w:rFonts w:ascii="Times New Roman" w:eastAsia="Times New Roman" w:hAnsi="Times New Roman" w:cs="Times New Roman"/>
          <w:kern w:val="0"/>
          <w:sz w:val="28"/>
          <w:szCs w:val="28"/>
          <w:lang w:val="uk-UA"/>
          <w14:ligatures w14:val="none"/>
        </w:rPr>
        <w:t xml:space="preserve">Зазначені законодавчі зміни відкрили шлях до формування механізмів реалізації </w:t>
      </w:r>
      <w:r w:rsidRPr="00B44B71">
        <w:rPr>
          <w:rFonts w:ascii="Times New Roman" w:eastAsia="Times New Roman" w:hAnsi="Times New Roman" w:cs="Times New Roman"/>
          <w:kern w:val="0"/>
          <w:sz w:val="28"/>
          <w:szCs w:val="28"/>
          <w:lang w:val="uk-UA" w:eastAsia="ru-RU"/>
          <w14:ligatures w14:val="none"/>
        </w:rPr>
        <w:t>професійної військової освіти в Україні. Механізми реалізації законодавчих змін знайшли відображення в Концепції трансформації системи військової освіти, затвердженій постановою Кабінету Міністрів України «Про трансформацію системи військової освіти».</w:t>
      </w:r>
    </w:p>
    <w:p w14:paraId="4B55635D"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Отже, фундаментальною основою для </w:t>
      </w:r>
      <w:r w:rsidRPr="00B44B71">
        <w:rPr>
          <w:rFonts w:ascii="Times New Roman" w:eastAsia="Times New Roman" w:hAnsi="Times New Roman" w:cs="Times New Roman"/>
          <w:kern w:val="0"/>
          <w:sz w:val="28"/>
          <w:szCs w:val="28"/>
          <w:lang w:val="uk-UA"/>
          <w14:ligatures w14:val="none"/>
        </w:rPr>
        <w:t xml:space="preserve">розвитку сил оборони України відповідно до принципів і стандартів НАТО та реалізації </w:t>
      </w:r>
      <w:r w:rsidRPr="00B44B71">
        <w:rPr>
          <w:rFonts w:ascii="Times New Roman" w:eastAsia="Times New Roman" w:hAnsi="Times New Roman" w:cs="Times New Roman"/>
          <w:kern w:val="0"/>
          <w:sz w:val="28"/>
          <w:szCs w:val="28"/>
          <w:lang w:val="uk-UA" w:eastAsia="ru-RU"/>
          <w14:ligatures w14:val="none"/>
        </w:rPr>
        <w:t xml:space="preserve">шляхів </w:t>
      </w:r>
      <w:r w:rsidRPr="00B44B71">
        <w:rPr>
          <w:rFonts w:ascii="Times New Roman" w:eastAsia="Times New Roman" w:hAnsi="Times New Roman" w:cs="Times New Roman"/>
          <w:kern w:val="0"/>
          <w:sz w:val="28"/>
          <w:szCs w:val="28"/>
          <w:lang w:val="uk-UA"/>
          <w14:ligatures w14:val="none"/>
        </w:rPr>
        <w:t xml:space="preserve">підвищення професійного рівня особового складу сил оборони стала </w:t>
      </w:r>
      <w:r w:rsidRPr="00B44B71">
        <w:rPr>
          <w:rFonts w:ascii="Times New Roman" w:eastAsia="Times New Roman" w:hAnsi="Times New Roman" w:cs="Times New Roman"/>
          <w:kern w:val="0"/>
          <w:sz w:val="28"/>
          <w:szCs w:val="28"/>
          <w:lang w:val="uk-UA" w:eastAsia="ru-RU"/>
          <w14:ligatures w14:val="none"/>
        </w:rPr>
        <w:t xml:space="preserve">законодавча база України з питань професійної військової освіти. Її аналіз дозволяє зробити висновок про те, що зазначений </w:t>
      </w:r>
      <w:r w:rsidRPr="00B44B71">
        <w:rPr>
          <w:rFonts w:ascii="Times New Roman" w:eastAsia="Times New Roman" w:hAnsi="Times New Roman" w:cs="Times New Roman"/>
          <w:kern w:val="0"/>
          <w:sz w:val="28"/>
          <w:szCs w:val="28"/>
          <w:lang w:val="uk-UA"/>
          <w14:ligatures w14:val="none"/>
        </w:rPr>
        <w:t xml:space="preserve">розвиток має здійснюватись </w:t>
      </w:r>
      <w:r w:rsidRPr="00B44B71">
        <w:rPr>
          <w:rFonts w:ascii="Times New Roman" w:eastAsia="Times New Roman" w:hAnsi="Times New Roman" w:cs="Times New Roman"/>
          <w:kern w:val="0"/>
          <w:sz w:val="28"/>
          <w:szCs w:val="28"/>
          <w:lang w:val="ru-RU"/>
          <w14:ligatures w14:val="none"/>
        </w:rPr>
        <w:t xml:space="preserve">на основі запровадження систем і моделей </w:t>
      </w:r>
      <w:r w:rsidRPr="00B44B71">
        <w:rPr>
          <w:rFonts w:ascii="Times New Roman" w:eastAsia="Times New Roman" w:hAnsi="Times New Roman" w:cs="Times New Roman"/>
          <w:kern w:val="0"/>
          <w:sz w:val="28"/>
          <w:szCs w:val="28"/>
          <w:lang w:val="ru-RU" w:eastAsia="ru-RU"/>
          <w14:ligatures w14:val="none"/>
        </w:rPr>
        <w:t>реалізації принципу «Освіта впродовж військової кар’єри»</w:t>
      </w:r>
      <w:r w:rsidRPr="00B44B71">
        <w:rPr>
          <w:rFonts w:ascii="Times New Roman" w:eastAsia="Times New Roman" w:hAnsi="Times New Roman" w:cs="Times New Roman"/>
          <w:kern w:val="0"/>
          <w:sz w:val="28"/>
          <w:szCs w:val="28"/>
          <w:lang w:val="uk-UA" w:eastAsia="ru-RU"/>
          <w14:ligatures w14:val="none"/>
        </w:rPr>
        <w:t>.</w:t>
      </w:r>
    </w:p>
    <w:p w14:paraId="25D1C69F"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ru-RU"/>
          <w14:ligatures w14:val="none"/>
        </w:rPr>
        <w:lastRenderedPageBreak/>
        <w:t>Зазначена Концепція чітко регламентує загальні механізми підготовки військових фахівців в Україні, але не дає відповіді на питання щодо особливостей підготовки для окремих складових сектору безпеки і оборони. Згідно Закону України «</w:t>
      </w:r>
      <w:r w:rsidRPr="00B44B71">
        <w:rPr>
          <w:rFonts w:ascii="Times New Roman" w:eastAsia="Times New Roman" w:hAnsi="Times New Roman" w:cs="Times New Roman"/>
          <w:kern w:val="0"/>
          <w:sz w:val="28"/>
          <w:szCs w:val="28"/>
          <w:lang w:val="uk-UA"/>
          <w14:ligatures w14:val="none"/>
        </w:rPr>
        <w:t xml:space="preserve">Про національну безпеку України» </w:t>
      </w:r>
      <w:r w:rsidRPr="00B44B71">
        <w:rPr>
          <w:rFonts w:ascii="Times New Roman" w:eastAsia="Times New Roman" w:hAnsi="Times New Roman" w:cs="Times New Roman"/>
          <w:kern w:val="0"/>
          <w:sz w:val="28"/>
          <w:szCs w:val="28"/>
          <w:lang w:val="uk-UA" w:eastAsia="ru-RU"/>
          <w14:ligatures w14:val="none"/>
        </w:rPr>
        <w:t>до с</w:t>
      </w:r>
      <w:r w:rsidRPr="00B44B71">
        <w:rPr>
          <w:rFonts w:ascii="Times New Roman" w:eastAsia="Times New Roman" w:hAnsi="Times New Roman" w:cs="Times New Roman"/>
          <w:kern w:val="0"/>
          <w:sz w:val="28"/>
          <w:szCs w:val="28"/>
          <w:lang w:val="uk-UA"/>
          <w14:ligatures w14:val="none"/>
        </w:rPr>
        <w:t xml:space="preserve">кладу сектору безпеки і оборони України відноситься значна кількість суб’єктів, діяльність яких регламентується окремими нормативно-правовими актами. Тому реалізація положень </w:t>
      </w:r>
      <w:r w:rsidRPr="00B44B71">
        <w:rPr>
          <w:rFonts w:ascii="Times New Roman" w:eastAsia="Times New Roman" w:hAnsi="Times New Roman" w:cs="Times New Roman"/>
          <w:kern w:val="0"/>
          <w:sz w:val="28"/>
          <w:szCs w:val="28"/>
          <w:lang w:val="uk-UA" w:eastAsia="ru-RU"/>
          <w14:ligatures w14:val="none"/>
        </w:rPr>
        <w:t xml:space="preserve">Концепції трансформації системи військової освіти в межах функціонування окремих відомств має передбачати врахування загальних положень постанови Кабінету Міністрів України «Про трансформацію системи військової освіти» і враховувати специфіку діяльності відомств, що визначається необхідністю виконання їх функцій і завдань, визначених відповідними нормативно-правовими актами. </w:t>
      </w:r>
      <w:r w:rsidRPr="00B44B71">
        <w:rPr>
          <w:rFonts w:ascii="Times New Roman" w:eastAsia="Times New Roman" w:hAnsi="Times New Roman" w:cs="Times New Roman"/>
          <w:kern w:val="0"/>
          <w:sz w:val="28"/>
          <w:szCs w:val="28"/>
          <w:lang w:val="uk-UA" w:eastAsia="uk-UA"/>
          <w14:ligatures w14:val="none"/>
        </w:rPr>
        <w:t>Зазначене зумовлює актуальність проблематики пошуку відомчих механізмів підвищення професійного рівня особового складу.</w:t>
      </w:r>
    </w:p>
    <w:p w14:paraId="7BBD8173"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 xml:space="preserve">З огляду на це, у ДПСУ як суб’єкті сектору безпеки і оборони, було проведено дослідження щодо можливостей адаптації кращих організаційних і науково-методичних практик з метою вдосконалення національної системи підготовки офіцерського складу прикордонного відомства (Білявець, Торічний, Панібрат, 2025). У праці (Білявець та ін., 2025) проведено комплексний аналіз систем підготовки ЗСУ та </w:t>
      </w:r>
      <w:r w:rsidRPr="00B44B71">
        <w:rPr>
          <w:rFonts w:ascii="Times New Roman" w:eastAsia="Times New Roman" w:hAnsi="Times New Roman" w:cs="Times New Roman"/>
          <w:kern w:val="0"/>
          <w:sz w:val="28"/>
          <w:szCs w:val="28"/>
          <w:lang w:val="uk-UA" w:eastAsia="ru-RU"/>
          <w14:ligatures w14:val="none"/>
        </w:rPr>
        <w:t>Національної гвардії України (НГУ)</w:t>
      </w:r>
      <w:r w:rsidRPr="00B44B71">
        <w:rPr>
          <w:rFonts w:ascii="Times New Roman" w:eastAsia="Times New Roman" w:hAnsi="Times New Roman" w:cs="Times New Roman"/>
          <w:kern w:val="0"/>
          <w:sz w:val="28"/>
          <w:szCs w:val="28"/>
          <w:lang w:val="uk-UA" w:eastAsia="uk-UA"/>
          <w14:ligatures w14:val="none"/>
        </w:rPr>
        <w:t>. Визначено їхні специфічні характеристики, що охоплюють організаційно-функціональні та змістові засади, досліджено проблемні аспекти їх реалізації, а також здійснено порівняльну оцінку зазначених систем. Крім того, виокремлено елементи досліджених систем, доцільні для врахування у процесі формування удосконаленої системи підготовки офіцерського складу ДПСУ.</w:t>
      </w:r>
    </w:p>
    <w:p w14:paraId="301C01C1"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ru-RU" w:eastAsia="ru-RU"/>
          <w14:ligatures w14:val="none"/>
        </w:rPr>
        <w:t>У ході проведен</w:t>
      </w:r>
      <w:r w:rsidRPr="00B44B71">
        <w:rPr>
          <w:rFonts w:ascii="Times New Roman" w:eastAsia="Times New Roman" w:hAnsi="Times New Roman" w:cs="Times New Roman"/>
          <w:kern w:val="0"/>
          <w:sz w:val="28"/>
          <w:szCs w:val="28"/>
          <w:lang w:val="uk-UA" w:eastAsia="ru-RU"/>
          <w14:ligatures w14:val="none"/>
        </w:rPr>
        <w:t>ня</w:t>
      </w:r>
      <w:r w:rsidRPr="00B44B71">
        <w:rPr>
          <w:rFonts w:ascii="Times New Roman" w:eastAsia="Times New Roman" w:hAnsi="Times New Roman" w:cs="Times New Roman"/>
          <w:kern w:val="0"/>
          <w:sz w:val="28"/>
          <w:szCs w:val="28"/>
          <w:lang w:val="ru-RU" w:eastAsia="ru-RU"/>
          <w14:ligatures w14:val="none"/>
        </w:rPr>
        <w:t xml:space="preserve"> дослідження встановлено, що питання організації та підходи до реалізації різних видів підготовки персоналу </w:t>
      </w:r>
      <w:r w:rsidRPr="00B44B71">
        <w:rPr>
          <w:rFonts w:ascii="Times New Roman" w:eastAsia="Times New Roman" w:hAnsi="Times New Roman" w:cs="Times New Roman"/>
          <w:kern w:val="0"/>
          <w:sz w:val="28"/>
          <w:szCs w:val="28"/>
          <w:lang w:val="uk-UA" w:eastAsia="ru-RU"/>
          <w14:ligatures w14:val="none"/>
        </w:rPr>
        <w:t>ЗСУ</w:t>
      </w:r>
      <w:r w:rsidRPr="00B44B71">
        <w:rPr>
          <w:rFonts w:ascii="Times New Roman" w:eastAsia="Times New Roman" w:hAnsi="Times New Roman" w:cs="Times New Roman"/>
          <w:kern w:val="0"/>
          <w:sz w:val="28"/>
          <w:szCs w:val="28"/>
          <w:lang w:val="ru-RU" w:eastAsia="ru-RU"/>
          <w14:ligatures w14:val="none"/>
        </w:rPr>
        <w:t xml:space="preserve"> нормативно регламентуються Доктриною «Організація об’єднаної підготовки сил оборони держави», Доктриною з організації підготовки у Збройних Силах України, Настановою з підготовки персоналу у Збройних Силах України та Настановою з бойової підготовки у Збройних Силах України.</w:t>
      </w:r>
      <w:r w:rsidRPr="00B44B71">
        <w:rPr>
          <w:rFonts w:ascii="Times New Roman" w:eastAsia="Times New Roman" w:hAnsi="Times New Roman" w:cs="Times New Roman"/>
          <w:kern w:val="0"/>
          <w:sz w:val="28"/>
          <w:szCs w:val="28"/>
          <w:lang w:val="uk-UA" w:eastAsia="ru-RU"/>
          <w14:ligatures w14:val="none"/>
        </w:rPr>
        <w:t xml:space="preserve"> Аналізу механізмів реалізації положень зазначених нормативних документів з урахуванням Концепції трансформації системи військової освіти присвячено, зокрема, наукові праці (Мірненко, Вітер, Оліферук, 2023; Вітер, Оліферук, Мигун, 2023; Вітер, Оліферук, Мірненко, Мацьовитий, Хома та ін., 2023).</w:t>
      </w:r>
    </w:p>
    <w:p w14:paraId="3D7C0F06" w14:textId="77777777" w:rsidR="00B44B71" w:rsidRPr="00B44B71" w:rsidRDefault="00B44B71" w:rsidP="00023291">
      <w:pPr>
        <w:tabs>
          <w:tab w:val="left" w:pos="1134"/>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Питання удосконалення системи підготовки офіцерського складу НГУ були предметом дослідження, зокрема, в роботах (Головня, Бєлай, 2022; Головня, 2023; Бєлай, Тробюк, Головня, 2023).</w:t>
      </w:r>
    </w:p>
    <w:p w14:paraId="5B591EB6"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14:ligatures w14:val="none"/>
        </w:rPr>
        <w:t xml:space="preserve">Проведений у роботі </w:t>
      </w:r>
      <w:r w:rsidRPr="00B44B71">
        <w:rPr>
          <w:rFonts w:ascii="Times New Roman" w:eastAsia="Times New Roman" w:hAnsi="Times New Roman" w:cs="Times New Roman"/>
          <w:kern w:val="0"/>
          <w:sz w:val="28"/>
          <w:szCs w:val="28"/>
          <w:lang w:val="uk-UA" w:eastAsia="ru-RU"/>
          <w14:ligatures w14:val="none"/>
        </w:rPr>
        <w:t>(</w:t>
      </w:r>
      <w:r w:rsidRPr="00B44B71">
        <w:rPr>
          <w:rFonts w:ascii="Times New Roman" w:eastAsia="Times New Roman" w:hAnsi="Times New Roman" w:cs="Times New Roman"/>
          <w:kern w:val="0"/>
          <w:sz w:val="28"/>
          <w:szCs w:val="28"/>
          <w:lang w:val="uk-UA"/>
          <w14:ligatures w14:val="none"/>
        </w:rPr>
        <w:t xml:space="preserve">Білявець та ін., 2025) аналіз наведених робіт і варіантів реалізації механізмів, окреслених </w:t>
      </w:r>
      <w:r w:rsidRPr="00B44B71">
        <w:rPr>
          <w:rFonts w:ascii="Times New Roman" w:eastAsia="Times New Roman" w:hAnsi="Times New Roman" w:cs="Times New Roman"/>
          <w:kern w:val="0"/>
          <w:sz w:val="28"/>
          <w:szCs w:val="28"/>
          <w:lang w:val="uk-UA" w:eastAsia="ru-RU"/>
          <w14:ligatures w14:val="none"/>
        </w:rPr>
        <w:t>постановою Кабінету Міністрів України «Про трансформацію системи військової освіти»</w:t>
      </w:r>
      <w:r w:rsidRPr="00B44B71">
        <w:rPr>
          <w:rFonts w:ascii="Times New Roman" w:eastAsia="Times New Roman" w:hAnsi="Times New Roman" w:cs="Times New Roman"/>
          <w:kern w:val="0"/>
          <w:sz w:val="28"/>
          <w:szCs w:val="28"/>
          <w:lang w:val="uk-UA"/>
          <w14:ligatures w14:val="none"/>
        </w:rPr>
        <w:t xml:space="preserve">, </w:t>
      </w:r>
      <w:r w:rsidRPr="00B44B71">
        <w:rPr>
          <w:rFonts w:ascii="Times New Roman" w:eastAsia="Times New Roman" w:hAnsi="Times New Roman" w:cs="Times New Roman"/>
          <w:kern w:val="0"/>
          <w:sz w:val="28"/>
          <w:szCs w:val="28"/>
          <w:lang w:val="uk-UA" w:eastAsia="uk-UA"/>
          <w14:ligatures w14:val="none"/>
        </w:rPr>
        <w:t xml:space="preserve">дозволив зробити висновок про те, що єдиний для складових сектору безпеки і оборони України варіант реалізації положень Концепції </w:t>
      </w:r>
      <w:r w:rsidRPr="00B44B71">
        <w:rPr>
          <w:rFonts w:ascii="Times New Roman" w:eastAsia="Times New Roman" w:hAnsi="Times New Roman" w:cs="Times New Roman"/>
          <w:kern w:val="0"/>
          <w:sz w:val="28"/>
          <w:szCs w:val="28"/>
          <w:lang w:val="uk-UA" w:eastAsia="ru-RU"/>
          <w14:ligatures w14:val="none"/>
        </w:rPr>
        <w:t>трансформації системи військової освіти</w:t>
      </w:r>
      <w:r w:rsidRPr="00B44B71">
        <w:rPr>
          <w:rFonts w:ascii="Times New Roman" w:eastAsia="Times New Roman" w:hAnsi="Times New Roman" w:cs="Times New Roman"/>
          <w:kern w:val="0"/>
          <w:sz w:val="28"/>
          <w:szCs w:val="28"/>
          <w:lang w:val="uk-UA" w:eastAsia="uk-UA"/>
          <w14:ligatures w14:val="none"/>
        </w:rPr>
        <w:t xml:space="preserve"> відсутній, а також висунути гіпотезу про те, що </w:t>
      </w:r>
      <w:r w:rsidRPr="00B44B71">
        <w:rPr>
          <w:rFonts w:ascii="Times New Roman" w:eastAsia="Times New Roman" w:hAnsi="Times New Roman" w:cs="Times New Roman"/>
          <w:kern w:val="0"/>
          <w:sz w:val="28"/>
          <w:szCs w:val="28"/>
          <w:lang w:val="uk-UA" w:eastAsia="ru-RU"/>
          <w14:ligatures w14:val="none"/>
        </w:rPr>
        <w:t>вирішення проблеми</w:t>
      </w:r>
      <w:r w:rsidRPr="00B44B71">
        <w:rPr>
          <w:rFonts w:ascii="Times New Roman" w:eastAsia="Times New Roman" w:hAnsi="Times New Roman" w:cs="Times New Roman"/>
          <w:kern w:val="0"/>
          <w:sz w:val="28"/>
          <w:szCs w:val="28"/>
          <w:lang w:val="uk-UA"/>
          <w14:ligatures w14:val="none"/>
        </w:rPr>
        <w:t xml:space="preserve"> підвищення </w:t>
      </w:r>
      <w:r w:rsidRPr="00B44B71">
        <w:rPr>
          <w:rFonts w:ascii="Times New Roman" w:eastAsia="Times New Roman" w:hAnsi="Times New Roman" w:cs="Times New Roman"/>
          <w:kern w:val="0"/>
          <w:sz w:val="28"/>
          <w:szCs w:val="28"/>
          <w:lang w:val="uk-UA"/>
          <w14:ligatures w14:val="none"/>
        </w:rPr>
        <w:lastRenderedPageBreak/>
        <w:t>професійного рівня особового складу ДПСУ, як суб’єкту сил оборони, залежить від наявності та ефективності м</w:t>
      </w:r>
      <w:r w:rsidRPr="00B44B71">
        <w:rPr>
          <w:rFonts w:ascii="Times New Roman" w:eastAsia="Times New Roman" w:hAnsi="Times New Roman" w:cs="Times New Roman"/>
          <w:kern w:val="0"/>
          <w:sz w:val="28"/>
          <w:szCs w:val="28"/>
          <w:lang w:val="uk-UA" w:eastAsia="ru-RU"/>
          <w14:ligatures w14:val="none"/>
        </w:rPr>
        <w:t>оделі реалізації принципу «Освіта впродовж військової кар’єри» для основних типових посад офіцерського складу ДПСУ.</w:t>
      </w:r>
    </w:p>
    <w:p w14:paraId="04FC1B8A"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uk-UA"/>
          <w14:ligatures w14:val="none"/>
        </w:rPr>
        <w:t>Зважаючи на це, метою статті є представлення бачення щодо формування м</w:t>
      </w:r>
      <w:r w:rsidRPr="00B44B71">
        <w:rPr>
          <w:rFonts w:ascii="Times New Roman" w:eastAsia="Times New Roman" w:hAnsi="Times New Roman" w:cs="Times New Roman"/>
          <w:kern w:val="0"/>
          <w:sz w:val="28"/>
          <w:szCs w:val="28"/>
          <w:lang w:val="uk-UA" w:eastAsia="ru-RU"/>
          <w14:ligatures w14:val="none"/>
        </w:rPr>
        <w:t>оделі реалізації принципу «Освіта впродовж військової кар’єри» для основних типових посад офіцерського складу ДПСУ, як організаційної і науково-методичної конструкції реалізації положень постанови Кабінету Міністрів України «Про трансформацію системи військової освіти» з урахуванням норм Закону України «Про Державну прикордонну службу України».</w:t>
      </w:r>
    </w:p>
    <w:p w14:paraId="56B9346E"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Для досягнення мети вбачається за необхідне опрацювати такі завдання:</w:t>
      </w:r>
    </w:p>
    <w:p w14:paraId="1A1D3BC0"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навести бачення щодо можливих шляхів усунення проблем діючої системи підготовки офіцерів ДПСУ;</w:t>
      </w:r>
    </w:p>
    <w:p w14:paraId="6E89FBC8"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окреслити вихідні положення Концепції трансформації системи військової освіти, дотримання яких є обов’язковим при формуванні моделі;</w:t>
      </w:r>
    </w:p>
    <w:p w14:paraId="3E8D08FD"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виокремити позитивні елементи систем підготовки військових фахівців окремих складових сектору безпеки і оборони України;</w:t>
      </w:r>
    </w:p>
    <w:p w14:paraId="439EA9F3"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iCs/>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ru-RU"/>
          <w14:ligatures w14:val="none"/>
        </w:rPr>
        <w:t xml:space="preserve">здійснити опис основних положень системи військово-прикордонної освіти та </w:t>
      </w:r>
      <w:r w:rsidRPr="00B44B71">
        <w:rPr>
          <w:rFonts w:ascii="Times New Roman" w:eastAsia="Times New Roman" w:hAnsi="Times New Roman" w:cs="Times New Roman"/>
          <w:kern w:val="0"/>
          <w:sz w:val="28"/>
          <w:szCs w:val="28"/>
          <w:lang w:val="uk-UA"/>
          <w14:ligatures w14:val="none"/>
        </w:rPr>
        <w:t>с</w:t>
      </w:r>
      <w:r w:rsidRPr="00B44B71">
        <w:rPr>
          <w:rFonts w:ascii="Times New Roman" w:eastAsia="Times New Roman" w:hAnsi="Times New Roman" w:cs="Times New Roman"/>
          <w:kern w:val="0"/>
          <w:sz w:val="28"/>
          <w:szCs w:val="28"/>
          <w:lang w:val="uk-UA" w:eastAsia="ru-RU"/>
          <w14:ligatures w14:val="none"/>
        </w:rPr>
        <w:t xml:space="preserve">труктури системи освіти офіцерів </w:t>
      </w:r>
      <w:r w:rsidRPr="00B44B71">
        <w:rPr>
          <w:rFonts w:ascii="Times New Roman" w:eastAsia="Times New Roman" w:hAnsi="Times New Roman" w:cs="Times New Roman"/>
          <w:iCs/>
          <w:kern w:val="0"/>
          <w:sz w:val="28"/>
          <w:szCs w:val="28"/>
          <w:lang w:val="uk-UA" w:eastAsia="uk-UA"/>
          <w14:ligatures w14:val="none"/>
        </w:rPr>
        <w:t>ДПСУ;</w:t>
      </w:r>
    </w:p>
    <w:p w14:paraId="38EAB98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представити модель реалізації принципу «Освіта впродовж військової кар’єри» для основних типових посад офіцерського складу ДПСУ.</w:t>
      </w:r>
    </w:p>
    <w:p w14:paraId="7936F28D" w14:textId="31467F45" w:rsidR="00E967C0" w:rsidRPr="00B44B71" w:rsidRDefault="00B44B71" w:rsidP="00E967C0">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kern w:val="0"/>
          <w:sz w:val="28"/>
          <w:szCs w:val="28"/>
          <w:lang w:val="uk-UA" w:eastAsia="uk-UA"/>
          <w14:ligatures w14:val="none"/>
        </w:rPr>
        <w:t xml:space="preserve">Методи. </w:t>
      </w:r>
      <w:r w:rsidRPr="00B44B71">
        <w:rPr>
          <w:rFonts w:ascii="Times New Roman" w:eastAsia="Times New Roman" w:hAnsi="Times New Roman" w:cs="Times New Roman"/>
          <w:kern w:val="0"/>
          <w:sz w:val="28"/>
          <w:szCs w:val="28"/>
          <w:lang w:val="uk-UA" w:eastAsia="uk-UA"/>
          <w14:ligatures w14:val="none"/>
        </w:rPr>
        <w:t xml:space="preserve">Дослідження проводилося у період 2024-2026 років на базі Адміністрації </w:t>
      </w:r>
      <w:r w:rsidRPr="00B44B71">
        <w:rPr>
          <w:rFonts w:ascii="Times New Roman" w:eastAsia="Times New Roman" w:hAnsi="Times New Roman" w:cs="Times New Roman"/>
          <w:kern w:val="0"/>
          <w:sz w:val="28"/>
          <w:szCs w:val="28"/>
          <w:lang w:val="uk-UA" w:eastAsia="ru-RU"/>
          <w14:ligatures w14:val="none"/>
        </w:rPr>
        <w:t>Державної прикордонної служби України (АДПСУ)</w:t>
      </w:r>
      <w:r w:rsidRPr="00B44B71">
        <w:rPr>
          <w:rFonts w:ascii="Times New Roman" w:eastAsia="Times New Roman" w:hAnsi="Times New Roman" w:cs="Times New Roman"/>
          <w:kern w:val="0"/>
          <w:sz w:val="28"/>
          <w:szCs w:val="28"/>
          <w:lang w:val="uk-UA" w:eastAsia="uk-UA"/>
          <w14:ligatures w14:val="none"/>
        </w:rPr>
        <w:t xml:space="preserve"> та </w:t>
      </w:r>
      <w:r w:rsidRPr="00B44B71">
        <w:rPr>
          <w:rFonts w:ascii="Times New Roman" w:eastAsia="Times New Roman" w:hAnsi="Times New Roman" w:cs="Times New Roman"/>
          <w:iCs/>
          <w:kern w:val="0"/>
          <w:sz w:val="28"/>
          <w:szCs w:val="28"/>
          <w:lang w:val="uk-UA" w:eastAsia="ru-RU"/>
          <w14:ligatures w14:val="none"/>
        </w:rPr>
        <w:t xml:space="preserve">Національної академії </w:t>
      </w:r>
      <w:r w:rsidRPr="00B44B71">
        <w:rPr>
          <w:rFonts w:ascii="Times New Roman" w:eastAsia="Times New Roman" w:hAnsi="Times New Roman" w:cs="Times New Roman"/>
          <w:kern w:val="0"/>
          <w:sz w:val="28"/>
          <w:szCs w:val="28"/>
          <w:lang w:val="uk-UA" w:eastAsia="ru-RU"/>
          <w14:ligatures w14:val="none"/>
        </w:rPr>
        <w:t xml:space="preserve">Державної прикордонної служби України </w:t>
      </w:r>
      <w:r w:rsidRPr="00B44B71">
        <w:rPr>
          <w:rFonts w:ascii="Times New Roman" w:eastAsia="Times New Roman" w:hAnsi="Times New Roman" w:cs="Times New Roman"/>
          <w:iCs/>
          <w:kern w:val="0"/>
          <w:sz w:val="28"/>
          <w:szCs w:val="28"/>
          <w:lang w:val="uk-UA" w:eastAsia="ru-RU"/>
          <w14:ligatures w14:val="none"/>
        </w:rPr>
        <w:t xml:space="preserve">імені Богдана </w:t>
      </w:r>
      <w:r w:rsidRPr="00B44B71">
        <w:rPr>
          <w:rFonts w:ascii="Times New Roman" w:eastAsia="Times New Roman" w:hAnsi="Times New Roman" w:cs="Times New Roman"/>
          <w:kern w:val="0"/>
          <w:sz w:val="28"/>
          <w:szCs w:val="28"/>
          <w:lang w:val="uk-UA" w:eastAsia="ru-RU"/>
          <w14:ligatures w14:val="none"/>
        </w:rPr>
        <w:t>Хмельницького (НАДПСУ).</w:t>
      </w:r>
      <w:r w:rsidR="00E967C0">
        <w:rPr>
          <w:rFonts w:ascii="Times New Roman" w:eastAsia="Times New Roman" w:hAnsi="Times New Roman" w:cs="Times New Roman"/>
          <w:kern w:val="0"/>
          <w:sz w:val="28"/>
          <w:szCs w:val="28"/>
          <w:lang w:val="uk-UA" w:eastAsia="ru-RU"/>
          <w14:ligatures w14:val="none"/>
        </w:rPr>
        <w:t xml:space="preserve"> </w:t>
      </w:r>
      <w:r w:rsidRPr="00B44B71">
        <w:rPr>
          <w:rFonts w:ascii="Times New Roman" w:eastAsia="Times New Roman" w:hAnsi="Times New Roman" w:cs="Times New Roman"/>
          <w:kern w:val="0"/>
          <w:sz w:val="28"/>
          <w:szCs w:val="28"/>
          <w:lang w:val="uk-UA" w:eastAsia="ru-RU"/>
          <w14:ligatures w14:val="none"/>
        </w:rPr>
        <w:t>Інформаційну основу дослідження становили закони та підзаконні нормативно-правові акти України, аналітичні матеріали і звіти, наукові та навчально-методичні праці вітчизняних і зарубіжних учених, організаційно-штатна структура та функціональне призначення штатних підрозділів ДПСУ, перелік офіцерських посад у ДПСУ, а також результати діяльності прикордонного відомства.</w:t>
      </w:r>
      <w:r w:rsidR="00E967C0">
        <w:rPr>
          <w:rFonts w:ascii="Times New Roman" w:eastAsia="Times New Roman" w:hAnsi="Times New Roman" w:cs="Times New Roman"/>
          <w:kern w:val="0"/>
          <w:sz w:val="28"/>
          <w:szCs w:val="28"/>
          <w:lang w:val="uk-UA" w:eastAsia="ru-RU"/>
          <w14:ligatures w14:val="none"/>
        </w:rPr>
        <w:t xml:space="preserve"> </w:t>
      </w:r>
      <w:r w:rsidRPr="00B44B71">
        <w:rPr>
          <w:rFonts w:ascii="Times New Roman" w:eastAsia="Times New Roman" w:hAnsi="Times New Roman" w:cs="Times New Roman"/>
          <w:kern w:val="0"/>
          <w:sz w:val="28"/>
          <w:szCs w:val="28"/>
          <w:lang w:val="uk-UA" w:eastAsia="ru-RU"/>
          <w14:ligatures w14:val="none"/>
        </w:rPr>
        <w:t>Для досягнення поставленої мети дослідження було застосовано структурно-функціональний аналіз, а також загальнонаукові методи, зокрема: порівняння, аналогію, аналіз і синтез, моделювання, а також інформаційний підхід.</w:t>
      </w:r>
      <w:r w:rsidR="00E967C0">
        <w:rPr>
          <w:rFonts w:ascii="Times New Roman" w:eastAsia="Times New Roman" w:hAnsi="Times New Roman" w:cs="Times New Roman"/>
          <w:kern w:val="0"/>
          <w:sz w:val="28"/>
          <w:szCs w:val="28"/>
          <w:lang w:val="uk-UA" w:eastAsia="ru-RU"/>
          <w14:ligatures w14:val="none"/>
        </w:rPr>
        <w:t xml:space="preserve"> </w:t>
      </w:r>
      <w:r w:rsidRPr="00B44B71">
        <w:rPr>
          <w:rFonts w:ascii="Times New Roman" w:eastAsia="Times New Roman" w:hAnsi="Times New Roman" w:cs="Times New Roman"/>
          <w:kern w:val="0"/>
          <w:sz w:val="28"/>
          <w:szCs w:val="28"/>
          <w:lang w:val="uk-UA" w:eastAsia="ru-RU"/>
          <w14:ligatures w14:val="none"/>
        </w:rPr>
        <w:t>Окремі завдання, вирішення яких забезпечує досягнення мети дослідження, методи, що доцільні для їх вирішення, та отримані результати можна оцінити з табл. 1.</w:t>
      </w:r>
    </w:p>
    <w:p w14:paraId="42F18450" w14:textId="77777777" w:rsidR="00B44B71" w:rsidRPr="00B44B71" w:rsidRDefault="00B44B71" w:rsidP="00023291">
      <w:pPr>
        <w:tabs>
          <w:tab w:val="left" w:pos="9638"/>
        </w:tabs>
        <w:spacing w:after="0" w:line="240" w:lineRule="auto"/>
        <w:ind w:firstLine="567"/>
        <w:jc w:val="right"/>
        <w:rPr>
          <w:rFonts w:ascii="Times New Roman" w:eastAsia="Times New Roman" w:hAnsi="Times New Roman" w:cs="Times New Roman"/>
          <w:bCs/>
          <w:iCs/>
          <w:kern w:val="0"/>
          <w:sz w:val="28"/>
          <w:szCs w:val="28"/>
          <w:lang w:val="uk-UA" w:eastAsia="ru-RU"/>
          <w14:ligatures w14:val="none"/>
        </w:rPr>
      </w:pPr>
      <w:r w:rsidRPr="00B44B71">
        <w:rPr>
          <w:rFonts w:ascii="Times New Roman" w:eastAsia="Times New Roman" w:hAnsi="Times New Roman" w:cs="Times New Roman"/>
          <w:bCs/>
          <w:iCs/>
          <w:kern w:val="0"/>
          <w:sz w:val="28"/>
          <w:szCs w:val="28"/>
          <w:lang w:val="uk-UA" w:eastAsia="ru-RU"/>
          <w14:ligatures w14:val="none"/>
        </w:rPr>
        <w:t>Таблиця 1</w:t>
      </w:r>
    </w:p>
    <w:p w14:paraId="466DC774" w14:textId="77777777" w:rsidR="00B44B71" w:rsidRPr="00B44B71" w:rsidRDefault="00B44B71" w:rsidP="00023291">
      <w:pPr>
        <w:tabs>
          <w:tab w:val="left" w:pos="9638"/>
        </w:tabs>
        <w:spacing w:after="0" w:line="240" w:lineRule="auto"/>
        <w:ind w:firstLine="567"/>
        <w:jc w:val="center"/>
        <w:rPr>
          <w:rFonts w:ascii="Times New Roman" w:eastAsia="Times New Roman" w:hAnsi="Times New Roman" w:cs="Times New Roman"/>
          <w:b/>
          <w:iCs/>
          <w:kern w:val="0"/>
          <w:sz w:val="28"/>
          <w:szCs w:val="28"/>
          <w:lang w:val="uk-UA" w:eastAsia="ru-RU"/>
          <w14:ligatures w14:val="none"/>
        </w:rPr>
      </w:pPr>
      <w:r w:rsidRPr="00B44B71">
        <w:rPr>
          <w:rFonts w:ascii="Times New Roman" w:eastAsia="Times New Roman" w:hAnsi="Times New Roman" w:cs="Times New Roman"/>
          <w:b/>
          <w:iCs/>
          <w:kern w:val="0"/>
          <w:sz w:val="28"/>
          <w:szCs w:val="28"/>
          <w:lang w:val="uk-UA" w:eastAsia="ru-RU"/>
          <w14:ligatures w14:val="none"/>
        </w:rPr>
        <w:t>Методологія дослідження</w:t>
      </w:r>
    </w:p>
    <w:tbl>
      <w:tblPr>
        <w:tblStyle w:val="6"/>
        <w:tblW w:w="0" w:type="auto"/>
        <w:tblLayout w:type="fixed"/>
        <w:tblLook w:val="04A0" w:firstRow="1" w:lastRow="0" w:firstColumn="1" w:lastColumn="0" w:noHBand="0" w:noVBand="1"/>
      </w:tblPr>
      <w:tblGrid>
        <w:gridCol w:w="3085"/>
        <w:gridCol w:w="2064"/>
        <w:gridCol w:w="1622"/>
        <w:gridCol w:w="3083"/>
      </w:tblGrid>
      <w:tr w:rsidR="00B44B71" w:rsidRPr="00B44B71" w14:paraId="2DEAD535" w14:textId="77777777" w:rsidTr="00F918EC">
        <w:tc>
          <w:tcPr>
            <w:tcW w:w="3085" w:type="dxa"/>
          </w:tcPr>
          <w:p w14:paraId="7C899789" w14:textId="77777777" w:rsidR="00B44B71" w:rsidRPr="00B44B71" w:rsidRDefault="00B44B71" w:rsidP="00023291">
            <w:pPr>
              <w:tabs>
                <w:tab w:val="left" w:pos="9638"/>
              </w:tabs>
              <w:jc w:val="center"/>
              <w:rPr>
                <w:rFonts w:ascii="Times New Roman" w:eastAsia="Times New Roman" w:hAnsi="Times New Roman" w:cs="Times New Roman"/>
                <w:b/>
                <w:sz w:val="24"/>
                <w:szCs w:val="24"/>
                <w:lang w:eastAsia="ru-RU"/>
              </w:rPr>
            </w:pPr>
            <w:r w:rsidRPr="00B44B71">
              <w:rPr>
                <w:rFonts w:ascii="Times New Roman" w:eastAsia="Times New Roman" w:hAnsi="Times New Roman" w:cs="Times New Roman"/>
                <w:b/>
                <w:sz w:val="24"/>
                <w:szCs w:val="24"/>
                <w:lang w:eastAsia="ru-RU"/>
              </w:rPr>
              <w:t>Завдання</w:t>
            </w:r>
          </w:p>
        </w:tc>
        <w:tc>
          <w:tcPr>
            <w:tcW w:w="2064" w:type="dxa"/>
          </w:tcPr>
          <w:p w14:paraId="45876046" w14:textId="77777777" w:rsidR="00B44B71" w:rsidRPr="00B44B71" w:rsidRDefault="00B44B71" w:rsidP="00023291">
            <w:pPr>
              <w:tabs>
                <w:tab w:val="left" w:pos="9638"/>
              </w:tabs>
              <w:jc w:val="center"/>
              <w:rPr>
                <w:rFonts w:ascii="Times New Roman" w:eastAsia="Times New Roman" w:hAnsi="Times New Roman" w:cs="Times New Roman"/>
                <w:b/>
                <w:sz w:val="24"/>
                <w:szCs w:val="24"/>
                <w:lang w:eastAsia="ru-RU"/>
              </w:rPr>
            </w:pPr>
            <w:r w:rsidRPr="00B44B71">
              <w:rPr>
                <w:rFonts w:ascii="Times New Roman" w:eastAsia="Times New Roman" w:hAnsi="Times New Roman" w:cs="Times New Roman"/>
                <w:b/>
                <w:sz w:val="24"/>
                <w:szCs w:val="24"/>
                <w:lang w:eastAsia="ru-RU"/>
              </w:rPr>
              <w:t>Загальні методи</w:t>
            </w:r>
          </w:p>
        </w:tc>
        <w:tc>
          <w:tcPr>
            <w:tcW w:w="1622" w:type="dxa"/>
          </w:tcPr>
          <w:p w14:paraId="758540DB" w14:textId="77777777" w:rsidR="00B44B71" w:rsidRPr="00B44B71" w:rsidRDefault="00B44B71" w:rsidP="00023291">
            <w:pPr>
              <w:tabs>
                <w:tab w:val="left" w:pos="9638"/>
              </w:tabs>
              <w:jc w:val="center"/>
              <w:rPr>
                <w:rFonts w:ascii="Times New Roman" w:eastAsia="Times New Roman" w:hAnsi="Times New Roman" w:cs="Times New Roman"/>
                <w:b/>
                <w:sz w:val="24"/>
                <w:szCs w:val="24"/>
                <w:lang w:eastAsia="ru-RU"/>
              </w:rPr>
            </w:pPr>
            <w:r w:rsidRPr="00B44B71">
              <w:rPr>
                <w:rFonts w:ascii="Times New Roman" w:eastAsia="Times New Roman" w:hAnsi="Times New Roman" w:cs="Times New Roman"/>
                <w:b/>
                <w:sz w:val="24"/>
                <w:szCs w:val="24"/>
                <w:lang w:eastAsia="ru-RU"/>
              </w:rPr>
              <w:t>Часткові методи</w:t>
            </w:r>
          </w:p>
        </w:tc>
        <w:tc>
          <w:tcPr>
            <w:tcW w:w="3083" w:type="dxa"/>
          </w:tcPr>
          <w:p w14:paraId="14161330" w14:textId="77777777" w:rsidR="00B44B71" w:rsidRPr="00B44B71" w:rsidRDefault="00B44B71" w:rsidP="00023291">
            <w:pPr>
              <w:tabs>
                <w:tab w:val="left" w:pos="9638"/>
              </w:tabs>
              <w:jc w:val="center"/>
              <w:rPr>
                <w:rFonts w:ascii="Times New Roman" w:eastAsia="Times New Roman" w:hAnsi="Times New Roman" w:cs="Times New Roman"/>
                <w:b/>
                <w:sz w:val="24"/>
                <w:szCs w:val="24"/>
                <w:lang w:eastAsia="ru-RU"/>
              </w:rPr>
            </w:pPr>
            <w:r w:rsidRPr="00B44B71">
              <w:rPr>
                <w:rFonts w:ascii="Times New Roman" w:eastAsia="Times New Roman" w:hAnsi="Times New Roman" w:cs="Times New Roman"/>
                <w:b/>
                <w:sz w:val="24"/>
                <w:szCs w:val="24"/>
                <w:lang w:eastAsia="ru-RU"/>
              </w:rPr>
              <w:t>Отримані результати</w:t>
            </w:r>
          </w:p>
        </w:tc>
      </w:tr>
      <w:tr w:rsidR="00B44B71" w:rsidRPr="00B44B71" w14:paraId="620EFD09" w14:textId="77777777" w:rsidTr="00F918EC">
        <w:tc>
          <w:tcPr>
            <w:tcW w:w="3085" w:type="dxa"/>
          </w:tcPr>
          <w:p w14:paraId="250211A5" w14:textId="77777777" w:rsidR="00B44B71" w:rsidRPr="00B44B71" w:rsidRDefault="00B44B71" w:rsidP="00023291">
            <w:pPr>
              <w:tabs>
                <w:tab w:val="left" w:pos="9638"/>
              </w:tabs>
              <w:jc w:val="center"/>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1</w:t>
            </w:r>
          </w:p>
        </w:tc>
        <w:tc>
          <w:tcPr>
            <w:tcW w:w="2064" w:type="dxa"/>
          </w:tcPr>
          <w:p w14:paraId="5B6BB40B" w14:textId="77777777" w:rsidR="00B44B71" w:rsidRPr="00B44B71" w:rsidRDefault="00B44B71" w:rsidP="00023291">
            <w:pPr>
              <w:tabs>
                <w:tab w:val="left" w:pos="9638"/>
              </w:tabs>
              <w:jc w:val="center"/>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2</w:t>
            </w:r>
          </w:p>
        </w:tc>
        <w:tc>
          <w:tcPr>
            <w:tcW w:w="1622" w:type="dxa"/>
          </w:tcPr>
          <w:p w14:paraId="4DE6E050" w14:textId="77777777" w:rsidR="00B44B71" w:rsidRPr="00B44B71" w:rsidRDefault="00B44B71" w:rsidP="00023291">
            <w:pPr>
              <w:tabs>
                <w:tab w:val="left" w:pos="9638"/>
              </w:tabs>
              <w:jc w:val="center"/>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3</w:t>
            </w:r>
          </w:p>
        </w:tc>
        <w:tc>
          <w:tcPr>
            <w:tcW w:w="3083" w:type="dxa"/>
          </w:tcPr>
          <w:p w14:paraId="2D38407E" w14:textId="77777777" w:rsidR="00B44B71" w:rsidRPr="00B44B71" w:rsidRDefault="00B44B71" w:rsidP="00023291">
            <w:pPr>
              <w:tabs>
                <w:tab w:val="left" w:pos="9638"/>
              </w:tabs>
              <w:jc w:val="center"/>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4</w:t>
            </w:r>
          </w:p>
        </w:tc>
      </w:tr>
      <w:tr w:rsidR="00B44B71" w:rsidRPr="00F25FCF" w14:paraId="674F28B9" w14:textId="77777777" w:rsidTr="00F918EC">
        <w:tc>
          <w:tcPr>
            <w:tcW w:w="3085" w:type="dxa"/>
          </w:tcPr>
          <w:p w14:paraId="740E253F" w14:textId="77777777" w:rsidR="00B44B71" w:rsidRPr="00B44B71" w:rsidRDefault="00B44B71" w:rsidP="00023291">
            <w:pPr>
              <w:tabs>
                <w:tab w:val="left" w:pos="9638"/>
              </w:tabs>
              <w:rPr>
                <w:rFonts w:ascii="Times New Roman" w:eastAsia="Times New Roman" w:hAnsi="Times New Roman" w:cs="Times New Roman"/>
                <w:sz w:val="24"/>
                <w:szCs w:val="24"/>
                <w:lang w:val="uk-UA" w:eastAsia="ru-RU"/>
              </w:rPr>
            </w:pPr>
            <w:r w:rsidRPr="00B44B71">
              <w:rPr>
                <w:rFonts w:ascii="Times New Roman" w:eastAsia="Times New Roman" w:hAnsi="Times New Roman" w:cs="Times New Roman"/>
                <w:sz w:val="24"/>
                <w:szCs w:val="24"/>
                <w:lang w:val="uk-UA" w:eastAsia="ru-RU"/>
              </w:rPr>
              <w:t>Формування бачення щодо можливих шляхів усунення проблем діючої системи підготовки офіцерів ДПСУ</w:t>
            </w:r>
          </w:p>
        </w:tc>
        <w:tc>
          <w:tcPr>
            <w:tcW w:w="2064" w:type="dxa"/>
          </w:tcPr>
          <w:p w14:paraId="5DB7E011" w14:textId="77777777" w:rsidR="00B44B71" w:rsidRPr="00B44B71" w:rsidRDefault="00B44B71"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Аналіз, інформаційний підхід</w:t>
            </w:r>
          </w:p>
        </w:tc>
        <w:tc>
          <w:tcPr>
            <w:tcW w:w="1622" w:type="dxa"/>
          </w:tcPr>
          <w:p w14:paraId="721BC184" w14:textId="77777777" w:rsidR="00B44B71" w:rsidRPr="00B44B71" w:rsidRDefault="00B44B71"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Метод експертних оцінок</w:t>
            </w:r>
          </w:p>
        </w:tc>
        <w:tc>
          <w:tcPr>
            <w:tcW w:w="3083" w:type="dxa"/>
          </w:tcPr>
          <w:p w14:paraId="2DDBE0E3" w14:textId="77777777" w:rsidR="00B44B71" w:rsidRPr="00B44B71" w:rsidRDefault="00B44B71"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Можливі шляхи усунення проблем діючої системи підготовки офіцерів ДПСУ</w:t>
            </w:r>
          </w:p>
        </w:tc>
      </w:tr>
    </w:tbl>
    <w:p w14:paraId="722A2214" w14:textId="77777777" w:rsidR="008B4F54" w:rsidRDefault="008B4F54" w:rsidP="00023291">
      <w:pPr>
        <w:tabs>
          <w:tab w:val="left" w:pos="9638"/>
        </w:tabs>
        <w:rPr>
          <w:lang w:val="uk-UA"/>
        </w:rPr>
      </w:pPr>
    </w:p>
    <w:p w14:paraId="0182D455" w14:textId="77777777" w:rsidR="008B4F54" w:rsidRPr="00B44B71" w:rsidRDefault="008B4F54" w:rsidP="00023291">
      <w:pPr>
        <w:tabs>
          <w:tab w:val="left" w:pos="9638"/>
        </w:tabs>
        <w:spacing w:after="0" w:line="240" w:lineRule="auto"/>
        <w:jc w:val="right"/>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lastRenderedPageBreak/>
        <w:t>Продовження таблиці 1</w:t>
      </w:r>
    </w:p>
    <w:tbl>
      <w:tblPr>
        <w:tblStyle w:val="6"/>
        <w:tblW w:w="0" w:type="auto"/>
        <w:tblLayout w:type="fixed"/>
        <w:tblLook w:val="04A0" w:firstRow="1" w:lastRow="0" w:firstColumn="1" w:lastColumn="0" w:noHBand="0" w:noVBand="1"/>
      </w:tblPr>
      <w:tblGrid>
        <w:gridCol w:w="3085"/>
        <w:gridCol w:w="2064"/>
        <w:gridCol w:w="1622"/>
        <w:gridCol w:w="3083"/>
      </w:tblGrid>
      <w:tr w:rsidR="00B44B71" w:rsidRPr="00F25FCF" w14:paraId="6772A629" w14:textId="77777777" w:rsidTr="00F918EC">
        <w:tc>
          <w:tcPr>
            <w:tcW w:w="3085" w:type="dxa"/>
          </w:tcPr>
          <w:p w14:paraId="62DA2D40" w14:textId="77777777" w:rsidR="00B44B71" w:rsidRPr="00B44B71" w:rsidRDefault="00B44B71"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Формування вихідних положень Концепції трансформації системи військової освіти</w:t>
            </w:r>
          </w:p>
        </w:tc>
        <w:tc>
          <w:tcPr>
            <w:tcW w:w="2064" w:type="dxa"/>
          </w:tcPr>
          <w:p w14:paraId="6706ED9A" w14:textId="77777777" w:rsidR="00B44B71" w:rsidRPr="00B44B71" w:rsidRDefault="00B44B71"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Аналіз, інформаційний підхід</w:t>
            </w:r>
          </w:p>
        </w:tc>
        <w:tc>
          <w:tcPr>
            <w:tcW w:w="1622" w:type="dxa"/>
          </w:tcPr>
          <w:p w14:paraId="0FD628BB" w14:textId="77777777" w:rsidR="00B44B71" w:rsidRPr="00B44B71" w:rsidRDefault="00B44B71"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Обговорення</w:t>
            </w:r>
          </w:p>
        </w:tc>
        <w:tc>
          <w:tcPr>
            <w:tcW w:w="3083" w:type="dxa"/>
          </w:tcPr>
          <w:p w14:paraId="25E5441C" w14:textId="77777777" w:rsidR="00B44B71" w:rsidRPr="00B44B71" w:rsidRDefault="00B44B71"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Вихідні положення Концепції трансформації системи військової освіти, що мають бути враховані в моделі підготовки офіцера-прикордонника</w:t>
            </w:r>
          </w:p>
        </w:tc>
      </w:tr>
      <w:tr w:rsidR="00B44B71" w:rsidRPr="00F25FCF" w14:paraId="1AD6A102" w14:textId="77777777" w:rsidTr="00F918EC">
        <w:tc>
          <w:tcPr>
            <w:tcW w:w="3085" w:type="dxa"/>
          </w:tcPr>
          <w:p w14:paraId="345D5161" w14:textId="77777777" w:rsidR="00B44B71" w:rsidRPr="00B44B71" w:rsidRDefault="00B44B71"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 xml:space="preserve">Виокремлення позитивних елементів систем підготовки військових фахівців окремих складових сектору безпеки і оборони України </w:t>
            </w:r>
          </w:p>
        </w:tc>
        <w:tc>
          <w:tcPr>
            <w:tcW w:w="2064" w:type="dxa"/>
          </w:tcPr>
          <w:p w14:paraId="7B07D1F2" w14:textId="77777777" w:rsidR="00B44B71" w:rsidRPr="00B44B71" w:rsidRDefault="00B44B71"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Аналіз, порівняння, аналогія</w:t>
            </w:r>
          </w:p>
        </w:tc>
        <w:tc>
          <w:tcPr>
            <w:tcW w:w="1622" w:type="dxa"/>
          </w:tcPr>
          <w:p w14:paraId="760E3DB4" w14:textId="77777777" w:rsidR="00B44B71" w:rsidRPr="00B44B71" w:rsidRDefault="00B44B71"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Обговорення</w:t>
            </w:r>
          </w:p>
        </w:tc>
        <w:tc>
          <w:tcPr>
            <w:tcW w:w="3083" w:type="dxa"/>
          </w:tcPr>
          <w:p w14:paraId="1B6207EC" w14:textId="77777777" w:rsidR="00B44B71" w:rsidRPr="00B44B71" w:rsidRDefault="00B44B71"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Позитивні елементи систем підготовки військових фахівців ЗСУ та НГУ, що доцільні для врахування в моделі підготовки офіцера-прикордонника</w:t>
            </w:r>
          </w:p>
        </w:tc>
      </w:tr>
      <w:tr w:rsidR="008B4F54" w:rsidRPr="00F25FCF" w14:paraId="4C2BCEDC" w14:textId="77777777" w:rsidTr="00F918EC">
        <w:tc>
          <w:tcPr>
            <w:tcW w:w="3085" w:type="dxa"/>
          </w:tcPr>
          <w:p w14:paraId="4FDE4B7B" w14:textId="33EE111F" w:rsidR="008B4F54" w:rsidRPr="00B44B71" w:rsidRDefault="008B4F54"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Опис основних положень системи військово-прикордонної освіти</w:t>
            </w:r>
          </w:p>
        </w:tc>
        <w:tc>
          <w:tcPr>
            <w:tcW w:w="2064" w:type="dxa"/>
          </w:tcPr>
          <w:p w14:paraId="1E029E4E" w14:textId="4F13ABCD" w:rsidR="008B4F54" w:rsidRPr="00B44B71" w:rsidRDefault="008B4F54"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Аналіз, інформаційний підхід</w:t>
            </w:r>
          </w:p>
        </w:tc>
        <w:tc>
          <w:tcPr>
            <w:tcW w:w="1622" w:type="dxa"/>
          </w:tcPr>
          <w:p w14:paraId="657FCA09" w14:textId="40B2B3A2" w:rsidR="008B4F54" w:rsidRPr="00B44B71" w:rsidRDefault="008B4F54"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Обговорення</w:t>
            </w:r>
          </w:p>
        </w:tc>
        <w:tc>
          <w:tcPr>
            <w:tcW w:w="3083" w:type="dxa"/>
          </w:tcPr>
          <w:p w14:paraId="7276A1D8" w14:textId="22A237BA" w:rsidR="008B4F54" w:rsidRPr="00B44B71" w:rsidRDefault="008B4F54"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Основні положення системи військово-прикордонної освіти</w:t>
            </w:r>
          </w:p>
        </w:tc>
      </w:tr>
      <w:tr w:rsidR="008B4F54" w:rsidRPr="00F25FCF" w14:paraId="49DEC8FF" w14:textId="77777777" w:rsidTr="00F918EC">
        <w:tc>
          <w:tcPr>
            <w:tcW w:w="3085" w:type="dxa"/>
          </w:tcPr>
          <w:p w14:paraId="1050D509" w14:textId="4440A74C" w:rsidR="008B4F54" w:rsidRPr="00B44B71" w:rsidRDefault="008B4F54"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rPr>
              <w:t>Опис с</w:t>
            </w:r>
            <w:r w:rsidRPr="00B44B71">
              <w:rPr>
                <w:rFonts w:ascii="Times New Roman" w:eastAsia="Times New Roman" w:hAnsi="Times New Roman" w:cs="Times New Roman"/>
                <w:sz w:val="24"/>
                <w:szCs w:val="24"/>
                <w:lang w:eastAsia="ru-RU"/>
              </w:rPr>
              <w:t xml:space="preserve">труктури системи освіти офіцерів </w:t>
            </w:r>
            <w:r w:rsidRPr="00B44B71">
              <w:rPr>
                <w:rFonts w:ascii="Times New Roman" w:eastAsia="Times New Roman" w:hAnsi="Times New Roman" w:cs="Times New Roman"/>
                <w:iCs/>
                <w:sz w:val="24"/>
                <w:szCs w:val="24"/>
                <w:lang w:eastAsia="uk-UA"/>
              </w:rPr>
              <w:t>ДПСУ</w:t>
            </w:r>
          </w:p>
        </w:tc>
        <w:tc>
          <w:tcPr>
            <w:tcW w:w="2064" w:type="dxa"/>
          </w:tcPr>
          <w:p w14:paraId="0809680E" w14:textId="7F5EE872" w:rsidR="008B4F54" w:rsidRPr="00B44B71" w:rsidRDefault="008B4F54"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Аналіз, синтез, інформаційний підхід</w:t>
            </w:r>
          </w:p>
        </w:tc>
        <w:tc>
          <w:tcPr>
            <w:tcW w:w="1622" w:type="dxa"/>
          </w:tcPr>
          <w:p w14:paraId="6BE993E3" w14:textId="77085572" w:rsidR="008B4F54" w:rsidRPr="00B44B71" w:rsidRDefault="008B4F54"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Обговорення</w:t>
            </w:r>
          </w:p>
        </w:tc>
        <w:tc>
          <w:tcPr>
            <w:tcW w:w="3083" w:type="dxa"/>
          </w:tcPr>
          <w:p w14:paraId="7ADB4B25" w14:textId="15C2F62B" w:rsidR="008B4F54" w:rsidRPr="00B44B71" w:rsidRDefault="008B4F54"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rPr>
              <w:t>С</w:t>
            </w:r>
            <w:r w:rsidRPr="00B44B71">
              <w:rPr>
                <w:rFonts w:ascii="Times New Roman" w:eastAsia="Times New Roman" w:hAnsi="Times New Roman" w:cs="Times New Roman"/>
                <w:sz w:val="24"/>
                <w:szCs w:val="24"/>
                <w:lang w:eastAsia="ru-RU"/>
              </w:rPr>
              <w:t xml:space="preserve">труктура системи освіти офіцерів </w:t>
            </w:r>
            <w:r w:rsidRPr="00B44B71">
              <w:rPr>
                <w:rFonts w:ascii="Times New Roman" w:eastAsia="Times New Roman" w:hAnsi="Times New Roman" w:cs="Times New Roman"/>
                <w:iCs/>
                <w:sz w:val="24"/>
                <w:szCs w:val="24"/>
                <w:lang w:eastAsia="uk-UA"/>
              </w:rPr>
              <w:t>ДПСУ</w:t>
            </w:r>
          </w:p>
        </w:tc>
      </w:tr>
      <w:tr w:rsidR="008B4F54" w:rsidRPr="00F25FCF" w14:paraId="1F150277" w14:textId="77777777" w:rsidTr="00F918EC">
        <w:tc>
          <w:tcPr>
            <w:tcW w:w="3085" w:type="dxa"/>
          </w:tcPr>
          <w:p w14:paraId="34B84F3E" w14:textId="736A9DEB" w:rsidR="008B4F54" w:rsidRPr="00B44B71" w:rsidRDefault="008B4F54"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Формування моделі реалізації принципу «Освіта впродовж військової кар’єри» для основних типових посад офіцерського складу ДПСУ</w:t>
            </w:r>
          </w:p>
        </w:tc>
        <w:tc>
          <w:tcPr>
            <w:tcW w:w="2064" w:type="dxa"/>
          </w:tcPr>
          <w:p w14:paraId="1DC4BD84" w14:textId="5C393974" w:rsidR="008B4F54" w:rsidRPr="00B44B71" w:rsidRDefault="008B4F54"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Структурно-функціональний аналіз, синтез, моделювання</w:t>
            </w:r>
          </w:p>
        </w:tc>
        <w:tc>
          <w:tcPr>
            <w:tcW w:w="1622" w:type="dxa"/>
          </w:tcPr>
          <w:p w14:paraId="1FA72914" w14:textId="1A5E055D" w:rsidR="008B4F54" w:rsidRPr="00B44B71" w:rsidRDefault="008B4F54"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Метод експертних оцінок</w:t>
            </w:r>
          </w:p>
        </w:tc>
        <w:tc>
          <w:tcPr>
            <w:tcW w:w="3083" w:type="dxa"/>
          </w:tcPr>
          <w:p w14:paraId="6ADF999D" w14:textId="24007BAE" w:rsidR="008B4F54" w:rsidRPr="00B44B71" w:rsidRDefault="008B4F54" w:rsidP="00023291">
            <w:pPr>
              <w:tabs>
                <w:tab w:val="left" w:pos="9638"/>
              </w:tabs>
              <w:rPr>
                <w:rFonts w:ascii="Times New Roman" w:eastAsia="Times New Roman" w:hAnsi="Times New Roman" w:cs="Times New Roman"/>
                <w:sz w:val="24"/>
                <w:szCs w:val="24"/>
                <w:lang w:eastAsia="ru-RU"/>
              </w:rPr>
            </w:pPr>
            <w:r w:rsidRPr="00B44B71">
              <w:rPr>
                <w:rFonts w:ascii="Times New Roman" w:eastAsia="Times New Roman" w:hAnsi="Times New Roman" w:cs="Times New Roman"/>
                <w:sz w:val="24"/>
                <w:szCs w:val="24"/>
                <w:lang w:eastAsia="ru-RU"/>
              </w:rPr>
              <w:t>Модель реалізації принципу «Освіта впродовж військової кар’єри» для основних типових посад офіцерського складу ДПСУ</w:t>
            </w:r>
          </w:p>
        </w:tc>
      </w:tr>
    </w:tbl>
    <w:p w14:paraId="5402520A" w14:textId="77777777" w:rsidR="00B44B71" w:rsidRPr="00B44B71" w:rsidRDefault="00B44B71" w:rsidP="00023291">
      <w:pPr>
        <w:tabs>
          <w:tab w:val="left" w:pos="2977"/>
          <w:tab w:val="left" w:pos="9638"/>
        </w:tabs>
        <w:spacing w:after="0" w:line="240" w:lineRule="auto"/>
        <w:ind w:firstLine="567"/>
        <w:rPr>
          <w:rFonts w:ascii="Times New Roman" w:eastAsia="Times New Roman" w:hAnsi="Times New Roman" w:cs="Times New Roman"/>
          <w:kern w:val="0"/>
          <w:sz w:val="28"/>
          <w:szCs w:val="28"/>
          <w:lang w:val="uk-UA" w:eastAsia="ru-RU"/>
          <w14:ligatures w14:val="none"/>
        </w:rPr>
      </w:pPr>
    </w:p>
    <w:p w14:paraId="78122125"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kern w:val="0"/>
          <w:sz w:val="28"/>
          <w:szCs w:val="28"/>
          <w:lang w:val="uk-UA" w:eastAsia="ru-RU"/>
          <w14:ligatures w14:val="none"/>
        </w:rPr>
        <w:t>Результат.</w:t>
      </w:r>
      <w:r w:rsidRPr="00B44B71">
        <w:rPr>
          <w:rFonts w:ascii="Times New Roman" w:eastAsia="Times New Roman" w:hAnsi="Times New Roman" w:cs="Times New Roman"/>
          <w:kern w:val="0"/>
          <w:sz w:val="28"/>
          <w:szCs w:val="28"/>
          <w:lang w:val="uk-UA" w:eastAsia="ru-RU"/>
          <w14:ligatures w14:val="none"/>
        </w:rPr>
        <w:t xml:space="preserve"> ДПСУ відноситься як до сфери безпеки, так і до сфери оборони України. Функції ДПСУ у сфері безпеки кордону переважно не збігаються з функціями інших суб</w:t>
      </w:r>
      <w:r w:rsidRPr="00B44B71">
        <w:rPr>
          <w:rFonts w:ascii="Times New Roman" w:eastAsia="Times New Roman" w:hAnsi="Times New Roman" w:cs="Times New Roman"/>
          <w:kern w:val="0"/>
          <w:sz w:val="28"/>
          <w:szCs w:val="28"/>
          <w:lang w:val="ru-RU" w:eastAsia="ru-RU"/>
          <w14:ligatures w14:val="none"/>
        </w:rPr>
        <w:t>’</w:t>
      </w:r>
      <w:r w:rsidRPr="00B44B71">
        <w:rPr>
          <w:rFonts w:ascii="Times New Roman" w:eastAsia="Times New Roman" w:hAnsi="Times New Roman" w:cs="Times New Roman"/>
          <w:kern w:val="0"/>
          <w:sz w:val="28"/>
          <w:szCs w:val="28"/>
          <w:lang w:val="uk-UA" w:eastAsia="ru-RU"/>
          <w14:ligatures w14:val="none"/>
        </w:rPr>
        <w:t>єктів сектору безпеки і оборони або з повноваженнями інших державних органів. ДПСУ діє як суб’єкт національної безпеки й інтегрованого управління дердавним кордоном, координуючи в мирний час зусилля військових формувань і відповідних правоохоронних органів, залучених до захисту державного кордону, а також взаємодію органів, які здійснюють різні форми контролю під час перетину державного кордону та приймають участь у забезпеченні прикордонного режиму.</w:t>
      </w:r>
    </w:p>
    <w:p w14:paraId="6A8E8EA3"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Виконання завдань ДПСУ здійснюється особовим складом, підготовленим за спеціалізованими освітніми програмами. Ефективна реалізація функцій оборони забезпечується компетентностями, здобутими в рамках військової освіти, а функцій безпеки – в рамках умовно «прикордонної» освіти. Таким чином, ефективна фахова підготовка офіцерів ДПСУ передбачає опанування військово-прикордонної складової. У подальшому вважатимемо, що військово-прикордонна освіта офіцерів ДПСУ є видом спеціалізованої освіти, </w:t>
      </w:r>
      <w:bookmarkEnd w:id="43"/>
      <w:r w:rsidRPr="00B44B71">
        <w:rPr>
          <w:rFonts w:ascii="Times New Roman" w:eastAsia="Times New Roman" w:hAnsi="Times New Roman" w:cs="Times New Roman"/>
          <w:kern w:val="0"/>
          <w:sz w:val="28"/>
          <w:szCs w:val="28"/>
          <w:lang w:val="uk-UA" w:eastAsia="ru-RU"/>
          <w14:ligatures w14:val="none"/>
        </w:rPr>
        <w:t>що орієнтована на формування професійних компетентностей у сфері діяльності ДПСУ, яка реалізується в рамках безперервного інтегрованого освітнього процесу з метою досягнення встановлених рівнів і ступенів освіти та/або відповідних рівнів військової освіти.</w:t>
      </w:r>
    </w:p>
    <w:p w14:paraId="7A02E957"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lastRenderedPageBreak/>
        <w:t>Оскільки модель реалізації принципу «Освіта впродовж військової кар’єри» для основних типових посад офіцерського складу ДПСУ та система військово-прикордонної освіти кореляційно залежні, то для обгрунтування моделі важливо з’ясувати основні положення системи військово-прикордонної освіти.</w:t>
      </w:r>
    </w:p>
    <w:p w14:paraId="5CBE9E8C"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На підставі аналізу нормативно-правових актів, що регламентують функціонування подібних систем, чинної системи підготовки в ДПСУ та експертних оцінок щодо шляхів її удосконалення, доречно стверджувати, що система військово-прикордонної освіти структурно охоплює такі елементи: ступені та рівні освіти, рівні військової освіти, галузі знань і спеціальності (предметні області освіти і науки, військово-облікові спеціальності), стандарти освіти та професійні стандарти, освітні програми, кваліфікації, ліцензійні умови провадження освітньої діяльності, заклади спеціалізованої освіти військово-прикордонного спрямування та інші суб’єкти освітньої діяльності, учасників освітнього процесу, органи управління у сфері військово-прикордонної освіти, а також нормативно-правові акти, які регулюють взаємодію зазначених елементів.</w:t>
      </w:r>
    </w:p>
    <w:p w14:paraId="17D54916"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Водночас, ступені освіти та рівні військової освіти, стандарти освіти й професійні стандарти, освітні програми, кваліфікації, ліцензійні умови провадження освітньої діяльності та учасники освітнього процесу визначаються відповідно до законодавства України.</w:t>
      </w:r>
    </w:p>
    <w:p w14:paraId="6C619DDE"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До закладів спеціалізованої освіти військово-прикордонного спрямування та інших суб’єктів освітньої діяльності системи військово-прикордонної освіти належать: НАДПСУ; Головний центр підготовки особового складу Державної прикордонної служби України імені генерал-майора І. Момота; Навчальний центр Морської охорони ДПСУ; Кінологічний навчальний центр ДПСУ; Військовий ліцей ДПСУ. Підготовка офіцерів ДПСУ здійснюється у відомчому ВВНЗ – НАДПСУ, а також в інших ВВНЗ.</w:t>
      </w:r>
    </w:p>
    <w:p w14:paraId="77F2356C"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До органів управління у сфері військово-прикордонної освіти належать Кабінет Міністрів України, Міністерство освіти і науки України (МОН), Міністерство оборони України, Міністерство внутрішніх справ України, АДПСУ, центральний орган виконавчої влади із забезпечення якості освіти, постійно діючий колегіальний орган у сфері забезпечення якості вищої освіти. Міжвідомчу координацію діяльності державних органів і взаємодію з органами місцевого самоврядування у питаннях військово-прикордонної освіти здійснює АДПСУ.</w:t>
      </w:r>
    </w:p>
    <w:p w14:paraId="21F8601B"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Здобуття військово-прикордонної освіти для проходження військової служби на посадах офіцерського складу ДПСУ реалізується у межах інтегрованих формальної і неформальної освіти, відповідно до освітніх програм, стандартів вищої освіти, переліку галузей знань і спеціальностей за відповідними ступенями вищої освіти (науковими ступенями) та рівнями військової освіти.</w:t>
      </w:r>
    </w:p>
    <w:p w14:paraId="508BA6A0"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У рамках формальної освіти передбачено здобуття таких ступенів вищої освіти та наукових ступенів: бакалавр, магістр, доктор філософії і доктор наук.</w:t>
      </w:r>
    </w:p>
    <w:p w14:paraId="18843885"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lastRenderedPageBreak/>
        <w:t>Стратегічний, оперативний і тактичний рівні управління в ДПСУ не еквівалентні рівням військового управління і не обов’язково відповідають рівням професійної військової освіти. У ДПСУ запроваджені професійні кваліфікації «Офіцер тактичного рівня ДПСУ», «Офіцер оперативного рівня ДПСУ» та «Офіцер стратегічного рівня ДПСУ». Окремі посади офіцерського складу в ДПСУ передбачають і наявність компетентностей, що відповідають оперативному або стратегічному рівню військової освіти.</w:t>
      </w:r>
    </w:p>
    <w:p w14:paraId="23790B7A"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Здобуття тактичного рівня військової освіти передбачене, як правило, в НАДПСУ, оперативного та стратегічного рівнів військової освіти – в Національному університеті оборони України (НУОУ), освіти тактичного, оперативного та стратегічного рівнів ДПСУ – в НАДПСУ.</w:t>
      </w:r>
    </w:p>
    <w:p w14:paraId="75BA13E5"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Процес підготовки осіб на посади офіцерського складу ДПСУ може здійснюватись на основі: здобуття ступеня вищої освіти бакалавра одночасно із здобуттям тактичного рівня військової освіти; здобуття військової освіти тактичного рівня в рамках курсів професійної військової освіти; здобуття ступеня вищої освіти магістра одночасно із здобуттям оперативного або стратегічного рівня освіти ДПСУ; здобуття освіти оперативного рівня ДПСУ або стратегічного рівня ДПСУ на курсах підвищення кваліфікації (КПК); здобуття військової освіти оперативного або стратегічного рівнів на курсах професійної військової освіти; здобуття ступеня вищої освіти доктора філософії; здобуття наукового ступеня доктора наук.</w:t>
      </w:r>
    </w:p>
    <w:p w14:paraId="7E9A2A74" w14:textId="77777777" w:rsidR="00B44B71" w:rsidRPr="00B44B71" w:rsidRDefault="00B44B71" w:rsidP="007946D6">
      <w:pPr>
        <w:tabs>
          <w:tab w:val="left" w:pos="2977"/>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Здобуття професійної військової освіти реалізується відповідно до освітніх програм, що впроваджуються на курсах професійної військової освіти визначених рівнів військової освіти:</w:t>
      </w:r>
    </w:p>
    <w:p w14:paraId="7B5BA47D" w14:textId="77777777" w:rsidR="00B44B71" w:rsidRPr="00B44B71" w:rsidRDefault="00B44B71" w:rsidP="007946D6">
      <w:pPr>
        <w:tabs>
          <w:tab w:val="left" w:pos="2977"/>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тактичний рівень військової освіти (на базі НАДПСУ), що передбачає:</w:t>
      </w:r>
    </w:p>
    <w:p w14:paraId="05C25576" w14:textId="77777777" w:rsidR="00B44B71" w:rsidRPr="00B44B71" w:rsidRDefault="00B44B71" w:rsidP="007946D6">
      <w:pPr>
        <w:numPr>
          <w:ilvl w:val="0"/>
          <w:numId w:val="9"/>
        </w:numPr>
        <w:tabs>
          <w:tab w:val="left" w:pos="993"/>
          <w:tab w:val="left" w:pos="2977"/>
          <w:tab w:val="left" w:pos="9638"/>
        </w:tabs>
        <w:spacing w:after="0" w:line="240" w:lineRule="auto"/>
        <w:ind w:left="0"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базовий курс тактичного рівня ДПСУ (L-1A);</w:t>
      </w:r>
    </w:p>
    <w:p w14:paraId="0B5541B3" w14:textId="77777777" w:rsidR="00B44B71" w:rsidRPr="00B44B71" w:rsidRDefault="00B44B71" w:rsidP="007946D6">
      <w:pPr>
        <w:numPr>
          <w:ilvl w:val="0"/>
          <w:numId w:val="9"/>
        </w:numPr>
        <w:tabs>
          <w:tab w:val="left" w:pos="993"/>
          <w:tab w:val="left" w:pos="2977"/>
          <w:tab w:val="left" w:pos="9638"/>
        </w:tabs>
        <w:spacing w:after="0" w:line="240" w:lineRule="auto"/>
        <w:ind w:left="0"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фаховий курс тактичного рівня ДПСУ (L-1В);</w:t>
      </w:r>
    </w:p>
    <w:p w14:paraId="60C61B7C" w14:textId="77777777" w:rsidR="00B44B71" w:rsidRPr="00B44B71" w:rsidRDefault="00B44B71" w:rsidP="007946D6">
      <w:pPr>
        <w:numPr>
          <w:ilvl w:val="0"/>
          <w:numId w:val="9"/>
        </w:numPr>
        <w:tabs>
          <w:tab w:val="left" w:pos="993"/>
          <w:tab w:val="left" w:pos="2977"/>
          <w:tab w:val="left" w:pos="9638"/>
        </w:tabs>
        <w:spacing w:after="0" w:line="240" w:lineRule="auto"/>
        <w:ind w:left="0"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командний курс тактичного рівня ДПСУ (L-1С);</w:t>
      </w:r>
    </w:p>
    <w:p w14:paraId="2B194B60" w14:textId="77777777" w:rsidR="00B44B71" w:rsidRPr="00B44B71" w:rsidRDefault="00B44B71" w:rsidP="007946D6">
      <w:pPr>
        <w:numPr>
          <w:ilvl w:val="0"/>
          <w:numId w:val="9"/>
        </w:numPr>
        <w:tabs>
          <w:tab w:val="left" w:pos="993"/>
          <w:tab w:val="left" w:pos="2977"/>
          <w:tab w:val="left" w:pos="9638"/>
        </w:tabs>
        <w:spacing w:after="0" w:line="240" w:lineRule="auto"/>
        <w:ind w:left="0"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командно-штабний курс тактичного рівня ДПСУ (L-2);</w:t>
      </w:r>
    </w:p>
    <w:p w14:paraId="046D67DD" w14:textId="77777777" w:rsidR="00B44B71" w:rsidRPr="00B44B71" w:rsidRDefault="00B44B71" w:rsidP="007946D6">
      <w:pPr>
        <w:tabs>
          <w:tab w:val="left" w:pos="2977"/>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оперативний рівень військової освіти (на базі НУОУ), що передбачає курс офіцерів об’єднаних штабів оперативного рівня (L-3);</w:t>
      </w:r>
    </w:p>
    <w:p w14:paraId="74362F6C" w14:textId="77777777" w:rsidR="00B44B71" w:rsidRPr="00B44B71" w:rsidRDefault="00B44B71" w:rsidP="007946D6">
      <w:pPr>
        <w:tabs>
          <w:tab w:val="left" w:pos="2977"/>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стратегічний рівень військової освіти (на базі НУОУ), що передбачає:</w:t>
      </w:r>
    </w:p>
    <w:p w14:paraId="5DC62D88" w14:textId="77777777" w:rsidR="00B44B71" w:rsidRPr="00B44B71" w:rsidRDefault="00B44B71" w:rsidP="007946D6">
      <w:pPr>
        <w:numPr>
          <w:ilvl w:val="0"/>
          <w:numId w:val="9"/>
        </w:numPr>
        <w:tabs>
          <w:tab w:val="left" w:pos="993"/>
          <w:tab w:val="left" w:pos="2977"/>
          <w:tab w:val="left" w:pos="9638"/>
        </w:tabs>
        <w:spacing w:after="0" w:line="240" w:lineRule="auto"/>
        <w:ind w:left="0"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курс вищого керівного складу стратегічного рівня (L-4);</w:t>
      </w:r>
    </w:p>
    <w:p w14:paraId="16CD9872" w14:textId="77777777" w:rsidR="00B44B71" w:rsidRPr="00B44B71" w:rsidRDefault="00B44B71" w:rsidP="007946D6">
      <w:pPr>
        <w:numPr>
          <w:ilvl w:val="0"/>
          <w:numId w:val="9"/>
        </w:numPr>
        <w:tabs>
          <w:tab w:val="left" w:pos="993"/>
          <w:tab w:val="left" w:pos="2977"/>
          <w:tab w:val="left" w:pos="9638"/>
        </w:tabs>
        <w:spacing w:after="0" w:line="240" w:lineRule="auto"/>
        <w:ind w:left="0"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курс стратегічного управління вищого рівня та державної політики (L-5).</w:t>
      </w:r>
    </w:p>
    <w:p w14:paraId="685DFF50" w14:textId="77777777" w:rsidR="00B44B71" w:rsidRPr="00B44B71" w:rsidRDefault="00B44B71" w:rsidP="007946D6">
      <w:pPr>
        <w:tabs>
          <w:tab w:val="left" w:pos="2977"/>
          <w:tab w:val="left" w:pos="9638"/>
        </w:tabs>
        <w:spacing w:after="0" w:line="240" w:lineRule="auto"/>
        <w:ind w:firstLine="709"/>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Здобуття тактичного рівня військової освіти здійснюється у НАДПСУ на курсах професійної військової освіти базового (L-1A) та фахового курсів (L-1В) тактичного рівня ДПСУ. Підготовка осіб до служби на посадах молодшого офіцерського складу ДПСУ здійснюється на зазначених курсах для осіб, які здобули або здобувають ступінь вищої освіти бакалавра. Базовий курс тактичного рівня професійної військової освіти (L-1A) передбачає опанування загальновійськових дисциплін та підготовку курсантів до виконання базових військових завдань. Фаховий курс тактичного рівня професійної військової освіти (L-1B) забезпечує спеціалізовану підготовку осіб для первинного </w:t>
      </w:r>
      <w:r w:rsidRPr="00B44B71">
        <w:rPr>
          <w:rFonts w:ascii="Times New Roman" w:eastAsia="Times New Roman" w:hAnsi="Times New Roman" w:cs="Times New Roman"/>
          <w:kern w:val="0"/>
          <w:sz w:val="28"/>
          <w:szCs w:val="28"/>
          <w:lang w:val="uk-UA" w:eastAsia="ru-RU"/>
          <w14:ligatures w14:val="none"/>
        </w:rPr>
        <w:lastRenderedPageBreak/>
        <w:t>призначення на посади офіцерського складу ДПСУ за визначеними спеціальностями.</w:t>
      </w:r>
    </w:p>
    <w:p w14:paraId="79189F36"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Для формування компетентностей, необхідних для кар’єрного просування на посадах офіцерського складу тактичного рівня ДПСУ, здійснюється підготовка на командному курсі тактичного рівня (L-1C) та командно-штабному курсі тактичного рівня (L-2) професійної військової освіти. На командному курсі тактичного рівня (L-1C) формуються професійні навички офіцерів, необхідні для призначення на посади тактичного рівня штатно-посадової категорії «капітан» за відповідними військово-обліковими спеціальностями. Командно-штабний курс тактичного рівня (L-2) професійної військової освіти готує офіцерський склад для призначення на посади тактичного рівня штатно-посадової категорії «майор». За умови успішного завершення курсів L-1C та L-2 офіцерам присвоюються професійні кваліфікації «Офіцер тактичного рівня ДПСУ» відповідно командного або командно-штабного рівнів.</w:t>
      </w:r>
    </w:p>
    <w:p w14:paraId="40A0E430"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Опанування оперативного рівня військової освіти здійснюється на курсі офіцерів об’єднаних штабів оперативного рівня (L-3) професійної військової освіти за єдиною освітньою програмою для всіх складових сил оборони в НУОУ. Вказана підготовка може проводитися також у НАДПСУ за наявності необхідної матеріально-технічної бази та науково-педагогічного потенціалу; рішення про її започаткування приймається Головою ДПСУ за погодженням з Міністерством оборони України.</w:t>
      </w:r>
    </w:p>
    <w:p w14:paraId="775ECBCB"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Стратегічний рівень військової освіти офіцерського складу ДПСУ забезпечується курсом вищого керівного складу стратегічного рівня (L-4) професійної військової освіти в НУОУ.</w:t>
      </w:r>
    </w:p>
    <w:p w14:paraId="0ABD1A18"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Здобуття ступеня вищої освіти магістра у галузі знань К «Безпека та оборона» за спеціальностями К2 «Безпека державного кордону» та К9 «Правоохоронна діяльність» здійснюється слухачами, які вже мають ступінь бакалавра, включно зі ступенем, здобутим у межах інших галузей знань, та здобули професійну військову освіту за освітніми програмами командного курсу тактичного рівня ДПСУ (L-1C) і командно-штабного курсу тактичного рівня ДПСУ (L-2). При цьому, офіцери ДПСУ здобувають професійну кваліфікацію «Офіцер оперативного рівня ДПСУ (перший рівень)», професійний стандарт щодо якої є складовою освітніх програм, що реалізуються в НАДПСУ зі спеціальностей К2 «Безпека державного кордону» та К9 «Правоохоронна діяльність» для 2-го (магістерського) рівня вищої освіти. </w:t>
      </w:r>
    </w:p>
    <w:p w14:paraId="139EBB33"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Якщо здобуття вищої освіти для 2-го (магістерського) рівня відбулося в інших ЗВО, то для такої категорії необхідним є здобуття професійної кваліфікації «Офіцер оперативного рівня ДПСУ (перший рівень)» на КПК у НАДПСУ. </w:t>
      </w:r>
    </w:p>
    <w:p w14:paraId="4B805B02"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ru-RU" w:eastAsia="ru-RU"/>
          <w14:ligatures w14:val="none"/>
        </w:rPr>
      </w:pPr>
      <w:r w:rsidRPr="00B44B71">
        <w:rPr>
          <w:rFonts w:ascii="Times New Roman" w:eastAsia="Times New Roman" w:hAnsi="Times New Roman" w:cs="Times New Roman"/>
          <w:kern w:val="0"/>
          <w:sz w:val="28"/>
          <w:szCs w:val="28"/>
          <w:lang w:val="ru-RU" w:eastAsia="ru-RU"/>
          <w14:ligatures w14:val="none"/>
        </w:rPr>
        <w:t xml:space="preserve">Перед призначенням на посади «Начальник штабу прикордонного загону», «Начальник прикордонного загону» офіцер повинен пройти підготовку за програмою КПК «Офіцер оперативного рівня ДПСУ (другий рівень)». </w:t>
      </w:r>
    </w:p>
    <w:p w14:paraId="16304082"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ru-RU" w:eastAsia="ru-RU"/>
          <w14:ligatures w14:val="none"/>
        </w:rPr>
      </w:pPr>
      <w:r w:rsidRPr="00B44B71">
        <w:rPr>
          <w:rFonts w:ascii="Times New Roman" w:eastAsia="Times New Roman" w:hAnsi="Times New Roman" w:cs="Times New Roman"/>
          <w:kern w:val="0"/>
          <w:sz w:val="28"/>
          <w:szCs w:val="28"/>
          <w:lang w:val="ru-RU" w:eastAsia="ru-RU"/>
          <w14:ligatures w14:val="none"/>
        </w:rPr>
        <w:lastRenderedPageBreak/>
        <w:t xml:space="preserve">Окремим посадовим особам з професійною кваліфікацією «Офіцер оперативного рівня ДПСУ» для виконання обов’язків за посадою необхідна освіта за рівнем курсів L-3, що здобувається в НУОУ. Відповідні кваліфікаційні вимоги до посади відображаються в паспорті посади. </w:t>
      </w:r>
      <w:bookmarkStart w:id="44" w:name="_Hlk117088994"/>
    </w:p>
    <w:bookmarkEnd w:id="44"/>
    <w:p w14:paraId="54277A77"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ru-RU" w:eastAsia="ru-RU"/>
          <w14:ligatures w14:val="none"/>
        </w:rPr>
      </w:pPr>
      <w:r w:rsidRPr="00B44B71">
        <w:rPr>
          <w:rFonts w:ascii="Times New Roman" w:eastAsia="Times New Roman" w:hAnsi="Times New Roman" w:cs="Times New Roman"/>
          <w:kern w:val="0"/>
          <w:sz w:val="28"/>
          <w:szCs w:val="28"/>
          <w:lang w:val="ru-RU" w:eastAsia="ru-RU"/>
          <w14:ligatures w14:val="none"/>
        </w:rPr>
        <w:t>Для здобуття професійної кваліфікації «Офіцер стратегічного рівня ДПСУ (перший рівень)» необхідним є здобуття вищої освіти за спеціальністю «Національна безпека (сфера прикордонної діяльності)» для 2-го (магістерського) рівня вищої освіти в НАДПСУ. При цьому професійний стандарт «Офіцер стратегічного рівня ДПСУ (перший рівень)» є складовою освітньої програми, що реалізується в НАДПСУ зі спеціальності «Національна безпека (сфера прикордонної діяльності)» для 2-го (магістерського) рівня вищої освіти. Якщо здобуття вищої освіти за спеціальністю «</w:t>
      </w:r>
      <w:r w:rsidRPr="00B44B71">
        <w:rPr>
          <w:rFonts w:ascii="Times New Roman" w:eastAsia="Times New Roman" w:hAnsi="Times New Roman" w:cs="Times New Roman"/>
          <w:kern w:val="0"/>
          <w:sz w:val="28"/>
          <w:szCs w:val="28"/>
          <w:lang w:val="uk-UA" w:eastAsia="ru-RU"/>
          <w14:ligatures w14:val="none"/>
        </w:rPr>
        <w:t>Національна безпека (за окремими сферами забезпечення та видами діяльності)</w:t>
      </w:r>
      <w:r w:rsidRPr="00B44B71">
        <w:rPr>
          <w:rFonts w:ascii="Times New Roman" w:eastAsia="Times New Roman" w:hAnsi="Times New Roman" w:cs="Times New Roman"/>
          <w:kern w:val="0"/>
          <w:sz w:val="28"/>
          <w:szCs w:val="28"/>
          <w:lang w:val="ru-RU" w:eastAsia="ru-RU"/>
          <w14:ligatures w14:val="none"/>
        </w:rPr>
        <w:t xml:space="preserve">» для 2-го (магістерського) рівня відбулося в інших ЗВО, то для такої категорії необхідним є здобуття професійної кваліфікації «Офіцер стратегічного рівня ДПСУ (перший рівень)» на КПК у НАДПСУ. </w:t>
      </w:r>
    </w:p>
    <w:p w14:paraId="09920CC3"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ru-RU" w:eastAsia="ru-RU"/>
          <w14:ligatures w14:val="none"/>
        </w:rPr>
        <w:t xml:space="preserve">Окремим посадовим особам з професійною кваліфікацією «Офіцер стратегічного рівня ДПСУ» для виконання обов’язків за посадою необхідна освіта за рівнем курсів L-4, L-5, що здобувається в НУОУ. Відповідні кваліфікаційні вимоги до посади відображаються в паспорті посади. </w:t>
      </w:r>
    </w:p>
    <w:p w14:paraId="43004D09"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Структура системи освіти офіцерів ДПСУ дозволяє зробити висновок про те, що вона реалізує принцип «Освіта впродовж військової кар’єри». Цей принцип покликаний забезпечити динамічний розвиток професійних, управлінських та лідерських компетентностей офіцерського складу на кожному етапі їх кар’єрного зростання. </w:t>
      </w:r>
    </w:p>
    <w:p w14:paraId="7D9834F2"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Наведена структура системи освіти офіцерів ДПСУ з урахуванням організаційно-штатної структури та функцій штатних структур ДПСУ, переліку офіцерських посад у ДПСУ, відповідності штатних структур ДПСУ та ЗСУ за кількісними показниками та завданнями, що ними вирішуються, досвіду діяльності прикордонного відомства дозволяють сформувати модель </w:t>
      </w:r>
      <w:r w:rsidRPr="00B44B71">
        <w:rPr>
          <w:rFonts w:ascii="Times New Roman" w:eastAsia="Times New Roman" w:hAnsi="Times New Roman" w:cs="Times New Roman"/>
          <w:color w:val="000000"/>
          <w:kern w:val="0"/>
          <w:sz w:val="28"/>
          <w:szCs w:val="28"/>
          <w:lang w:val="uk-UA" w:eastAsia="uk-UA"/>
          <w14:ligatures w14:val="none"/>
        </w:rPr>
        <w:t xml:space="preserve">реалізації принципу «Освіта впродовж військової кар’єри» для основних типових посад офіцерського складу ДПСУ (див. табл. 2), що встановлює відповідність між </w:t>
      </w:r>
      <w:r w:rsidRPr="00B44B71">
        <w:rPr>
          <w:rFonts w:ascii="Times New Roman" w:eastAsia="Times New Roman" w:hAnsi="Times New Roman" w:cs="Times New Roman"/>
          <w:kern w:val="0"/>
          <w:sz w:val="28"/>
          <w:szCs w:val="28"/>
          <w:lang w:val="uk-UA" w:eastAsia="ru-RU"/>
          <w14:ligatures w14:val="none"/>
        </w:rPr>
        <w:t>рівнями освіти, типовими посадами, відповідними військовими званнями та кваліфікаціями офіцерського складу ДПСУ.</w:t>
      </w:r>
    </w:p>
    <w:p w14:paraId="53343095"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kern w:val="0"/>
          <w:sz w:val="28"/>
          <w:szCs w:val="28"/>
          <w:lang w:val="uk-UA" w:eastAsia="uk-UA"/>
          <w14:ligatures w14:val="none"/>
        </w:rPr>
        <w:t xml:space="preserve">Аналіз. </w:t>
      </w:r>
      <w:r w:rsidRPr="00B44B71">
        <w:rPr>
          <w:rFonts w:ascii="Times New Roman" w:eastAsia="Times New Roman" w:hAnsi="Times New Roman" w:cs="Times New Roman"/>
          <w:kern w:val="0"/>
          <w:sz w:val="28"/>
          <w:szCs w:val="28"/>
          <w:lang w:val="uk-UA" w:eastAsia="uk-UA"/>
          <w14:ligatures w14:val="none"/>
        </w:rPr>
        <w:t>Наведена в табл. 2 м</w:t>
      </w:r>
      <w:r w:rsidRPr="00B44B71">
        <w:rPr>
          <w:rFonts w:ascii="Times New Roman" w:eastAsia="Times New Roman" w:hAnsi="Times New Roman" w:cs="Times New Roman"/>
          <w:kern w:val="0"/>
          <w:sz w:val="28"/>
          <w:szCs w:val="28"/>
          <w:lang w:val="uk-UA" w:eastAsia="ru-RU"/>
          <w14:ligatures w14:val="none"/>
        </w:rPr>
        <w:t>одель реалізації принципу «Освіта впродовж військової кар’єри» для основних типових посад офіцерського складу ДПСУ дозволяє зробити такі висновки:</w:t>
      </w:r>
    </w:p>
    <w:p w14:paraId="1438A9F6"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структура та зміст моделі безпосередньо залежать від суті системи військово-прикордонної освіти, що регламентується нормативно-правовими актами, відомчими організаційно-розпорядчими документами та накопиченим ДПСУ досвідом у сфері підготовки фахівців для прикордонного відомства;</w:t>
      </w:r>
    </w:p>
    <w:p w14:paraId="2AD5A304" w14:textId="77777777" w:rsidR="00117DDD" w:rsidRDefault="00117DDD"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p>
    <w:p w14:paraId="4EE7F297" w14:textId="77777777" w:rsidR="00A04FC9" w:rsidRDefault="00A04FC9" w:rsidP="00E967C0">
      <w:pPr>
        <w:tabs>
          <w:tab w:val="left" w:pos="2977"/>
          <w:tab w:val="left" w:pos="9638"/>
        </w:tabs>
        <w:spacing w:after="0" w:line="240" w:lineRule="auto"/>
        <w:jc w:val="both"/>
        <w:rPr>
          <w:rFonts w:ascii="Times New Roman" w:eastAsia="Times New Roman" w:hAnsi="Times New Roman" w:cs="Times New Roman"/>
          <w:kern w:val="0"/>
          <w:sz w:val="28"/>
          <w:szCs w:val="28"/>
          <w:lang w:val="uk-UA" w:eastAsia="ru-RU"/>
          <w14:ligatures w14:val="none"/>
        </w:rPr>
      </w:pPr>
    </w:p>
    <w:p w14:paraId="5363CE73" w14:textId="77777777" w:rsidR="00A04FC9" w:rsidRPr="00A04FC9" w:rsidRDefault="00A04FC9" w:rsidP="00A04FC9">
      <w:pPr>
        <w:tabs>
          <w:tab w:val="left" w:pos="2977"/>
        </w:tabs>
        <w:spacing w:after="0" w:line="240" w:lineRule="auto"/>
        <w:ind w:firstLine="567"/>
        <w:jc w:val="center"/>
        <w:rPr>
          <w:rFonts w:ascii="Times New Roman" w:eastAsia="Times New Roman" w:hAnsi="Times New Roman" w:cs="Times New Roman"/>
          <w:kern w:val="0"/>
          <w:sz w:val="28"/>
          <w:szCs w:val="28"/>
          <w:lang w:val="uk-UA" w:eastAsia="ru-RU"/>
          <w14:ligatures w14:val="none"/>
        </w:rPr>
      </w:pPr>
      <w:r w:rsidRPr="00A04FC9">
        <w:rPr>
          <w:rFonts w:ascii="Times New Roman" w:eastAsia="Times New Roman" w:hAnsi="Times New Roman" w:cs="Times New Roman"/>
          <w:noProof/>
          <w:kern w:val="0"/>
          <w:sz w:val="28"/>
          <w:szCs w:val="28"/>
          <w:lang w:val="uk-UA" w:eastAsia="uk-UA"/>
          <w14:ligatures w14:val="none"/>
        </w:rPr>
        <w:lastRenderedPageBreak/>
        <mc:AlternateContent>
          <mc:Choice Requires="wps">
            <w:drawing>
              <wp:anchor distT="45720" distB="45720" distL="114300" distR="114300" simplePos="0" relativeHeight="251758592" behindDoc="0" locked="0" layoutInCell="1" allowOverlap="1" wp14:anchorId="36F3EBC4" wp14:editId="46A89DD0">
                <wp:simplePos x="0" y="0"/>
                <wp:positionH relativeFrom="column">
                  <wp:posOffset>41592</wp:posOffset>
                </wp:positionH>
                <wp:positionV relativeFrom="paragraph">
                  <wp:posOffset>407353</wp:posOffset>
                </wp:positionV>
                <wp:extent cx="866775" cy="342900"/>
                <wp:effectExtent l="0" t="4762" r="4762" b="4763"/>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66775" cy="342900"/>
                        </a:xfrm>
                        <a:prstGeom prst="rect">
                          <a:avLst/>
                        </a:prstGeom>
                        <a:solidFill>
                          <a:srgbClr val="FFFFFF"/>
                        </a:solidFill>
                        <a:ln w="9525">
                          <a:noFill/>
                          <a:miter lim="800000"/>
                          <a:headEnd/>
                          <a:tailEnd/>
                        </a:ln>
                      </wps:spPr>
                      <wps:txbx>
                        <w:txbxContent>
                          <w:p w14:paraId="4C2543FE" w14:textId="77777777" w:rsidR="00F25FCF" w:rsidRPr="00F87B2F" w:rsidRDefault="00F25FCF" w:rsidP="00A04FC9">
                            <w:pPr>
                              <w:rPr>
                                <w:rFonts w:ascii="Times New Roman" w:hAnsi="Times New Roman" w:cs="Times New Roman"/>
                                <w:sz w:val="24"/>
                                <w:szCs w:val="24"/>
                              </w:rPr>
                            </w:pPr>
                            <w:r w:rsidRPr="00F87B2F">
                              <w:rPr>
                                <w:rFonts w:ascii="Times New Roman" w:hAnsi="Times New Roman" w:cs="Times New Roman"/>
                                <w:sz w:val="24"/>
                                <w:szCs w:val="24"/>
                              </w:rPr>
                              <w:t>Таблиця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F3EBC4" id="Text Box 2" o:spid="_x0000_s1241" type="#_x0000_t202" style="position:absolute;left:0;text-align:left;margin-left:3.25pt;margin-top:32.1pt;width:68.25pt;height:27pt;rotation:-90;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" stroked="f">
                <v:textbox>
                  <w:txbxContent>
                    <w:p w14:paraId="4C2543FE" w14:textId="77777777" w:rsidR="00F25FCF" w:rsidRPr="00F87B2F" w:rsidRDefault="00F25FCF" w:rsidP="00A04FC9">
                      <w:pPr>
                        <w:rPr>
                          <w:rFonts w:ascii="Times New Roman" w:hAnsi="Times New Roman" w:cs="Times New Roman"/>
                          <w:sz w:val="24"/>
                          <w:szCs w:val="24"/>
                        </w:rPr>
                      </w:pPr>
                      <w:r w:rsidRPr="00F87B2F">
                        <w:rPr>
                          <w:rFonts w:ascii="Times New Roman" w:hAnsi="Times New Roman" w:cs="Times New Roman"/>
                          <w:sz w:val="24"/>
                          <w:szCs w:val="24"/>
                        </w:rPr>
                        <w:t>Таблиця 2</w:t>
                      </w:r>
                    </w:p>
                  </w:txbxContent>
                </v:textbox>
                <w10:wrap type="square"/>
              </v:shape>
            </w:pict>
          </mc:Fallback>
        </mc:AlternateContent>
      </w:r>
      <w:r w:rsidRPr="00A04FC9">
        <w:rPr>
          <w:rFonts w:ascii="Calibri" w:eastAsia="Calibri" w:hAnsi="Calibri" w:cs="Times New Roman"/>
          <w:noProof/>
          <w:lang w:val="uk-UA" w:eastAsia="uk-UA"/>
        </w:rPr>
        <w:drawing>
          <wp:inline distT="0" distB="0" distL="0" distR="0" wp14:anchorId="4DBB05B6" wp14:editId="1AD6E618">
            <wp:extent cx="9043303" cy="4951445"/>
            <wp:effectExtent l="7620" t="0" r="0" b="0"/>
            <wp:docPr id="838005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47371" name=""/>
                    <pic:cNvPicPr/>
                  </pic:nvPicPr>
                  <pic:blipFill rotWithShape="1">
                    <a:blip r:embed="rId381"/>
                    <a:srcRect l="16421" t="21462" r="16110" b="12855"/>
                    <a:stretch>
                      <a:fillRect/>
                    </a:stretch>
                  </pic:blipFill>
                  <pic:spPr bwMode="auto">
                    <a:xfrm rot="16200000">
                      <a:off x="0" y="0"/>
                      <a:ext cx="9064120" cy="4962843"/>
                    </a:xfrm>
                    <a:prstGeom prst="rect">
                      <a:avLst/>
                    </a:prstGeom>
                    <a:ln>
                      <a:noFill/>
                    </a:ln>
                    <a:extLst>
                      <a:ext uri="{53640926-AAD7-44D8-BBD7-CCE9431645EC}">
                        <a14:shadowObscured xmlns:a14="http://schemas.microsoft.com/office/drawing/2010/main"/>
                      </a:ext>
                    </a:extLst>
                  </pic:spPr>
                </pic:pic>
              </a:graphicData>
            </a:graphic>
          </wp:inline>
        </w:drawing>
      </w:r>
    </w:p>
    <w:p w14:paraId="73018F60" w14:textId="77777777" w:rsidR="00A04FC9" w:rsidRPr="00A04FC9" w:rsidRDefault="00A04FC9" w:rsidP="00A04FC9">
      <w:pPr>
        <w:tabs>
          <w:tab w:val="left" w:pos="2977"/>
        </w:tabs>
        <w:spacing w:after="0" w:line="240" w:lineRule="auto"/>
        <w:ind w:firstLine="567"/>
        <w:jc w:val="center"/>
        <w:rPr>
          <w:rFonts w:ascii="Times New Roman" w:eastAsia="Times New Roman" w:hAnsi="Times New Roman" w:cs="Times New Roman"/>
          <w:kern w:val="0"/>
          <w:sz w:val="28"/>
          <w:szCs w:val="28"/>
          <w:lang w:val="uk-UA" w:eastAsia="ru-RU"/>
          <w14:ligatures w14:val="none"/>
        </w:rPr>
      </w:pPr>
    </w:p>
    <w:p w14:paraId="56FE0017" w14:textId="6569E8EB" w:rsidR="00117DDD" w:rsidRDefault="00A04FC9" w:rsidP="00E967C0">
      <w:pPr>
        <w:tabs>
          <w:tab w:val="left" w:pos="2977"/>
        </w:tabs>
        <w:spacing w:after="0" w:line="240" w:lineRule="auto"/>
        <w:ind w:firstLine="567"/>
        <w:jc w:val="center"/>
        <w:rPr>
          <w:rFonts w:ascii="Times New Roman" w:eastAsia="Times New Roman" w:hAnsi="Times New Roman" w:cs="Times New Roman"/>
          <w:kern w:val="0"/>
          <w:sz w:val="28"/>
          <w:szCs w:val="28"/>
          <w:lang w:val="uk-UA" w:eastAsia="ru-RU"/>
          <w14:ligatures w14:val="none"/>
        </w:rPr>
      </w:pPr>
      <w:r w:rsidRPr="00A04FC9">
        <w:rPr>
          <w:rFonts w:ascii="Calibri" w:eastAsia="Calibri" w:hAnsi="Calibri" w:cs="Times New Roman"/>
          <w:noProof/>
          <w:lang w:val="uk-UA" w:eastAsia="uk-UA"/>
        </w:rPr>
        <w:drawing>
          <wp:inline distT="0" distB="0" distL="0" distR="0" wp14:anchorId="296424B9" wp14:editId="01E193F2">
            <wp:extent cx="8447795" cy="4798145"/>
            <wp:effectExtent l="0" t="4127" r="6667" b="6668"/>
            <wp:docPr id="838005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71740" name=""/>
                    <pic:cNvPicPr/>
                  </pic:nvPicPr>
                  <pic:blipFill rotWithShape="1">
                    <a:blip r:embed="rId382"/>
                    <a:srcRect l="15448" t="23371" r="16241" b="7642"/>
                    <a:stretch>
                      <a:fillRect/>
                    </a:stretch>
                  </pic:blipFill>
                  <pic:spPr bwMode="auto">
                    <a:xfrm rot="16200000">
                      <a:off x="0" y="0"/>
                      <a:ext cx="8447795" cy="4798145"/>
                    </a:xfrm>
                    <a:prstGeom prst="rect">
                      <a:avLst/>
                    </a:prstGeom>
                    <a:ln>
                      <a:noFill/>
                    </a:ln>
                    <a:extLst>
                      <a:ext uri="{53640926-AAD7-44D8-BBD7-CCE9431645EC}">
                        <a14:shadowObscured xmlns:a14="http://schemas.microsoft.com/office/drawing/2010/main"/>
                      </a:ext>
                    </a:extLst>
                  </pic:spPr>
                </pic:pic>
              </a:graphicData>
            </a:graphic>
          </wp:inline>
        </w:drawing>
      </w:r>
    </w:p>
    <w:p w14:paraId="69566538" w14:textId="327600A4" w:rsidR="00117DDD" w:rsidRDefault="00117DDD"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117DDD">
        <w:rPr>
          <w:rFonts w:ascii="Calibri" w:eastAsia="Calibri" w:hAnsi="Calibri" w:cs="Times New Roman"/>
          <w:noProof/>
          <w:lang w:val="uk-UA" w:eastAsia="uk-UA"/>
        </w:rPr>
        <w:lastRenderedPageBreak/>
        <w:drawing>
          <wp:inline distT="0" distB="0" distL="0" distR="0" wp14:anchorId="7403719C" wp14:editId="11999A94">
            <wp:extent cx="9091308" cy="5188473"/>
            <wp:effectExtent l="0" t="4127" r="0" b="0"/>
            <wp:docPr id="838005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32905" name=""/>
                    <pic:cNvPicPr/>
                  </pic:nvPicPr>
                  <pic:blipFill rotWithShape="1">
                    <a:blip r:embed="rId383"/>
                    <a:srcRect l="18512" t="22464" r="18411" b="13540"/>
                    <a:stretch>
                      <a:fillRect/>
                    </a:stretch>
                  </pic:blipFill>
                  <pic:spPr bwMode="auto">
                    <a:xfrm rot="16200000">
                      <a:off x="0" y="0"/>
                      <a:ext cx="9177851" cy="5237864"/>
                    </a:xfrm>
                    <a:prstGeom prst="rect">
                      <a:avLst/>
                    </a:prstGeom>
                    <a:ln>
                      <a:noFill/>
                    </a:ln>
                    <a:extLst>
                      <a:ext uri="{53640926-AAD7-44D8-BBD7-CCE9431645EC}">
                        <a14:shadowObscured xmlns:a14="http://schemas.microsoft.com/office/drawing/2010/main"/>
                      </a:ext>
                    </a:extLst>
                  </pic:spPr>
                </pic:pic>
              </a:graphicData>
            </a:graphic>
          </wp:inline>
        </w:drawing>
      </w:r>
    </w:p>
    <w:p w14:paraId="50C70ED7" w14:textId="77777777" w:rsidR="00F918EC" w:rsidRDefault="00F918EC"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sectPr w:rsidR="00F918EC" w:rsidSect="00DD0E8B">
          <w:headerReference w:type="default" r:id="rId384"/>
          <w:footerReference w:type="default" r:id="rId385"/>
          <w:footerReference w:type="first" r:id="rId386"/>
          <w:type w:val="continuous"/>
          <w:pgSz w:w="11906" w:h="16838"/>
          <w:pgMar w:top="1134" w:right="991" w:bottom="1134" w:left="1134" w:header="709" w:footer="709" w:gutter="0"/>
          <w:cols w:space="708"/>
          <w:titlePg/>
          <w:docGrid w:linePitch="360"/>
        </w:sectPr>
      </w:pPr>
    </w:p>
    <w:p w14:paraId="5D8D14CB" w14:textId="77777777" w:rsidR="00E967C0" w:rsidRPr="00B44B71" w:rsidRDefault="00E967C0" w:rsidP="00E967C0">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lastRenderedPageBreak/>
        <w:t>модель формує цілісну систему уявлень щодо освітньої підготовки та професійного розвитку й становлення офіцерів ДПСУ;</w:t>
      </w:r>
    </w:p>
    <w:p w14:paraId="086388B1" w14:textId="77777777" w:rsidR="00E967C0" w:rsidRPr="00B44B71" w:rsidRDefault="00E967C0" w:rsidP="00E967C0">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ключова риса моделі – відповідність між рівнями освіти, кваліфікаціями, військовими званнями, можливими посадами та органами, в яких можливе проходження служби;</w:t>
      </w:r>
    </w:p>
    <w:p w14:paraId="6D7F92B7" w14:textId="77777777" w:rsidR="00E967C0" w:rsidRPr="00B44B71" w:rsidRDefault="00E967C0" w:rsidP="00E967C0">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особливість моделі – її вплив на формування «паспортів посад» (паспорт посади визначає перелік освітніх і професійних кваліфікацій, які необхідні офіцеру для належного виконання службових обов’язків за посадою);</w:t>
      </w:r>
    </w:p>
    <w:p w14:paraId="522C5AF5" w14:textId="77777777" w:rsidR="00E967C0" w:rsidRDefault="00E967C0" w:rsidP="00E967C0">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модель створює в ДПСУ умови для ефективного, прозорого та мотивованого кар’єрного зростання офіцерів, водночас підвищуючи професійні стандарти й боєздатність усієї системи охорони державного кордону.</w:t>
      </w:r>
    </w:p>
    <w:p w14:paraId="73E149D3"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kern w:val="0"/>
          <w:sz w:val="28"/>
          <w:szCs w:val="28"/>
          <w:lang w:val="uk-UA" w:eastAsia="uk-UA"/>
          <w14:ligatures w14:val="none"/>
        </w:rPr>
        <w:t xml:space="preserve">Висновки. </w:t>
      </w:r>
      <w:r w:rsidRPr="00B44B71">
        <w:rPr>
          <w:rFonts w:ascii="Times New Roman" w:eastAsia="Times New Roman" w:hAnsi="Times New Roman" w:cs="Times New Roman"/>
          <w:kern w:val="0"/>
          <w:sz w:val="28"/>
          <w:szCs w:val="28"/>
          <w:lang w:val="uk-UA" w:eastAsia="uk-UA"/>
          <w14:ligatures w14:val="none"/>
        </w:rPr>
        <w:t xml:space="preserve">Аналіз результатів проведеного дослідження  свідчить, що </w:t>
      </w:r>
      <w:r w:rsidRPr="00B44B71">
        <w:rPr>
          <w:rFonts w:ascii="Times New Roman" w:eastAsia="Times New Roman" w:hAnsi="Times New Roman" w:cs="Times New Roman"/>
          <w:kern w:val="0"/>
          <w:sz w:val="28"/>
          <w:szCs w:val="28"/>
          <w:lang w:val="uk-UA" w:eastAsia="ru-RU"/>
          <w14:ligatures w14:val="none"/>
        </w:rPr>
        <w:t>вирішення проблеми</w:t>
      </w:r>
      <w:r w:rsidRPr="00B44B71">
        <w:rPr>
          <w:rFonts w:ascii="Times New Roman" w:eastAsia="Times New Roman" w:hAnsi="Times New Roman" w:cs="Times New Roman"/>
          <w:kern w:val="0"/>
          <w:sz w:val="28"/>
          <w:szCs w:val="28"/>
          <w:lang w:val="uk-UA"/>
          <w14:ligatures w14:val="none"/>
        </w:rPr>
        <w:t xml:space="preserve"> підвищення професійного рівня особового складу ДПСУ, як суб’єкту сил оборони, залежить від ефективності м</w:t>
      </w:r>
      <w:r w:rsidRPr="00B44B71">
        <w:rPr>
          <w:rFonts w:ascii="Times New Roman" w:eastAsia="Times New Roman" w:hAnsi="Times New Roman" w:cs="Times New Roman"/>
          <w:kern w:val="0"/>
          <w:sz w:val="28"/>
          <w:szCs w:val="28"/>
          <w:lang w:val="uk-UA" w:eastAsia="ru-RU"/>
          <w14:ligatures w14:val="none"/>
        </w:rPr>
        <w:t>оделі реалізації принципу «Освіта впродовж військової кар’єри» для основних типових посад офіцерського складу ДПСУ, що підтверджує коректність висунутої у роботі гіпотези.</w:t>
      </w:r>
    </w:p>
    <w:p w14:paraId="24DA20B6"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Підхід, що реалізований при формуванні моделі, доцільно трактувати як методологічну основу організаційної і науково-методичної конструкції реалізації положень постанови Кабінету Міністрів України «Про трансформацію системи військової освіти», з урахуванням норм Закону України «Про Державну прикордонну службу України».</w:t>
      </w:r>
    </w:p>
    <w:p w14:paraId="5F259FBC"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b/>
          <w:kern w:val="0"/>
          <w:sz w:val="28"/>
          <w:szCs w:val="28"/>
          <w:lang w:val="uk-UA" w:eastAsia="ru-RU"/>
          <w14:ligatures w14:val="none"/>
        </w:rPr>
        <w:t>Перспективи подальших досліджень.</w:t>
      </w:r>
      <w:r w:rsidRPr="00B44B71">
        <w:rPr>
          <w:rFonts w:ascii="Times New Roman" w:eastAsia="Times New Roman" w:hAnsi="Times New Roman" w:cs="Times New Roman"/>
          <w:kern w:val="0"/>
          <w:sz w:val="28"/>
          <w:szCs w:val="28"/>
          <w:lang w:val="uk-UA" w:eastAsia="ru-RU"/>
          <w14:ligatures w14:val="none"/>
        </w:rPr>
        <w:t xml:space="preserve">  Перспективи подальших досліджень порушеної проблеми вбачаємо у:</w:t>
      </w:r>
    </w:p>
    <w:p w14:paraId="416DE349"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побудові моделей реалізації принципу «Освіта впродовж військової кар’єри» для основних категорій офіцерського складу ДПСУ за різними профілями їхньої діяльності;</w:t>
      </w:r>
    </w:p>
    <w:p w14:paraId="2FB54841"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 xml:space="preserve">визначенні складових частин підготовки офіцерського складу ДПСУ та їхньої сутності; </w:t>
      </w:r>
    </w:p>
    <w:p w14:paraId="58A1AC32"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побудові структурної моделі системи підготовки офіцерів ДПСУ, яка встановлює відповідність між компонентами системи підготовки за видами, рівнями, об’єктами впливу та спрямуванням з урахуванням їхніх складових;</w:t>
      </w:r>
    </w:p>
    <w:p w14:paraId="4D57D80C"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r w:rsidRPr="00B44B71">
        <w:rPr>
          <w:rFonts w:ascii="Times New Roman" w:eastAsia="Times New Roman" w:hAnsi="Times New Roman" w:cs="Times New Roman"/>
          <w:kern w:val="0"/>
          <w:sz w:val="28"/>
          <w:szCs w:val="28"/>
          <w:lang w:val="uk-UA" w:eastAsia="ru-RU"/>
          <w14:ligatures w14:val="none"/>
        </w:rPr>
        <w:t>формуванні узагальненої структурної моделі системи підготовки офіцерів ДПСУ в межах реалізації принципу «Освіта впродовж військової кар’єри», що поєднує модель реалізації принципу «Освіта впродовж військової кар’єри» для основних типових посад офіцерського складу ДПСУ та структурну модель системи підготовки офіцерів ДПСУ.</w:t>
      </w:r>
    </w:p>
    <w:p w14:paraId="3E08350D"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8"/>
          <w:szCs w:val="28"/>
          <w:lang w:val="uk-UA" w:eastAsia="ru-RU"/>
          <w14:ligatures w14:val="none"/>
        </w:rPr>
      </w:pPr>
    </w:p>
    <w:p w14:paraId="5BE814C1" w14:textId="77777777" w:rsidR="00B44B71" w:rsidRPr="00B44B71" w:rsidRDefault="00B44B71" w:rsidP="00023291">
      <w:pPr>
        <w:tabs>
          <w:tab w:val="left" w:pos="9638"/>
        </w:tabs>
        <w:spacing w:after="0" w:line="240" w:lineRule="auto"/>
        <w:jc w:val="center"/>
        <w:rPr>
          <w:rFonts w:ascii="Times New Roman" w:eastAsia="Times New Roman" w:hAnsi="Times New Roman" w:cs="Times New Roman"/>
          <w:b/>
          <w:kern w:val="0"/>
          <w:sz w:val="24"/>
          <w:szCs w:val="24"/>
          <w:lang w:val="uk-UA" w:eastAsia="ru-RU"/>
          <w14:ligatures w14:val="none"/>
        </w:rPr>
      </w:pPr>
      <w:r w:rsidRPr="00B44B71">
        <w:rPr>
          <w:rFonts w:ascii="Times New Roman" w:eastAsia="Times New Roman" w:hAnsi="Times New Roman" w:cs="Times New Roman"/>
          <w:b/>
          <w:kern w:val="0"/>
          <w:sz w:val="24"/>
          <w:szCs w:val="24"/>
          <w:lang w:val="uk-UA" w:eastAsia="ru-RU"/>
          <w14:ligatures w14:val="none"/>
        </w:rPr>
        <w:t>ЛІТЕРАТУРА</w:t>
      </w:r>
    </w:p>
    <w:p w14:paraId="71711291"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ru-RU"/>
          <w14:ligatures w14:val="none"/>
        </w:rPr>
        <w:t>Білявець</w:t>
      </w:r>
      <w:r w:rsidRPr="00B44B71">
        <w:rPr>
          <w:rFonts w:ascii="Times New Roman" w:eastAsia="Times New Roman" w:hAnsi="Times New Roman" w:cs="Times New Roman"/>
          <w:kern w:val="0"/>
          <w:sz w:val="24"/>
          <w:szCs w:val="24"/>
          <w:lang w:val="uk-UA"/>
          <w14:ligatures w14:val="none"/>
        </w:rPr>
        <w:t>,</w:t>
      </w:r>
      <w:r w:rsidRPr="00B44B71">
        <w:rPr>
          <w:rFonts w:ascii="Times New Roman" w:eastAsia="Times New Roman" w:hAnsi="Times New Roman" w:cs="Times New Roman"/>
          <w:kern w:val="0"/>
          <w:sz w:val="24"/>
          <w:szCs w:val="24"/>
          <w:lang w:val="ru-RU"/>
          <w14:ligatures w14:val="none"/>
        </w:rPr>
        <w:t xml:space="preserve"> С., Торічний</w:t>
      </w:r>
      <w:r w:rsidRPr="00B44B71">
        <w:rPr>
          <w:rFonts w:ascii="Times New Roman" w:eastAsia="Times New Roman" w:hAnsi="Times New Roman" w:cs="Times New Roman"/>
          <w:kern w:val="0"/>
          <w:sz w:val="24"/>
          <w:szCs w:val="24"/>
          <w:lang w:val="uk-UA"/>
          <w14:ligatures w14:val="none"/>
        </w:rPr>
        <w:t>,</w:t>
      </w:r>
      <w:r w:rsidRPr="00B44B71">
        <w:rPr>
          <w:rFonts w:ascii="Times New Roman" w:eastAsia="Times New Roman" w:hAnsi="Times New Roman" w:cs="Times New Roman"/>
          <w:kern w:val="0"/>
          <w:sz w:val="24"/>
          <w:szCs w:val="24"/>
          <w:lang w:val="ru-RU"/>
          <w14:ligatures w14:val="none"/>
        </w:rPr>
        <w:t xml:space="preserve"> В., Панібрат</w:t>
      </w:r>
      <w:r w:rsidRPr="00B44B71">
        <w:rPr>
          <w:rFonts w:ascii="Times New Roman" w:eastAsia="Times New Roman" w:hAnsi="Times New Roman" w:cs="Times New Roman"/>
          <w:kern w:val="0"/>
          <w:sz w:val="24"/>
          <w:szCs w:val="24"/>
          <w:lang w:val="uk-UA"/>
          <w14:ligatures w14:val="none"/>
        </w:rPr>
        <w:t>,</w:t>
      </w:r>
      <w:r w:rsidRPr="00B44B71">
        <w:rPr>
          <w:rFonts w:ascii="Times New Roman" w:eastAsia="Times New Roman" w:hAnsi="Times New Roman" w:cs="Times New Roman"/>
          <w:kern w:val="0"/>
          <w:sz w:val="24"/>
          <w:szCs w:val="24"/>
          <w:lang w:val="ru-RU"/>
          <w14:ligatures w14:val="none"/>
        </w:rPr>
        <w:t xml:space="preserve"> І. </w:t>
      </w:r>
      <w:r w:rsidRPr="00B44B71">
        <w:rPr>
          <w:rFonts w:ascii="Times New Roman" w:eastAsia="Times New Roman" w:hAnsi="Times New Roman" w:cs="Times New Roman"/>
          <w:kern w:val="0"/>
          <w:sz w:val="24"/>
          <w:szCs w:val="24"/>
          <w:lang w:val="uk-UA"/>
          <w14:ligatures w14:val="none"/>
        </w:rPr>
        <w:t xml:space="preserve">(2025). </w:t>
      </w:r>
      <w:r w:rsidRPr="00B44B71">
        <w:rPr>
          <w:rFonts w:ascii="Times New Roman" w:eastAsia="Times New Roman" w:hAnsi="Times New Roman" w:cs="Times New Roman"/>
          <w:kern w:val="0"/>
          <w:sz w:val="24"/>
          <w:szCs w:val="24"/>
          <w:lang w:val="ru-RU"/>
          <w14:ligatures w14:val="none"/>
        </w:rPr>
        <w:t>Організаційно-функціональні та змістовні засади підготовки персоналу окремих складових сектору безпеки та оборони України.</w:t>
      </w:r>
      <w:r w:rsidRPr="00B44B71">
        <w:rPr>
          <w:rFonts w:ascii="Times New Roman" w:eastAsia="Times New Roman" w:hAnsi="Times New Roman" w:cs="Times New Roman"/>
          <w:kern w:val="0"/>
          <w:sz w:val="24"/>
          <w:szCs w:val="24"/>
          <w:lang w:val="ru-RU" w:eastAsia="ru-RU"/>
          <w14:ligatures w14:val="none"/>
        </w:rPr>
        <w:t xml:space="preserve"> </w:t>
      </w:r>
      <w:r w:rsidRPr="00B44B71">
        <w:rPr>
          <w:rFonts w:ascii="Times New Roman" w:eastAsia="Times New Roman" w:hAnsi="Times New Roman" w:cs="Times New Roman"/>
          <w:i/>
          <w:kern w:val="0"/>
          <w:sz w:val="24"/>
          <w:szCs w:val="24"/>
          <w:lang w:val="ru-RU" w:eastAsia="ru-RU"/>
          <w14:ligatures w14:val="none"/>
        </w:rPr>
        <w:t>Збірник наукових праць Національної академії Державної прикордонної служби України. Серія: педагогічні науки.</w:t>
      </w:r>
      <w:r w:rsidRPr="00B44B71">
        <w:rPr>
          <w:rFonts w:ascii="Times New Roman" w:eastAsia="Times New Roman" w:hAnsi="Times New Roman" w:cs="Times New Roman"/>
          <w:kern w:val="0"/>
          <w:sz w:val="24"/>
          <w:szCs w:val="24"/>
          <w:lang w:val="ru-RU" w:eastAsia="ru-RU"/>
          <w14:ligatures w14:val="none"/>
        </w:rPr>
        <w:t xml:space="preserve"> 3(42)</w:t>
      </w:r>
      <w:r w:rsidRPr="00B44B71">
        <w:rPr>
          <w:rFonts w:ascii="Times New Roman" w:eastAsia="Times New Roman" w:hAnsi="Times New Roman" w:cs="Times New Roman"/>
          <w:kern w:val="0"/>
          <w:sz w:val="24"/>
          <w:szCs w:val="24"/>
          <w:lang w:val="uk-UA" w:eastAsia="ru-RU"/>
          <w14:ligatures w14:val="none"/>
        </w:rPr>
        <w:t>. С.</w:t>
      </w:r>
      <w:r w:rsidRPr="00B44B71">
        <w:rPr>
          <w:rFonts w:ascii="Times New Roman" w:eastAsia="Times New Roman" w:hAnsi="Times New Roman" w:cs="Times New Roman"/>
          <w:kern w:val="0"/>
          <w:sz w:val="24"/>
          <w:szCs w:val="24"/>
          <w:lang w:val="ru-RU" w:eastAsia="ru-RU"/>
          <w14:ligatures w14:val="none"/>
        </w:rPr>
        <w:t> </w:t>
      </w:r>
      <w:r w:rsidRPr="00B44B71">
        <w:rPr>
          <w:rFonts w:ascii="Times New Roman" w:eastAsia="Times New Roman" w:hAnsi="Times New Roman" w:cs="Times New Roman"/>
          <w:kern w:val="0"/>
          <w:sz w:val="24"/>
          <w:szCs w:val="24"/>
          <w:lang w:val="uk-UA" w:eastAsia="ru-RU"/>
          <w14:ligatures w14:val="none"/>
        </w:rPr>
        <w:t xml:space="preserve">49-76. </w:t>
      </w:r>
      <w:r w:rsidRPr="00B44B71">
        <w:rPr>
          <w:rFonts w:ascii="Times New Roman" w:eastAsia="Times New Roman" w:hAnsi="Times New Roman" w:cs="Times New Roman"/>
          <w:kern w:val="0"/>
          <w:sz w:val="24"/>
          <w:szCs w:val="24"/>
          <w:lang w:val="ru-RU" w:eastAsia="ru-RU"/>
          <w14:ligatures w14:val="none"/>
        </w:rPr>
        <w:t>DOI</w:t>
      </w:r>
      <w:r w:rsidRPr="00B44B71">
        <w:rPr>
          <w:rFonts w:ascii="Times New Roman" w:eastAsia="Times New Roman" w:hAnsi="Times New Roman" w:cs="Times New Roman"/>
          <w:kern w:val="0"/>
          <w:sz w:val="24"/>
          <w:szCs w:val="24"/>
          <w:lang w:val="uk-UA" w:eastAsia="ru-RU"/>
          <w14:ligatures w14:val="none"/>
        </w:rPr>
        <w:t>: 10.32453/</w:t>
      </w:r>
      <w:r w:rsidRPr="00B44B71">
        <w:rPr>
          <w:rFonts w:ascii="Times New Roman" w:eastAsia="Times New Roman" w:hAnsi="Times New Roman" w:cs="Times New Roman"/>
          <w:kern w:val="0"/>
          <w:sz w:val="24"/>
          <w:szCs w:val="24"/>
          <w:lang w:val="ru-RU" w:eastAsia="ru-RU"/>
          <w14:ligatures w14:val="none"/>
        </w:rPr>
        <w:t>pedzbirnyk</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ru-RU" w:eastAsia="ru-RU"/>
          <w14:ligatures w14:val="none"/>
        </w:rPr>
        <w:t>v</w:t>
      </w:r>
      <w:r w:rsidRPr="00B44B71">
        <w:rPr>
          <w:rFonts w:ascii="Times New Roman" w:eastAsia="Times New Roman" w:hAnsi="Times New Roman" w:cs="Times New Roman"/>
          <w:kern w:val="0"/>
          <w:sz w:val="24"/>
          <w:szCs w:val="24"/>
          <w:lang w:val="uk-UA" w:eastAsia="ru-RU"/>
          <w14:ligatures w14:val="none"/>
        </w:rPr>
        <w:t>42</w:t>
      </w:r>
      <w:r w:rsidRPr="00B44B71">
        <w:rPr>
          <w:rFonts w:ascii="Times New Roman" w:eastAsia="Times New Roman" w:hAnsi="Times New Roman" w:cs="Times New Roman"/>
          <w:kern w:val="0"/>
          <w:sz w:val="24"/>
          <w:szCs w:val="24"/>
          <w:lang w:val="ru-RU" w:eastAsia="ru-RU"/>
          <w14:ligatures w14:val="none"/>
        </w:rPr>
        <w:t>i</w:t>
      </w:r>
      <w:r w:rsidRPr="00B44B71">
        <w:rPr>
          <w:rFonts w:ascii="Times New Roman" w:eastAsia="Times New Roman" w:hAnsi="Times New Roman" w:cs="Times New Roman"/>
          <w:kern w:val="0"/>
          <w:sz w:val="24"/>
          <w:szCs w:val="24"/>
          <w:lang w:val="uk-UA" w:eastAsia="ru-RU"/>
          <w14:ligatures w14:val="none"/>
        </w:rPr>
        <w:t>3.1916.</w:t>
      </w:r>
    </w:p>
    <w:p w14:paraId="19E23871"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Бєлай, С., Тробюк, В., Головня, А. (2023). Теоретико-методологічні засади обґрунтування алгоритму управління кар’єрою офіцерського складу Національної гвардії України. </w:t>
      </w:r>
      <w:r w:rsidRPr="00B44B71">
        <w:rPr>
          <w:rFonts w:ascii="Times New Roman" w:eastAsia="Times New Roman" w:hAnsi="Times New Roman" w:cs="Times New Roman"/>
          <w:i/>
          <w:iCs/>
          <w:kern w:val="0"/>
          <w:sz w:val="24"/>
          <w:szCs w:val="24"/>
          <w:lang w:val="uk-UA" w:eastAsia="ru-RU"/>
          <w14:ligatures w14:val="none"/>
        </w:rPr>
        <w:t>Честь і закон</w:t>
      </w:r>
      <w:r w:rsidRPr="00B44B71">
        <w:rPr>
          <w:rFonts w:ascii="Times New Roman" w:eastAsia="Times New Roman" w:hAnsi="Times New Roman" w:cs="Times New Roman"/>
          <w:iCs/>
          <w:kern w:val="0"/>
          <w:sz w:val="24"/>
          <w:szCs w:val="24"/>
          <w:lang w:val="uk-UA" w:eastAsia="ru-RU"/>
          <w14:ligatures w14:val="none"/>
        </w:rPr>
        <w:t xml:space="preserve">. </w:t>
      </w:r>
      <w:r w:rsidRPr="00B44B71">
        <w:rPr>
          <w:rFonts w:ascii="Times New Roman" w:eastAsia="Times New Roman" w:hAnsi="Times New Roman" w:cs="Times New Roman"/>
          <w:kern w:val="0"/>
          <w:sz w:val="24"/>
          <w:szCs w:val="24"/>
          <w:lang w:val="uk-UA" w:eastAsia="ru-RU"/>
          <w14:ligatures w14:val="none"/>
        </w:rPr>
        <w:t xml:space="preserve">4(87). С. 6–16. </w:t>
      </w:r>
      <w:r w:rsidRPr="00B44B71">
        <w:rPr>
          <w:rFonts w:ascii="Times New Roman" w:eastAsia="Times New Roman" w:hAnsi="Times New Roman" w:cs="Times New Roman"/>
          <w:kern w:val="0"/>
          <w:sz w:val="24"/>
          <w:szCs w:val="24"/>
          <w:lang w:val="ru-RU" w:eastAsia="ru-RU"/>
          <w14:ligatures w14:val="none"/>
        </w:rPr>
        <w:t>DOI</w:t>
      </w:r>
      <w:r w:rsidRPr="00B44B71">
        <w:rPr>
          <w:rFonts w:ascii="Times New Roman" w:eastAsia="Times New Roman" w:hAnsi="Times New Roman" w:cs="Times New Roman"/>
          <w:kern w:val="0"/>
          <w:sz w:val="24"/>
          <w:szCs w:val="24"/>
          <w:lang w:val="uk-UA" w:eastAsia="ru-RU"/>
          <w14:ligatures w14:val="none"/>
        </w:rPr>
        <w:t>: 10.33405/2078-7480/2023/4/87/295080.</w:t>
      </w:r>
    </w:p>
    <w:p w14:paraId="169C12F5" w14:textId="77777777" w:rsidR="00B44B71" w:rsidRPr="00B44B71" w:rsidRDefault="00B44B71" w:rsidP="00023291">
      <w:pPr>
        <w:tabs>
          <w:tab w:val="left" w:pos="1134"/>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lastRenderedPageBreak/>
        <w:t xml:space="preserve">Вітер, Д., Оліферук, В., Мірненко, В., Мацьовитий, В., Хома, В. та ін. (2023). </w:t>
      </w:r>
      <w:r w:rsidRPr="00B44B71">
        <w:rPr>
          <w:rFonts w:ascii="Times New Roman" w:eastAsia="Times New Roman" w:hAnsi="Times New Roman" w:cs="Times New Roman"/>
          <w:i/>
          <w:kern w:val="0"/>
          <w:sz w:val="24"/>
          <w:szCs w:val="24"/>
          <w:lang w:val="uk-UA" w:eastAsia="ru-RU"/>
          <w14:ligatures w14:val="none"/>
        </w:rPr>
        <w:t>Формування та реалізація державної політики у сфері військової освіти</w:t>
      </w:r>
      <w:r w:rsidRPr="00B44B71">
        <w:rPr>
          <w:rFonts w:ascii="Times New Roman" w:eastAsia="Times New Roman" w:hAnsi="Times New Roman" w:cs="Times New Roman"/>
          <w:kern w:val="0"/>
          <w:sz w:val="24"/>
          <w:szCs w:val="24"/>
          <w:lang w:val="uk-UA" w:eastAsia="ru-RU"/>
          <w14:ligatures w14:val="none"/>
        </w:rPr>
        <w:t>. Київ: НУОУ.</w:t>
      </w:r>
    </w:p>
    <w:p w14:paraId="7C8FF48D" w14:textId="77777777" w:rsidR="00B44B71" w:rsidRPr="00B44B71" w:rsidRDefault="00B44B71" w:rsidP="00023291">
      <w:pPr>
        <w:tabs>
          <w:tab w:val="left" w:pos="1134"/>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Вітер, Д., Оліферук, В., Мигун, М. (2023). </w:t>
      </w:r>
      <w:r w:rsidRPr="00B44B71">
        <w:rPr>
          <w:rFonts w:ascii="Times New Roman" w:eastAsia="Times New Roman" w:hAnsi="Times New Roman" w:cs="Times New Roman"/>
          <w:i/>
          <w:kern w:val="0"/>
          <w:sz w:val="24"/>
          <w:szCs w:val="24"/>
          <w:lang w:val="uk-UA" w:eastAsia="ru-RU"/>
          <w14:ligatures w14:val="none"/>
        </w:rPr>
        <w:t>Доктринальне забезпечення розвитку системи військової освіти</w:t>
      </w:r>
      <w:r w:rsidRPr="00B44B71">
        <w:rPr>
          <w:rFonts w:ascii="Times New Roman" w:eastAsia="Times New Roman" w:hAnsi="Times New Roman" w:cs="Times New Roman"/>
          <w:kern w:val="0"/>
          <w:sz w:val="24"/>
          <w:szCs w:val="24"/>
          <w:lang w:val="uk-UA" w:eastAsia="ru-RU"/>
          <w14:ligatures w14:val="none"/>
        </w:rPr>
        <w:t>. Київ: НУОУ. 128 с.</w:t>
      </w:r>
    </w:p>
    <w:p w14:paraId="39A5C43A"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ru-RU" w:eastAsia="ru-RU"/>
          <w14:ligatures w14:val="none"/>
        </w:rPr>
        <w:t xml:space="preserve">Головня, А. (2023). Концептуальна модель професійного розвитку офіцерського складу Національної гвардії України. </w:t>
      </w:r>
      <w:r w:rsidRPr="00B44B71">
        <w:rPr>
          <w:rFonts w:ascii="Times New Roman" w:eastAsia="Times New Roman" w:hAnsi="Times New Roman" w:cs="Times New Roman"/>
          <w:i/>
          <w:iCs/>
          <w:kern w:val="0"/>
          <w:sz w:val="24"/>
          <w:szCs w:val="24"/>
          <w:lang w:val="ru-RU" w:eastAsia="ru-RU"/>
          <w14:ligatures w14:val="none"/>
        </w:rPr>
        <w:t>Честь і закон</w:t>
      </w:r>
      <w:r w:rsidRPr="00B44B71">
        <w:rPr>
          <w:rFonts w:ascii="Times New Roman" w:eastAsia="Times New Roman" w:hAnsi="Times New Roman" w:cs="Times New Roman"/>
          <w:iCs/>
          <w:kern w:val="0"/>
          <w:sz w:val="24"/>
          <w:szCs w:val="24"/>
          <w:lang w:val="ru-RU" w:eastAsia="ru-RU"/>
          <w14:ligatures w14:val="none"/>
        </w:rPr>
        <w:t>.</w:t>
      </w:r>
      <w:r w:rsidRPr="00B44B71">
        <w:rPr>
          <w:rFonts w:ascii="Times New Roman" w:eastAsia="Times New Roman" w:hAnsi="Times New Roman" w:cs="Times New Roman"/>
          <w:kern w:val="0"/>
          <w:sz w:val="24"/>
          <w:szCs w:val="24"/>
          <w:lang w:val="ru-RU" w:eastAsia="ru-RU"/>
          <w14:ligatures w14:val="none"/>
        </w:rPr>
        <w:t xml:space="preserve"> 1(84). С. 23–31. DOI</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ru-RU" w:eastAsia="ru-RU"/>
          <w14:ligatures w14:val="none"/>
        </w:rPr>
        <w:t xml:space="preserve"> </w:t>
      </w:r>
      <w:r w:rsidRPr="00B44B71">
        <w:rPr>
          <w:rFonts w:ascii="Times New Roman" w:eastAsia="Times New Roman" w:hAnsi="Times New Roman" w:cs="Times New Roman"/>
          <w:kern w:val="0"/>
          <w:sz w:val="24"/>
          <w:szCs w:val="24"/>
          <w:lang w:val="uk-UA" w:eastAsia="ru-RU"/>
          <w14:ligatures w14:val="none"/>
        </w:rPr>
        <w:t>10.33405</w:t>
      </w:r>
      <w:r w:rsidRPr="00B44B71">
        <w:rPr>
          <w:rFonts w:ascii="Times New Roman" w:eastAsia="Times New Roman" w:hAnsi="Times New Roman" w:cs="Times New Roman"/>
          <w:kern w:val="0"/>
          <w:sz w:val="24"/>
          <w:szCs w:val="24"/>
          <w:lang w:val="ru-RU" w:eastAsia="ru-RU"/>
          <w14:ligatures w14:val="none"/>
        </w:rPr>
        <w:t>/2078-7480/2023/</w:t>
      </w:r>
      <w:r w:rsidRPr="00B44B71">
        <w:rPr>
          <w:rFonts w:ascii="Times New Roman" w:eastAsia="Times New Roman" w:hAnsi="Times New Roman" w:cs="Times New Roman"/>
          <w:kern w:val="0"/>
          <w:sz w:val="24"/>
          <w:szCs w:val="24"/>
          <w:lang w:val="uk-UA" w:eastAsia="ru-RU"/>
          <w14:ligatures w14:val="none"/>
        </w:rPr>
        <w:t>1</w:t>
      </w:r>
      <w:r w:rsidRPr="00B44B71">
        <w:rPr>
          <w:rFonts w:ascii="Times New Roman" w:eastAsia="Times New Roman" w:hAnsi="Times New Roman" w:cs="Times New Roman"/>
          <w:kern w:val="0"/>
          <w:sz w:val="24"/>
          <w:szCs w:val="24"/>
          <w:lang w:val="ru-RU" w:eastAsia="ru-RU"/>
          <w14:ligatures w14:val="none"/>
        </w:rPr>
        <w:t>/8</w:t>
      </w:r>
      <w:r w:rsidRPr="00B44B71">
        <w:rPr>
          <w:rFonts w:ascii="Times New Roman" w:eastAsia="Times New Roman" w:hAnsi="Times New Roman" w:cs="Times New Roman"/>
          <w:kern w:val="0"/>
          <w:sz w:val="24"/>
          <w:szCs w:val="24"/>
          <w:lang w:val="uk-UA" w:eastAsia="ru-RU"/>
          <w14:ligatures w14:val="none"/>
        </w:rPr>
        <w:t>4</w:t>
      </w:r>
      <w:r w:rsidRPr="00B44B71">
        <w:rPr>
          <w:rFonts w:ascii="Times New Roman" w:eastAsia="Times New Roman" w:hAnsi="Times New Roman" w:cs="Times New Roman"/>
          <w:kern w:val="0"/>
          <w:sz w:val="24"/>
          <w:szCs w:val="24"/>
          <w:lang w:val="ru-RU" w:eastAsia="ru-RU"/>
          <w14:ligatures w14:val="none"/>
        </w:rPr>
        <w:t>/2</w:t>
      </w:r>
      <w:r w:rsidRPr="00B44B71">
        <w:rPr>
          <w:rFonts w:ascii="Times New Roman" w:eastAsia="Times New Roman" w:hAnsi="Times New Roman" w:cs="Times New Roman"/>
          <w:kern w:val="0"/>
          <w:sz w:val="24"/>
          <w:szCs w:val="24"/>
          <w:lang w:val="uk-UA" w:eastAsia="ru-RU"/>
          <w14:ligatures w14:val="none"/>
        </w:rPr>
        <w:t>76808.</w:t>
      </w:r>
    </w:p>
    <w:p w14:paraId="2765BA6A"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r w:rsidRPr="00B44B71">
        <w:rPr>
          <w:rFonts w:ascii="Times New Roman" w:eastAsia="Times New Roman" w:hAnsi="Times New Roman" w:cs="Times New Roman"/>
          <w:kern w:val="0"/>
          <w:sz w:val="24"/>
          <w:szCs w:val="24"/>
          <w:lang w:val="uk-UA" w:eastAsia="ru-RU"/>
          <w14:ligatures w14:val="none"/>
        </w:rPr>
        <w:t xml:space="preserve">Головня, А., Бєлай, С. (2022). Аналіз сучасного стану функціонування систем підготовки та мотивації офіцерського складу Національної гвардії України. </w:t>
      </w:r>
      <w:r w:rsidRPr="00B44B71">
        <w:rPr>
          <w:rFonts w:ascii="Times New Roman" w:eastAsia="Times New Roman" w:hAnsi="Times New Roman" w:cs="Times New Roman"/>
          <w:i/>
          <w:iCs/>
          <w:kern w:val="0"/>
          <w:sz w:val="24"/>
          <w:szCs w:val="24"/>
          <w:lang w:val="ru-RU" w:eastAsia="ru-RU"/>
          <w14:ligatures w14:val="none"/>
        </w:rPr>
        <w:t>Честь і закон</w:t>
      </w:r>
      <w:r w:rsidRPr="00B44B71">
        <w:rPr>
          <w:rFonts w:ascii="Times New Roman" w:eastAsia="Times New Roman" w:hAnsi="Times New Roman" w:cs="Times New Roman"/>
          <w:iCs/>
          <w:kern w:val="0"/>
          <w:sz w:val="24"/>
          <w:szCs w:val="24"/>
          <w:lang w:val="ru-RU" w:eastAsia="ru-RU"/>
          <w14:ligatures w14:val="none"/>
        </w:rPr>
        <w:t>.</w:t>
      </w:r>
      <w:r w:rsidRPr="00B44B71">
        <w:rPr>
          <w:rFonts w:ascii="Times New Roman" w:eastAsia="Times New Roman" w:hAnsi="Times New Roman" w:cs="Times New Roman"/>
          <w:kern w:val="0"/>
          <w:sz w:val="24"/>
          <w:szCs w:val="24"/>
          <w:lang w:val="ru-RU" w:eastAsia="ru-RU"/>
          <w14:ligatures w14:val="none"/>
        </w:rPr>
        <w:t xml:space="preserve"> 4(83). С. 27–33. DOI</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val="ru-RU" w:eastAsia="ru-RU"/>
          <w14:ligatures w14:val="none"/>
        </w:rPr>
        <w:t xml:space="preserve"> </w:t>
      </w:r>
      <w:r w:rsidRPr="00B44B71">
        <w:rPr>
          <w:rFonts w:ascii="Times New Roman" w:eastAsia="Times New Roman" w:hAnsi="Times New Roman" w:cs="Times New Roman"/>
          <w:kern w:val="0"/>
          <w:sz w:val="24"/>
          <w:szCs w:val="24"/>
          <w:lang w:val="uk-UA" w:eastAsia="ru-RU"/>
          <w14:ligatures w14:val="none"/>
        </w:rPr>
        <w:t>10.33405</w:t>
      </w:r>
      <w:r w:rsidRPr="00B44B71">
        <w:rPr>
          <w:rFonts w:ascii="Times New Roman" w:eastAsia="Times New Roman" w:hAnsi="Times New Roman" w:cs="Times New Roman"/>
          <w:kern w:val="0"/>
          <w:sz w:val="24"/>
          <w:szCs w:val="24"/>
          <w:lang w:val="ru-RU" w:eastAsia="ru-RU"/>
          <w14:ligatures w14:val="none"/>
        </w:rPr>
        <w:t>/2078-7480/202</w:t>
      </w:r>
      <w:r w:rsidRPr="00B44B71">
        <w:rPr>
          <w:rFonts w:ascii="Times New Roman" w:eastAsia="Times New Roman" w:hAnsi="Times New Roman" w:cs="Times New Roman"/>
          <w:kern w:val="0"/>
          <w:sz w:val="24"/>
          <w:szCs w:val="24"/>
          <w:lang w:val="uk-UA" w:eastAsia="ru-RU"/>
          <w14:ligatures w14:val="none"/>
        </w:rPr>
        <w:t>2</w:t>
      </w:r>
      <w:r w:rsidRPr="00B44B71">
        <w:rPr>
          <w:rFonts w:ascii="Times New Roman" w:eastAsia="Times New Roman" w:hAnsi="Times New Roman" w:cs="Times New Roman"/>
          <w:kern w:val="0"/>
          <w:sz w:val="24"/>
          <w:szCs w:val="24"/>
          <w:lang w:val="ru-RU" w:eastAsia="ru-RU"/>
          <w14:ligatures w14:val="none"/>
        </w:rPr>
        <w:t>/4/8</w:t>
      </w:r>
      <w:r w:rsidRPr="00B44B71">
        <w:rPr>
          <w:rFonts w:ascii="Times New Roman" w:eastAsia="Times New Roman" w:hAnsi="Times New Roman" w:cs="Times New Roman"/>
          <w:kern w:val="0"/>
          <w:sz w:val="24"/>
          <w:szCs w:val="24"/>
          <w:lang w:val="uk-UA" w:eastAsia="ru-RU"/>
          <w14:ligatures w14:val="none"/>
        </w:rPr>
        <w:t>3</w:t>
      </w:r>
      <w:r w:rsidRPr="00B44B71">
        <w:rPr>
          <w:rFonts w:ascii="Times New Roman" w:eastAsia="Times New Roman" w:hAnsi="Times New Roman" w:cs="Times New Roman"/>
          <w:kern w:val="0"/>
          <w:sz w:val="24"/>
          <w:szCs w:val="24"/>
          <w:lang w:val="ru-RU" w:eastAsia="ru-RU"/>
          <w14:ligatures w14:val="none"/>
        </w:rPr>
        <w:t>/2</w:t>
      </w:r>
      <w:r w:rsidRPr="00B44B71">
        <w:rPr>
          <w:rFonts w:ascii="Times New Roman" w:eastAsia="Times New Roman" w:hAnsi="Times New Roman" w:cs="Times New Roman"/>
          <w:kern w:val="0"/>
          <w:sz w:val="24"/>
          <w:szCs w:val="24"/>
          <w:lang w:val="uk-UA" w:eastAsia="ru-RU"/>
          <w14:ligatures w14:val="none"/>
        </w:rPr>
        <w:t>72281.</w:t>
      </w:r>
    </w:p>
    <w:p w14:paraId="04AD4A14"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eastAsia="ru-RU"/>
          <w14:ligatures w14:val="none"/>
        </w:rPr>
      </w:pPr>
      <w:r w:rsidRPr="00B44B71">
        <w:rPr>
          <w:rFonts w:ascii="Times New Roman" w:eastAsia="Times New Roman" w:hAnsi="Times New Roman" w:cs="Times New Roman"/>
          <w:kern w:val="0"/>
          <w:sz w:val="24"/>
          <w:szCs w:val="24"/>
          <w:lang w:val="ru-RU" w:eastAsia="ru-RU"/>
          <w14:ligatures w14:val="none"/>
        </w:rPr>
        <w:t>Мірненко, В., Вітер, Д., Оліферук В. (2023). Т</w:t>
      </w:r>
      <w:r w:rsidRPr="00B44B71">
        <w:rPr>
          <w:rFonts w:ascii="Times New Roman" w:eastAsia="Times New Roman" w:hAnsi="Times New Roman" w:cs="Times New Roman"/>
          <w:bCs/>
          <w:kern w:val="36"/>
          <w:sz w:val="24"/>
          <w:szCs w:val="24"/>
          <w:lang w:val="ru-RU" w:eastAsia="ru-RU"/>
          <w14:ligatures w14:val="none"/>
        </w:rPr>
        <w:t xml:space="preserve">рансформація системи військової освіти: основні тенденції та перспективи. </w:t>
      </w:r>
      <w:r w:rsidRPr="00B44B71">
        <w:rPr>
          <w:rFonts w:ascii="Times New Roman" w:eastAsia="Times New Roman" w:hAnsi="Times New Roman" w:cs="Times New Roman"/>
          <w:bCs/>
          <w:i/>
          <w:kern w:val="36"/>
          <w:sz w:val="24"/>
          <w:szCs w:val="24"/>
          <w:lang w:val="ru-RU" w:eastAsia="ru-RU"/>
          <w14:ligatures w14:val="none"/>
        </w:rPr>
        <w:t>В</w:t>
      </w:r>
      <w:r w:rsidRPr="00B44B71">
        <w:rPr>
          <w:rFonts w:ascii="Times New Roman" w:eastAsia="Times New Roman" w:hAnsi="Times New Roman" w:cs="Times New Roman"/>
          <w:i/>
          <w:kern w:val="0"/>
          <w:sz w:val="24"/>
          <w:szCs w:val="24"/>
          <w:lang w:val="ru-RU" w:eastAsia="ru-RU"/>
          <w14:ligatures w14:val="none"/>
        </w:rPr>
        <w:t>ійськова</w:t>
      </w:r>
      <w:r w:rsidRPr="00B44B71">
        <w:rPr>
          <w:rFonts w:ascii="Times New Roman" w:eastAsia="Times New Roman" w:hAnsi="Times New Roman" w:cs="Times New Roman"/>
          <w:i/>
          <w:kern w:val="0"/>
          <w:sz w:val="24"/>
          <w:szCs w:val="24"/>
          <w:lang w:eastAsia="ru-RU"/>
          <w14:ligatures w14:val="none"/>
        </w:rPr>
        <w:t xml:space="preserve"> </w:t>
      </w:r>
      <w:r w:rsidRPr="00B44B71">
        <w:rPr>
          <w:rFonts w:ascii="Times New Roman" w:eastAsia="Times New Roman" w:hAnsi="Times New Roman" w:cs="Times New Roman"/>
          <w:i/>
          <w:kern w:val="0"/>
          <w:sz w:val="24"/>
          <w:szCs w:val="24"/>
          <w:lang w:val="ru-RU" w:eastAsia="ru-RU"/>
          <w14:ligatures w14:val="none"/>
        </w:rPr>
        <w:t>освіта</w:t>
      </w:r>
      <w:r w:rsidRPr="00B44B71">
        <w:rPr>
          <w:rFonts w:ascii="Times New Roman" w:eastAsia="Times New Roman" w:hAnsi="Times New Roman" w:cs="Times New Roman"/>
          <w:i/>
          <w:kern w:val="0"/>
          <w:sz w:val="24"/>
          <w:szCs w:val="24"/>
          <w:lang w:eastAsia="ru-RU"/>
          <w14:ligatures w14:val="none"/>
        </w:rPr>
        <w:t xml:space="preserve">. </w:t>
      </w:r>
      <w:r w:rsidRPr="00B44B71">
        <w:rPr>
          <w:rFonts w:ascii="Times New Roman" w:eastAsia="Times New Roman" w:hAnsi="Times New Roman" w:cs="Times New Roman"/>
          <w:kern w:val="0"/>
          <w:sz w:val="24"/>
          <w:szCs w:val="24"/>
          <w:lang w:eastAsia="ru-RU"/>
          <w14:ligatures w14:val="none"/>
        </w:rPr>
        <w:t>2(48).</w:t>
      </w:r>
      <w:r w:rsidRPr="00B44B71">
        <w:rPr>
          <w:rFonts w:ascii="Times New Roman" w:eastAsia="Times New Roman" w:hAnsi="Times New Roman" w:cs="Times New Roman"/>
          <w:i/>
          <w:kern w:val="0"/>
          <w:sz w:val="24"/>
          <w:szCs w:val="24"/>
          <w:lang w:eastAsia="ru-RU"/>
          <w14:ligatures w14:val="none"/>
        </w:rPr>
        <w:t xml:space="preserve"> </w:t>
      </w:r>
      <w:r w:rsidRPr="00B44B71">
        <w:rPr>
          <w:rFonts w:ascii="Times New Roman" w:eastAsia="Times New Roman" w:hAnsi="Times New Roman" w:cs="Times New Roman"/>
          <w:kern w:val="0"/>
          <w:sz w:val="24"/>
          <w:szCs w:val="24"/>
          <w:lang w:val="ru-RU" w:eastAsia="ru-RU"/>
          <w14:ligatures w14:val="none"/>
        </w:rPr>
        <w:t>С</w:t>
      </w:r>
      <w:r w:rsidRPr="00B44B71">
        <w:rPr>
          <w:rFonts w:ascii="Times New Roman" w:eastAsia="Times New Roman" w:hAnsi="Times New Roman" w:cs="Times New Roman"/>
          <w:kern w:val="0"/>
          <w:sz w:val="24"/>
          <w:szCs w:val="24"/>
          <w:lang w:eastAsia="ru-RU"/>
          <w14:ligatures w14:val="none"/>
        </w:rPr>
        <w:t>. 9–17. DOI</w:t>
      </w:r>
      <w:r w:rsidRPr="00B44B71">
        <w:rPr>
          <w:rFonts w:ascii="Times New Roman" w:eastAsia="Times New Roman" w:hAnsi="Times New Roman" w:cs="Times New Roman"/>
          <w:kern w:val="0"/>
          <w:sz w:val="24"/>
          <w:szCs w:val="24"/>
          <w:lang w:val="uk-UA" w:eastAsia="ru-RU"/>
          <w14:ligatures w14:val="none"/>
        </w:rPr>
        <w:t>:</w:t>
      </w:r>
      <w:r w:rsidRPr="00B44B71">
        <w:rPr>
          <w:rFonts w:ascii="Times New Roman" w:eastAsia="Times New Roman" w:hAnsi="Times New Roman" w:cs="Times New Roman"/>
          <w:kern w:val="0"/>
          <w:sz w:val="24"/>
          <w:szCs w:val="24"/>
          <w:lang w:eastAsia="ru-RU"/>
          <w14:ligatures w14:val="none"/>
        </w:rPr>
        <w:t xml:space="preserve"> </w:t>
      </w:r>
      <w:r w:rsidRPr="00B44B71">
        <w:rPr>
          <w:rFonts w:ascii="Times New Roman" w:eastAsia="Times New Roman" w:hAnsi="Times New Roman" w:cs="Times New Roman"/>
          <w:kern w:val="0"/>
          <w:sz w:val="24"/>
          <w:szCs w:val="24"/>
          <w:lang w:val="uk-UA" w:eastAsia="ru-RU"/>
          <w14:ligatures w14:val="none"/>
        </w:rPr>
        <w:t>10.33099</w:t>
      </w:r>
      <w:r w:rsidRPr="00B44B71">
        <w:rPr>
          <w:rFonts w:ascii="Times New Roman" w:eastAsia="Times New Roman" w:hAnsi="Times New Roman" w:cs="Times New Roman"/>
          <w:kern w:val="0"/>
          <w:sz w:val="24"/>
          <w:szCs w:val="24"/>
          <w:lang w:eastAsia="ru-RU"/>
          <w14:ligatures w14:val="none"/>
        </w:rPr>
        <w:t>/</w:t>
      </w:r>
      <w:r w:rsidRPr="00B44B71">
        <w:rPr>
          <w:rFonts w:ascii="Times New Roman" w:eastAsia="Times New Roman" w:hAnsi="Times New Roman" w:cs="Times New Roman"/>
          <w:kern w:val="0"/>
          <w:sz w:val="24"/>
          <w:szCs w:val="24"/>
          <w:lang w:val="uk-UA" w:eastAsia="ru-RU"/>
          <w14:ligatures w14:val="none"/>
        </w:rPr>
        <w:t>2617-1775</w:t>
      </w:r>
      <w:r w:rsidRPr="00B44B71">
        <w:rPr>
          <w:rFonts w:ascii="Times New Roman" w:eastAsia="Times New Roman" w:hAnsi="Times New Roman" w:cs="Times New Roman"/>
          <w:kern w:val="0"/>
          <w:sz w:val="24"/>
          <w:szCs w:val="24"/>
          <w:lang w:eastAsia="ru-RU"/>
          <w14:ligatures w14:val="none"/>
        </w:rPr>
        <w:t>/2023-02/9-17.</w:t>
      </w:r>
    </w:p>
    <w:p w14:paraId="06FFA561" w14:textId="77777777" w:rsidR="00B44B71" w:rsidRPr="00B44B71" w:rsidRDefault="00B44B71" w:rsidP="00023291">
      <w:pPr>
        <w:tabs>
          <w:tab w:val="left" w:pos="2977"/>
          <w:tab w:val="left" w:pos="9638"/>
        </w:tabs>
        <w:spacing w:after="0" w:line="240" w:lineRule="auto"/>
        <w:ind w:firstLine="567"/>
        <w:jc w:val="both"/>
        <w:rPr>
          <w:rFonts w:ascii="Times New Roman" w:eastAsia="Times New Roman" w:hAnsi="Times New Roman" w:cs="Times New Roman"/>
          <w:kern w:val="0"/>
          <w:sz w:val="24"/>
          <w:szCs w:val="24"/>
          <w:lang w:val="uk-UA" w:eastAsia="ru-RU"/>
          <w14:ligatures w14:val="none"/>
        </w:rPr>
      </w:pPr>
    </w:p>
    <w:p w14:paraId="187831FD" w14:textId="77777777" w:rsidR="00B44B71" w:rsidRPr="00B44B71" w:rsidRDefault="00B44B71" w:rsidP="00023291">
      <w:pPr>
        <w:tabs>
          <w:tab w:val="left" w:pos="9638"/>
        </w:tabs>
        <w:spacing w:after="0" w:line="240" w:lineRule="auto"/>
        <w:jc w:val="center"/>
        <w:rPr>
          <w:rFonts w:ascii="Times New Roman" w:eastAsia="Times New Roman" w:hAnsi="Times New Roman" w:cs="Times New Roman"/>
          <w:b/>
          <w:kern w:val="0"/>
          <w:sz w:val="24"/>
          <w:szCs w:val="24"/>
          <w:lang w:val="uk-UA" w:eastAsia="ru-RU"/>
          <w14:ligatures w14:val="none"/>
        </w:rPr>
      </w:pPr>
      <w:r w:rsidRPr="00B44B71">
        <w:rPr>
          <w:rFonts w:ascii="Times New Roman" w:eastAsia="Times New Roman" w:hAnsi="Times New Roman" w:cs="Times New Roman"/>
          <w:b/>
          <w:kern w:val="0"/>
          <w:sz w:val="24"/>
          <w:szCs w:val="24"/>
          <w:lang w:eastAsia="ru-RU"/>
          <w14:ligatures w14:val="none"/>
        </w:rPr>
        <w:t>REFERENCES</w:t>
      </w:r>
    </w:p>
    <w:p w14:paraId="56226FC8"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 xml:space="preserve">Biliavets, S., Torichnyi, V., Panibrat, I. (2025). Orhanizatsiino-funktsionalni ta zmistovni zasady pidhotovky personalu okremykh skladovykh sektoru bezpeky ta oborony Ukrainy. [Organizational, functional and substantive principles of training personnel of individual components of the security and defense sector of Ukraine]. </w:t>
      </w:r>
      <w:r w:rsidRPr="00B44B71">
        <w:rPr>
          <w:rFonts w:ascii="Times New Roman" w:eastAsia="Times New Roman" w:hAnsi="Times New Roman" w:cs="Times New Roman"/>
          <w:i/>
          <w:kern w:val="0"/>
          <w:sz w:val="24"/>
          <w:szCs w:val="24"/>
          <w:lang w:val="uk-UA"/>
          <w14:ligatures w14:val="none"/>
        </w:rPr>
        <w:t>Zbirnyk naukovykh prats Natsionalnoi akademii Derzhavnoi prykordonnoi sluzhby Ukrainy. Seriia: pedahohichni nauky</w:t>
      </w:r>
      <w:r w:rsidRPr="00B44B71">
        <w:rPr>
          <w:rFonts w:ascii="Times New Roman" w:eastAsia="Times New Roman" w:hAnsi="Times New Roman" w:cs="Times New Roman"/>
          <w:kern w:val="0"/>
          <w:sz w:val="24"/>
          <w:szCs w:val="24"/>
          <w:lang w:val="uk-UA"/>
          <w14:ligatures w14:val="none"/>
        </w:rPr>
        <w:t>. 3(42). S. 49-76. DOI: 10.32453/pedzbirnyk.v42i3.1916.</w:t>
      </w:r>
    </w:p>
    <w:p w14:paraId="02272054"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Bielai, S., Trobiuk, V., Holovnia, A. (2023). Teoretyko-metodolohichni zasady obgruntuvannia alhorytmu upravlinnia karieroiu ofitserskoho skladu Natsionalnoi hvardii Ukrainy. [Theoretical and methodological principles of substantiating the algorithm for managing the career of officers of the National Guard of Ukraine</w:t>
      </w:r>
      <w:r w:rsidRPr="00B44B71">
        <w:rPr>
          <w:rFonts w:ascii="Times New Roman" w:eastAsia="Times New Roman" w:hAnsi="Times New Roman" w:cs="Times New Roman"/>
          <w:kern w:val="0"/>
          <w:sz w:val="24"/>
          <w:szCs w:val="24"/>
          <w14:ligatures w14:val="none"/>
        </w:rPr>
        <w:t xml:space="preserve">]. </w:t>
      </w:r>
      <w:r w:rsidRPr="00B44B71">
        <w:rPr>
          <w:rFonts w:ascii="Times New Roman" w:eastAsia="Times New Roman" w:hAnsi="Times New Roman" w:cs="Times New Roman"/>
          <w:i/>
          <w:kern w:val="0"/>
          <w:sz w:val="24"/>
          <w:szCs w:val="24"/>
          <w:lang w:val="uk-UA"/>
          <w14:ligatures w14:val="none"/>
        </w:rPr>
        <w:t>Chest i zakon</w:t>
      </w:r>
      <w:r w:rsidRPr="00B44B71">
        <w:rPr>
          <w:rFonts w:ascii="Times New Roman" w:eastAsia="Times New Roman" w:hAnsi="Times New Roman" w:cs="Times New Roman"/>
          <w:kern w:val="0"/>
          <w:sz w:val="24"/>
          <w:szCs w:val="24"/>
          <w:lang w:val="uk-UA"/>
          <w14:ligatures w14:val="none"/>
        </w:rPr>
        <w:t>. 4(87). S. 6–16. DOI: 10.33405/2078-7480/2023/4/87/295080.</w:t>
      </w:r>
    </w:p>
    <w:p w14:paraId="320FF3BC"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Viter, D., Oliferuk, V., Mirnenko, V., Matsovytyi, V., Khoma, V. ta in. (2023). Formuvannia ta realizatsiia derzhavnoi polityky u sferi viiskovoi osvity. [Formation and implementation of state policy in the field of military education</w:t>
      </w:r>
      <w:r w:rsidRPr="00B44B71">
        <w:rPr>
          <w:rFonts w:ascii="Times New Roman" w:eastAsia="Times New Roman" w:hAnsi="Times New Roman" w:cs="Times New Roman"/>
          <w:kern w:val="0"/>
          <w:sz w:val="24"/>
          <w:szCs w:val="24"/>
          <w14:ligatures w14:val="none"/>
        </w:rPr>
        <w:t xml:space="preserve">]. </w:t>
      </w:r>
      <w:r w:rsidRPr="00B44B71">
        <w:rPr>
          <w:rFonts w:ascii="Times New Roman" w:eastAsia="Times New Roman" w:hAnsi="Times New Roman" w:cs="Times New Roman"/>
          <w:kern w:val="0"/>
          <w:sz w:val="24"/>
          <w:szCs w:val="24"/>
          <w:lang w:val="uk-UA"/>
          <w14:ligatures w14:val="none"/>
        </w:rPr>
        <w:t>Kyiv: NUOU.</w:t>
      </w:r>
    </w:p>
    <w:p w14:paraId="29063623"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14:ligatures w14:val="none"/>
        </w:rPr>
      </w:pPr>
      <w:r w:rsidRPr="00B44B71">
        <w:rPr>
          <w:rFonts w:ascii="Times New Roman" w:eastAsia="Times New Roman" w:hAnsi="Times New Roman" w:cs="Times New Roman"/>
          <w:kern w:val="0"/>
          <w:sz w:val="24"/>
          <w:szCs w:val="24"/>
          <w:lang w:val="uk-UA"/>
          <w14:ligatures w14:val="none"/>
        </w:rPr>
        <w:t>Viter, D., Oliferuk, V., Myhun, M. (2023). Doktrynalne zabezpechennia rozvytku systemy viiskovoi osvity. [Doctrinal support for the development of the military education system</w:t>
      </w:r>
      <w:r w:rsidRPr="00B44B71">
        <w:rPr>
          <w:rFonts w:ascii="Times New Roman" w:eastAsia="Times New Roman" w:hAnsi="Times New Roman" w:cs="Times New Roman"/>
          <w:kern w:val="0"/>
          <w:sz w:val="24"/>
          <w:szCs w:val="24"/>
          <w14:ligatures w14:val="none"/>
        </w:rPr>
        <w:t xml:space="preserve">]. </w:t>
      </w:r>
      <w:r w:rsidRPr="00B44B71">
        <w:rPr>
          <w:rFonts w:ascii="Times New Roman" w:eastAsia="Times New Roman" w:hAnsi="Times New Roman" w:cs="Times New Roman"/>
          <w:kern w:val="0"/>
          <w:sz w:val="24"/>
          <w:szCs w:val="24"/>
          <w:lang w:val="uk-UA"/>
          <w14:ligatures w14:val="none"/>
        </w:rPr>
        <w:t xml:space="preserve">Kyiv: NUOU. 128 </w:t>
      </w:r>
      <w:r w:rsidRPr="00B44B71">
        <w:rPr>
          <w:rFonts w:ascii="Times New Roman" w:eastAsia="Times New Roman" w:hAnsi="Times New Roman" w:cs="Times New Roman"/>
          <w:kern w:val="0"/>
          <w:sz w:val="24"/>
          <w:szCs w:val="24"/>
          <w14:ligatures w14:val="none"/>
        </w:rPr>
        <w:t>s.</w:t>
      </w:r>
    </w:p>
    <w:p w14:paraId="6E57A817"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Holovnia, A. (2023). Kontseptualna model profesiinoho rozvytku ofitserskoho skladu Natsionalnoi hvardii Ukrainy. [Conceptual model of professional development of officers of the National Guard of Ukraine</w:t>
      </w:r>
      <w:r w:rsidRPr="00B44B71">
        <w:rPr>
          <w:rFonts w:ascii="Times New Roman" w:eastAsia="Times New Roman" w:hAnsi="Times New Roman" w:cs="Times New Roman"/>
          <w:kern w:val="0"/>
          <w:sz w:val="24"/>
          <w:szCs w:val="24"/>
          <w14:ligatures w14:val="none"/>
        </w:rPr>
        <w:t xml:space="preserve">]. </w:t>
      </w:r>
      <w:r w:rsidRPr="00B44B71">
        <w:rPr>
          <w:rFonts w:ascii="Times New Roman" w:eastAsia="Times New Roman" w:hAnsi="Times New Roman" w:cs="Times New Roman"/>
          <w:i/>
          <w:kern w:val="0"/>
          <w:sz w:val="24"/>
          <w:szCs w:val="24"/>
          <w:lang w:val="uk-UA"/>
          <w14:ligatures w14:val="none"/>
        </w:rPr>
        <w:t>Chest i zakon</w:t>
      </w:r>
      <w:r w:rsidRPr="00B44B71">
        <w:rPr>
          <w:rFonts w:ascii="Times New Roman" w:eastAsia="Times New Roman" w:hAnsi="Times New Roman" w:cs="Times New Roman"/>
          <w:kern w:val="0"/>
          <w:sz w:val="24"/>
          <w:szCs w:val="24"/>
          <w:lang w:val="uk-UA"/>
          <w14:ligatures w14:val="none"/>
        </w:rPr>
        <w:t>. 1(84). S. 23–31. DOI: 10.33405/2078-7480/2023/1/84/276808.</w:t>
      </w:r>
    </w:p>
    <w:p w14:paraId="33D87038"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Holovnia, A., Bielai, S. (2022). Analiz suchasnoho stanu funktsionuvannia system pidhotovky ta motyvatsii ofitserskoho skladu Natsionalnoi hvardii Ukrainy. [Analysis of the current state of functioning of the training and motivation systems of the officers of the National Guard of Ukraine</w:t>
      </w:r>
      <w:r w:rsidRPr="00B44B71">
        <w:rPr>
          <w:rFonts w:ascii="Times New Roman" w:eastAsia="Times New Roman" w:hAnsi="Times New Roman" w:cs="Times New Roman"/>
          <w:kern w:val="0"/>
          <w:sz w:val="24"/>
          <w:szCs w:val="24"/>
          <w14:ligatures w14:val="none"/>
        </w:rPr>
        <w:t xml:space="preserve">]. </w:t>
      </w:r>
      <w:r w:rsidRPr="00B44B71">
        <w:rPr>
          <w:rFonts w:ascii="Times New Roman" w:eastAsia="Times New Roman" w:hAnsi="Times New Roman" w:cs="Times New Roman"/>
          <w:i/>
          <w:kern w:val="0"/>
          <w:sz w:val="24"/>
          <w:szCs w:val="24"/>
          <w:lang w:val="uk-UA"/>
          <w14:ligatures w14:val="none"/>
        </w:rPr>
        <w:t>Chest i zakon</w:t>
      </w:r>
      <w:r w:rsidRPr="00B44B71">
        <w:rPr>
          <w:rFonts w:ascii="Times New Roman" w:eastAsia="Times New Roman" w:hAnsi="Times New Roman" w:cs="Times New Roman"/>
          <w:kern w:val="0"/>
          <w:sz w:val="24"/>
          <w:szCs w:val="24"/>
          <w:lang w:val="uk-UA"/>
          <w14:ligatures w14:val="none"/>
        </w:rPr>
        <w:t>. 4(83). S. 27–33. DOI: 10.33405/2078-7480/2022/4/83/272281.</w:t>
      </w:r>
    </w:p>
    <w:p w14:paraId="1155E38C" w14:textId="77777777" w:rsidR="00B44B71" w:rsidRPr="00B44B71" w:rsidRDefault="00B44B71" w:rsidP="00023291">
      <w:pPr>
        <w:tabs>
          <w:tab w:val="left" w:pos="9638"/>
        </w:tabs>
        <w:spacing w:after="0" w:line="240" w:lineRule="auto"/>
        <w:ind w:firstLine="567"/>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Mirnenko, V., Viter, D., Oliferuk V. (2023). Transformatsiia systemy viiskovoi osvity: osnovni tendentsii ta perspektyvy. [Transformation of the military education system: main trends and prospects</w:t>
      </w:r>
      <w:r w:rsidRPr="00B44B71">
        <w:rPr>
          <w:rFonts w:ascii="Times New Roman" w:eastAsia="Times New Roman" w:hAnsi="Times New Roman" w:cs="Times New Roman"/>
          <w:kern w:val="0"/>
          <w:sz w:val="24"/>
          <w:szCs w:val="24"/>
          <w14:ligatures w14:val="none"/>
        </w:rPr>
        <w:t xml:space="preserve">]. </w:t>
      </w:r>
      <w:r w:rsidRPr="00B44B71">
        <w:rPr>
          <w:rFonts w:ascii="Times New Roman" w:eastAsia="Times New Roman" w:hAnsi="Times New Roman" w:cs="Times New Roman"/>
          <w:i/>
          <w:kern w:val="0"/>
          <w:sz w:val="24"/>
          <w:szCs w:val="24"/>
          <w:lang w:val="uk-UA"/>
          <w14:ligatures w14:val="none"/>
        </w:rPr>
        <w:t>Viiskova osvita</w:t>
      </w:r>
      <w:r w:rsidRPr="00B44B71">
        <w:rPr>
          <w:rFonts w:ascii="Times New Roman" w:eastAsia="Times New Roman" w:hAnsi="Times New Roman" w:cs="Times New Roman"/>
          <w:kern w:val="0"/>
          <w:sz w:val="24"/>
          <w:szCs w:val="24"/>
          <w:lang w:val="uk-UA"/>
          <w14:ligatures w14:val="none"/>
        </w:rPr>
        <w:t>. 2(48). S. 9–17. DOI: 10.33099/2617-1775/2023-02/9-17.</w:t>
      </w:r>
    </w:p>
    <w:p w14:paraId="2707251D"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p>
    <w:p w14:paraId="5827864D"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надійшов до редакції 09.01.2026</w:t>
      </w:r>
    </w:p>
    <w:p w14:paraId="7F581DB9"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прийнято до друку після рецензування 09.04.2026</w:t>
      </w:r>
    </w:p>
    <w:p w14:paraId="727935AB"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Дата публікації 25.05.2026</w:t>
      </w:r>
    </w:p>
    <w:p w14:paraId="0BFAC09A" w14:textId="7F7C910F" w:rsidR="00A74442" w:rsidRPr="00E967C0" w:rsidRDefault="00E967C0" w:rsidP="00E967C0">
      <w:pPr>
        <w:tabs>
          <w:tab w:val="left" w:pos="9638"/>
        </w:tabs>
        <w:adjustRightInd w:val="0"/>
        <w:snapToGrid w:val="0"/>
        <w:spacing w:after="0" w:line="240" w:lineRule="auto"/>
        <w:rPr>
          <w:rFonts w:ascii="Times New Roman" w:eastAsia="Times New Roman" w:hAnsi="Times New Roman" w:cs="Times New Roman"/>
          <w:b/>
          <w:kern w:val="0"/>
          <w:sz w:val="28"/>
          <w:szCs w:val="28"/>
          <w:lang w:val="uk-UA" w:eastAsia="ru-RU"/>
          <w14:ligatures w14:val="none"/>
        </w:rPr>
      </w:pPr>
      <w:r>
        <w:rPr>
          <w:rFonts w:ascii="Times New Roman" w:eastAsia="Times New Roman" w:hAnsi="Times New Roman" w:cs="Times New Roman"/>
          <w:b/>
          <w:bCs/>
          <w:kern w:val="0"/>
          <w:sz w:val="24"/>
          <w:szCs w:val="24"/>
          <w:lang w:val="uk-UA" w:eastAsia="ru-RU"/>
          <w14:ligatures w14:val="none"/>
        </w:rPr>
        <w:br w:type="column"/>
      </w:r>
      <w:r w:rsidR="00A74442" w:rsidRPr="00B44B71">
        <w:rPr>
          <w:rFonts w:ascii="Times New Roman" w:eastAsia="Times New Roman" w:hAnsi="Times New Roman" w:cs="Times New Roman"/>
          <w:kern w:val="0"/>
          <w:sz w:val="23"/>
          <w:szCs w:val="23"/>
          <w:lang w:val="uk-UA" w:eastAsia="ru-RU"/>
          <w14:ligatures w14:val="none"/>
        </w:rPr>
        <w:lastRenderedPageBreak/>
        <w:t>ISSN:2617-1775</w:t>
      </w:r>
      <w:r w:rsidR="00A74442" w:rsidRPr="00E4040F">
        <w:rPr>
          <w:rFonts w:ascii="Times New Roman" w:eastAsia="Calibri" w:hAnsi="Times New Roman" w:cs="Times New Roman"/>
          <w:b/>
          <w:kern w:val="0"/>
          <w:sz w:val="24"/>
          <w:szCs w:val="24"/>
          <w:lang w:val="uk-UA"/>
          <w14:ligatures w14:val="none"/>
        </w:rPr>
        <w:t xml:space="preserve"> </w:t>
      </w:r>
      <w:r w:rsidR="00A74442" w:rsidRPr="00740AAF">
        <w:rPr>
          <w:rFonts w:ascii="Times New Roman" w:eastAsia="Calibri" w:hAnsi="Times New Roman" w:cs="Times New Roman"/>
          <w:b/>
          <w:kern w:val="0"/>
          <w:sz w:val="24"/>
          <w:szCs w:val="24"/>
          <w:lang w:val="uk-UA"/>
          <w14:ligatures w14:val="none"/>
        </w:rPr>
        <w:t xml:space="preserve">                                                               </w:t>
      </w:r>
      <w:r w:rsidR="00A74442">
        <w:rPr>
          <w:rFonts w:ascii="Times New Roman" w:eastAsia="Calibri" w:hAnsi="Times New Roman" w:cs="Times New Roman"/>
          <w:b/>
          <w:kern w:val="0"/>
          <w:sz w:val="24"/>
          <w:szCs w:val="24"/>
          <w:lang w:val="uk-UA"/>
          <w14:ligatures w14:val="none"/>
        </w:rPr>
        <w:t xml:space="preserve">   </w:t>
      </w:r>
      <w:r w:rsidR="00A11E66" w:rsidRPr="007B09E7">
        <w:rPr>
          <w:rFonts w:ascii="Times New Roman" w:eastAsia="Calibri" w:hAnsi="Times New Roman" w:cs="Times New Roman"/>
          <w:b/>
          <w:kern w:val="0"/>
          <w:sz w:val="24"/>
          <w:szCs w:val="24"/>
          <w:lang w:val="uk-UA"/>
          <w14:ligatures w14:val="none"/>
        </w:rPr>
        <w:t xml:space="preserve">                  </w:t>
      </w:r>
      <w:r w:rsidR="00A74442" w:rsidRPr="00B44B71">
        <w:rPr>
          <w:rFonts w:ascii="Times New Roman" w:eastAsia="Times New Roman" w:hAnsi="Times New Roman" w:cs="Times New Roman"/>
          <w:b/>
          <w:bCs/>
          <w:kern w:val="0"/>
          <w:sz w:val="24"/>
          <w:szCs w:val="24"/>
          <w:lang w:val="uk-UA"/>
          <w14:ligatures w14:val="none"/>
        </w:rPr>
        <w:t xml:space="preserve">УДК </w:t>
      </w:r>
      <w:r w:rsidR="00A74442" w:rsidRPr="00B44B71">
        <w:rPr>
          <w:rFonts w:ascii="Times New Roman" w:eastAsia="Times New Roman" w:hAnsi="Times New Roman" w:cs="Times New Roman"/>
          <w:b/>
          <w:kern w:val="0"/>
          <w:sz w:val="24"/>
          <w:szCs w:val="24"/>
          <w:lang w:val="uk-UA"/>
          <w14:ligatures w14:val="none"/>
        </w:rPr>
        <w:t>355.1 172.15 930.2(477)</w:t>
      </w:r>
    </w:p>
    <w:p w14:paraId="5A7F0B39" w14:textId="5FCC77B9" w:rsidR="00A74442" w:rsidRPr="007B09E7" w:rsidRDefault="00A74442" w:rsidP="00E967C0">
      <w:pPr>
        <w:tabs>
          <w:tab w:val="left" w:pos="9638"/>
        </w:tabs>
        <w:adjustRightInd w:val="0"/>
        <w:snapToGrid w:val="0"/>
        <w:spacing w:after="0" w:line="240" w:lineRule="auto"/>
        <w:rPr>
          <w:rFonts w:ascii="Times New Roman" w:eastAsia="Times New Roman" w:hAnsi="Times New Roman" w:cs="Times New Roman"/>
          <w:color w:val="0563C1"/>
          <w:kern w:val="0"/>
          <w:sz w:val="24"/>
          <w:szCs w:val="24"/>
          <w:u w:val="single"/>
          <w:lang w:val="uk-UA"/>
          <w14:ligatures w14:val="none"/>
        </w:rPr>
      </w:pPr>
      <w:r w:rsidRPr="00B44B71">
        <w:rPr>
          <w:rFonts w:ascii="Times New Roman" w:eastAsia="Times New Roman" w:hAnsi="Times New Roman" w:cs="Times New Roman"/>
          <w:kern w:val="0"/>
          <w:sz w:val="23"/>
          <w:szCs w:val="23"/>
          <w:lang w:val="uk-UA" w:eastAsia="ru-RU"/>
          <w14:ligatures w14:val="none"/>
        </w:rPr>
        <w:t>ISSN: 2617-1783 (online)</w:t>
      </w:r>
      <w:r w:rsidRPr="00740AAF">
        <w:rPr>
          <w:rFonts w:ascii="Times New Roman" w:eastAsia="Times New Roman" w:hAnsi="Times New Roman" w:cs="Times New Roman"/>
          <w:kern w:val="0"/>
          <w:sz w:val="23"/>
          <w:szCs w:val="23"/>
          <w:lang w:val="uk-UA" w:eastAsia="ru-RU"/>
          <w14:ligatures w14:val="none"/>
        </w:rPr>
        <w:t xml:space="preserve">                                             </w:t>
      </w:r>
      <w:r>
        <w:rPr>
          <w:rFonts w:ascii="Times New Roman" w:eastAsia="Times New Roman" w:hAnsi="Times New Roman" w:cs="Times New Roman"/>
          <w:kern w:val="0"/>
          <w:sz w:val="23"/>
          <w:szCs w:val="23"/>
          <w:lang w:val="uk-UA" w:eastAsia="ru-RU"/>
          <w14:ligatures w14:val="none"/>
        </w:rPr>
        <w:t xml:space="preserve">      </w:t>
      </w:r>
      <w:r w:rsidRPr="00F96118">
        <w:rPr>
          <w:rFonts w:ascii="Times New Roman" w:eastAsia="Times New Roman" w:hAnsi="Times New Roman" w:cs="Times New Roman"/>
          <w:bCs/>
          <w:smallCaps/>
          <w:color w:val="000000"/>
          <w:kern w:val="0"/>
          <w:sz w:val="24"/>
          <w:szCs w:val="24"/>
          <w:lang w:eastAsia="ru-RU"/>
          <w14:ligatures w14:val="none"/>
        </w:rPr>
        <w:t>DOI</w:t>
      </w:r>
      <w:r w:rsidRPr="00F96118">
        <w:rPr>
          <w:rFonts w:ascii="Times New Roman" w:eastAsia="Times New Roman" w:hAnsi="Times New Roman" w:cs="Times New Roman"/>
          <w:bCs/>
          <w:smallCaps/>
          <w:color w:val="000000"/>
          <w:kern w:val="0"/>
          <w:sz w:val="24"/>
          <w:szCs w:val="24"/>
          <w:lang w:val="uk-UA" w:eastAsia="ru-RU"/>
          <w14:ligatures w14:val="none"/>
        </w:rPr>
        <w:t>: 10.33099/2617-1775/202</w:t>
      </w:r>
      <w:r>
        <w:rPr>
          <w:rFonts w:ascii="Times New Roman" w:eastAsia="Times New Roman" w:hAnsi="Times New Roman" w:cs="Times New Roman"/>
          <w:bCs/>
          <w:smallCaps/>
          <w:color w:val="000000"/>
          <w:kern w:val="0"/>
          <w:sz w:val="24"/>
          <w:szCs w:val="24"/>
          <w:lang w:val="uk-UA" w:eastAsia="ru-RU"/>
          <w14:ligatures w14:val="none"/>
        </w:rPr>
        <w:t>6</w:t>
      </w:r>
      <w:r w:rsidRPr="00F96118">
        <w:rPr>
          <w:rFonts w:ascii="Times New Roman" w:eastAsia="Times New Roman" w:hAnsi="Times New Roman" w:cs="Times New Roman"/>
          <w:bCs/>
          <w:smallCaps/>
          <w:color w:val="000000"/>
          <w:kern w:val="0"/>
          <w:sz w:val="24"/>
          <w:szCs w:val="24"/>
          <w:lang w:val="uk-UA" w:eastAsia="ru-RU"/>
          <w14:ligatures w14:val="none"/>
        </w:rPr>
        <w:t>-0</w:t>
      </w:r>
      <w:r>
        <w:rPr>
          <w:rFonts w:ascii="Times New Roman" w:eastAsia="Times New Roman" w:hAnsi="Times New Roman" w:cs="Times New Roman"/>
          <w:bCs/>
          <w:smallCaps/>
          <w:color w:val="000000"/>
          <w:kern w:val="0"/>
          <w:sz w:val="24"/>
          <w:szCs w:val="24"/>
          <w:lang w:val="uk-UA" w:eastAsia="ru-RU"/>
          <w14:ligatures w14:val="none"/>
        </w:rPr>
        <w:t>1</w:t>
      </w:r>
      <w:r w:rsidRPr="00F96118">
        <w:rPr>
          <w:rFonts w:ascii="Times New Roman" w:eastAsia="Times New Roman" w:hAnsi="Times New Roman" w:cs="Times New Roman"/>
          <w:bCs/>
          <w:smallCaps/>
          <w:color w:val="000000"/>
          <w:kern w:val="0"/>
          <w:sz w:val="24"/>
          <w:szCs w:val="24"/>
          <w:lang w:val="uk-UA" w:eastAsia="ru-RU"/>
          <w14:ligatures w14:val="none"/>
        </w:rPr>
        <w:t>/</w:t>
      </w:r>
      <w:r w:rsidR="00A11E66" w:rsidRPr="007B09E7">
        <w:rPr>
          <w:rFonts w:ascii="Times New Roman" w:eastAsia="Times New Roman" w:hAnsi="Times New Roman" w:cs="Times New Roman"/>
          <w:bCs/>
          <w:smallCaps/>
          <w:color w:val="000000"/>
          <w:kern w:val="0"/>
          <w:sz w:val="24"/>
          <w:szCs w:val="24"/>
          <w:lang w:val="uk-UA" w:eastAsia="ru-RU"/>
          <w14:ligatures w14:val="none"/>
        </w:rPr>
        <w:t>307-318</w:t>
      </w:r>
    </w:p>
    <w:p w14:paraId="22CFD5A6" w14:textId="77777777" w:rsidR="00B44B71" w:rsidRPr="00B44B71" w:rsidRDefault="00B44B71" w:rsidP="00E967C0">
      <w:pPr>
        <w:tabs>
          <w:tab w:val="left" w:pos="9638"/>
        </w:tabs>
        <w:adjustRightInd w:val="0"/>
        <w:snapToGrid w:val="0"/>
        <w:spacing w:after="0" w:line="240" w:lineRule="auto"/>
        <w:rPr>
          <w:rFonts w:ascii="Times New Roman" w:eastAsia="Times New Roman" w:hAnsi="Times New Roman" w:cs="Times New Roman"/>
          <w:b/>
          <w:bCs/>
          <w:kern w:val="0"/>
          <w:sz w:val="24"/>
          <w:szCs w:val="24"/>
          <w:lang w:val="uk-UA"/>
          <w14:ligatures w14:val="none"/>
        </w:rPr>
      </w:pPr>
    </w:p>
    <w:p w14:paraId="1A440E42" w14:textId="77777777" w:rsidR="00B44B71" w:rsidRPr="00B15B58" w:rsidRDefault="00B44B71" w:rsidP="00E967C0">
      <w:pPr>
        <w:tabs>
          <w:tab w:val="left" w:pos="9638"/>
        </w:tabs>
        <w:adjustRightInd w:val="0"/>
        <w:snapToGrid w:val="0"/>
        <w:spacing w:after="0" w:line="240" w:lineRule="auto"/>
        <w:jc w:val="right"/>
        <w:rPr>
          <w:rFonts w:ascii="Times New Roman" w:eastAsia="Times New Roman" w:hAnsi="Times New Roman" w:cs="Times New Roman"/>
          <w:b/>
          <w:bCs/>
          <w:kern w:val="0"/>
          <w:sz w:val="24"/>
          <w:szCs w:val="24"/>
          <w:lang w:val="uk-UA"/>
          <w14:ligatures w14:val="none"/>
        </w:rPr>
      </w:pPr>
      <w:r w:rsidRPr="00B44B71">
        <w:rPr>
          <w:rFonts w:ascii="Times New Roman" w:eastAsia="Times New Roman" w:hAnsi="Times New Roman" w:cs="Times New Roman"/>
          <w:b/>
          <w:bCs/>
          <w:kern w:val="0"/>
          <w:sz w:val="24"/>
          <w:szCs w:val="24"/>
          <w:lang w:val="uk-UA"/>
          <w14:ligatures w14:val="none"/>
        </w:rPr>
        <w:t>Олександр Хрущак</w:t>
      </w:r>
      <w:r w:rsidRPr="00B15B58">
        <w:rPr>
          <w:rFonts w:ascii="Times New Roman" w:eastAsia="Times New Roman" w:hAnsi="Times New Roman" w:cs="Times New Roman"/>
          <w:b/>
          <w:bCs/>
          <w:kern w:val="0"/>
          <w:sz w:val="24"/>
          <w:szCs w:val="24"/>
          <w:lang w:val="uk-UA"/>
          <w14:ligatures w14:val="none"/>
        </w:rPr>
        <w:t xml:space="preserve">, </w:t>
      </w:r>
    </w:p>
    <w:p w14:paraId="3FE3C25C" w14:textId="758785CC" w:rsidR="00B44B71" w:rsidRPr="00B44B71" w:rsidRDefault="00B15B58" w:rsidP="00023291">
      <w:pPr>
        <w:tabs>
          <w:tab w:val="left" w:pos="9638"/>
        </w:tabs>
        <w:spacing w:after="0" w:line="20" w:lineRule="atLeast"/>
        <w:contextualSpacing/>
        <w:jc w:val="right"/>
        <w:rPr>
          <w:rFonts w:ascii="Times New Roman" w:eastAsia="Times New Roman" w:hAnsi="Times New Roman" w:cs="Times New Roman"/>
          <w:bCs/>
          <w:kern w:val="0"/>
          <w:sz w:val="24"/>
          <w:szCs w:val="24"/>
          <w:lang w:val="uk-UA"/>
          <w14:ligatures w14:val="none"/>
        </w:rPr>
      </w:pPr>
      <w:r>
        <w:rPr>
          <w:rFonts w:ascii="Times New Roman" w:eastAsia="Times New Roman" w:hAnsi="Times New Roman" w:cs="Times New Roman"/>
          <w:bCs/>
          <w:kern w:val="0"/>
          <w:sz w:val="24"/>
          <w:szCs w:val="24"/>
          <w:lang w:val="uk-UA"/>
          <w14:ligatures w14:val="none"/>
        </w:rPr>
        <w:t xml:space="preserve"> слухач</w:t>
      </w:r>
      <w:r w:rsidR="00B44B71" w:rsidRPr="00B44B71">
        <w:rPr>
          <w:rFonts w:ascii="Times New Roman" w:eastAsia="Times New Roman" w:hAnsi="Times New Roman" w:cs="Times New Roman"/>
          <w:bCs/>
          <w:kern w:val="0"/>
          <w:sz w:val="24"/>
          <w:szCs w:val="24"/>
          <w:lang w:val="uk-UA"/>
          <w14:ligatures w14:val="none"/>
        </w:rPr>
        <w:t xml:space="preserve"> </w:t>
      </w:r>
    </w:p>
    <w:p w14:paraId="1FA408BC" w14:textId="002311F8" w:rsidR="00B44B71" w:rsidRPr="00B44B71" w:rsidRDefault="00B44B71" w:rsidP="00023291">
      <w:pPr>
        <w:tabs>
          <w:tab w:val="left" w:pos="9638"/>
        </w:tabs>
        <w:spacing w:after="0" w:line="20" w:lineRule="atLeast"/>
        <w:contextualSpacing/>
        <w:jc w:val="right"/>
        <w:rPr>
          <w:rFonts w:ascii="Times New Roman" w:eastAsia="Times New Roman" w:hAnsi="Times New Roman" w:cs="Times New Roman"/>
          <w:bCs/>
          <w:kern w:val="0"/>
          <w:sz w:val="24"/>
          <w:szCs w:val="24"/>
          <w:lang w:val="uk-UA"/>
          <w14:ligatures w14:val="none"/>
        </w:rPr>
      </w:pPr>
      <w:r w:rsidRPr="00B44B71">
        <w:rPr>
          <w:rFonts w:ascii="Times New Roman" w:eastAsia="Times New Roman" w:hAnsi="Times New Roman" w:cs="Times New Roman"/>
          <w:bCs/>
          <w:kern w:val="0"/>
          <w:sz w:val="24"/>
          <w:szCs w:val="24"/>
          <w:lang w:val="uk-UA"/>
          <w14:ligatures w14:val="none"/>
        </w:rPr>
        <w:t xml:space="preserve"> </w:t>
      </w:r>
      <w:r w:rsidRPr="00B44B71">
        <w:rPr>
          <w:rFonts w:ascii="Times New Roman" w:eastAsia="Times New Roman" w:hAnsi="Times New Roman" w:cs="Times New Roman"/>
          <w:bCs/>
          <w:kern w:val="36"/>
          <w:sz w:val="24"/>
          <w:szCs w:val="24"/>
          <w:lang w:val="uk-UA" w:eastAsia="uk-UA"/>
          <w14:ligatures w14:val="none"/>
        </w:rPr>
        <w:t xml:space="preserve">Національний університет оборони України м. </w:t>
      </w:r>
      <w:r w:rsidR="00B15B58">
        <w:rPr>
          <w:rFonts w:ascii="Times New Roman" w:eastAsia="Times New Roman" w:hAnsi="Times New Roman" w:cs="Times New Roman"/>
          <w:bCs/>
          <w:kern w:val="0"/>
          <w:sz w:val="24"/>
          <w:szCs w:val="24"/>
          <w:lang w:val="uk-UA"/>
          <w14:ligatures w14:val="none"/>
        </w:rPr>
        <w:t>Київ</w:t>
      </w:r>
      <w:r w:rsidRPr="00B44B71">
        <w:rPr>
          <w:rFonts w:ascii="Times New Roman" w:eastAsia="Times New Roman" w:hAnsi="Times New Roman" w:cs="Times New Roman"/>
          <w:kern w:val="0"/>
          <w:sz w:val="24"/>
          <w:szCs w:val="24"/>
          <w:lang w:val="uk-UA"/>
          <w14:ligatures w14:val="none"/>
        </w:rPr>
        <w:t xml:space="preserve">                                                                                                                           </w:t>
      </w:r>
    </w:p>
    <w:p w14:paraId="72EFC872" w14:textId="77777777" w:rsidR="00B44B71" w:rsidRDefault="00B44B71" w:rsidP="00023291">
      <w:pPr>
        <w:tabs>
          <w:tab w:val="left" w:pos="0"/>
          <w:tab w:val="left" w:pos="9638"/>
        </w:tabs>
        <w:spacing w:after="200" w:line="20" w:lineRule="atLeast"/>
        <w:contextualSpacing/>
        <w:jc w:val="right"/>
        <w:rPr>
          <w:rFonts w:ascii="Times New Roman" w:eastAsia="Times New Roman" w:hAnsi="Times New Roman" w:cs="Times New Roman"/>
          <w:bCs/>
          <w:kern w:val="0"/>
          <w:sz w:val="24"/>
          <w:szCs w:val="24"/>
          <w:lang w:val="uk-UA"/>
          <w14:ligatures w14:val="none"/>
        </w:rPr>
      </w:pPr>
      <w:r w:rsidRPr="00B44B71">
        <w:rPr>
          <w:rFonts w:ascii="Times New Roman" w:eastAsia="Times New Roman" w:hAnsi="Times New Roman" w:cs="Times New Roman"/>
          <w:bCs/>
          <w:kern w:val="0"/>
          <w:sz w:val="24"/>
          <w:szCs w:val="24"/>
          <w:lang w:val="uk-UA"/>
          <w14:ligatures w14:val="none"/>
        </w:rPr>
        <w:t>https:// orcid.org/0009-0004-4687-9038</w:t>
      </w:r>
    </w:p>
    <w:p w14:paraId="19161E79" w14:textId="77777777" w:rsidR="00B8709F" w:rsidRPr="00F96118" w:rsidRDefault="00B8709F" w:rsidP="00023291">
      <w:pPr>
        <w:tabs>
          <w:tab w:val="left" w:pos="993"/>
          <w:tab w:val="left" w:pos="9638"/>
        </w:tabs>
        <w:spacing w:after="0" w:line="240" w:lineRule="auto"/>
        <w:jc w:val="right"/>
        <w:rPr>
          <w:rFonts w:ascii="Times New Roman" w:eastAsia="Calibri" w:hAnsi="Times New Roman" w:cs="Times New Roman"/>
          <w:kern w:val="0"/>
          <w:sz w:val="28"/>
          <w:szCs w:val="28"/>
          <w:lang w:val="uk-UA"/>
          <w14:ligatures w14:val="none"/>
        </w:rPr>
      </w:pPr>
    </w:p>
    <w:p w14:paraId="65C94E6C"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b/>
          <w:kern w:val="0"/>
          <w:sz w:val="24"/>
          <w:szCs w:val="24"/>
          <w:lang w:val="uk-UA"/>
          <w14:ligatures w14:val="none"/>
        </w:rPr>
      </w:pPr>
      <w:r w:rsidRPr="00B44B71">
        <w:rPr>
          <w:rFonts w:ascii="Times New Roman" w:eastAsia="Times New Roman" w:hAnsi="Times New Roman" w:cs="Times New Roman"/>
          <w:b/>
          <w:kern w:val="0"/>
          <w:sz w:val="24"/>
          <w:szCs w:val="24"/>
          <w:lang w:val="uk-UA"/>
          <w14:ligatures w14:val="none"/>
        </w:rPr>
        <w:t>ІСТОРИЧНІ ДЖЕРЕЛА ПАТРІОТИЗМУ  В КОНТЕКСТІ НАЦІОНАЛЬНОГО РОЗВИТКУ УКРАЇНИ</w:t>
      </w:r>
    </w:p>
    <w:p w14:paraId="76D2843C"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b/>
          <w:kern w:val="0"/>
          <w:sz w:val="24"/>
          <w:szCs w:val="24"/>
          <w:lang w:val="uk-UA"/>
          <w14:ligatures w14:val="none"/>
        </w:rPr>
      </w:pPr>
    </w:p>
    <w:p w14:paraId="0527ED6F" w14:textId="540A4489" w:rsidR="00B44B71" w:rsidRPr="00B44B71" w:rsidRDefault="00B44B71" w:rsidP="00E967C0">
      <w:pPr>
        <w:tabs>
          <w:tab w:val="left" w:pos="9638"/>
        </w:tabs>
        <w:spacing w:before="100" w:beforeAutospacing="1" w:after="100" w:afterAutospacing="1" w:line="240" w:lineRule="auto"/>
        <w:ind w:firstLine="709"/>
        <w:contextualSpacing/>
        <w:jc w:val="both"/>
        <w:rPr>
          <w:rFonts w:ascii="Times New Roman" w:eastAsia="Times New Roman" w:hAnsi="Times New Roman" w:cs="Times New Roman"/>
          <w:i/>
          <w:kern w:val="0"/>
          <w:sz w:val="24"/>
          <w:szCs w:val="24"/>
          <w:lang w:val="uk-UA" w:eastAsia="uk-UA"/>
          <w14:ligatures w14:val="none"/>
        </w:rPr>
      </w:pPr>
      <w:r w:rsidRPr="00B44B71">
        <w:rPr>
          <w:rFonts w:ascii="Times New Roman" w:eastAsia="Times New Roman" w:hAnsi="Times New Roman" w:cs="Times New Roman"/>
          <w:b/>
          <w:i/>
          <w:kern w:val="0"/>
          <w:sz w:val="24"/>
          <w:szCs w:val="24"/>
          <w:lang w:val="uk-UA" w:eastAsia="uk-UA"/>
          <w14:ligatures w14:val="none"/>
        </w:rPr>
        <w:t>Анотація.</w:t>
      </w:r>
      <w:r w:rsidRPr="00B44B71">
        <w:rPr>
          <w:rFonts w:ascii="Courier New" w:eastAsia="Times New Roman" w:hAnsi="Courier New" w:cs="Courier New"/>
          <w:i/>
          <w:kern w:val="0"/>
          <w:sz w:val="24"/>
          <w:szCs w:val="24"/>
          <w:lang w:val="uk-UA" w:eastAsia="uk-UA"/>
          <w14:ligatures w14:val="none"/>
        </w:rPr>
        <w:t xml:space="preserve"> </w:t>
      </w:r>
      <w:r w:rsidRPr="00B44B71">
        <w:rPr>
          <w:rFonts w:ascii="Times New Roman" w:eastAsia="Times New Roman" w:hAnsi="Times New Roman" w:cs="Times New Roman"/>
          <w:i/>
          <w:kern w:val="0"/>
          <w:sz w:val="24"/>
          <w:szCs w:val="24"/>
          <w:lang w:val="uk-UA" w:eastAsia="uk-UA"/>
          <w14:ligatures w14:val="none"/>
        </w:rPr>
        <w:t>У статті досліджено історичні джерела патріотизму як інтегральної суспільної цінності та рушійної сили захисту державності в сучасних реаліях. Проаналізовано еволюцію патріотичних ідей та цінностей від часів Київської Русі до сьогодення, висвітлено роль визначних історичних постатей, суспільно-політичних рухів та організацій у формуванні державницької свідомості українців. Особливу увагу приділено козацькій добі, періоду національного відродження XIX – початку XX століття, визвольним змаганням 1917-1921 рр., діяльності ОУН-УПА. У роботі досліджено генезис патріотизму, починаючи з літописної традиції («Повість врем’яних літ»), де закладено ідеї єдності та захисту рідної землі. Висвітлено роль козацької епохи (Б. Хмельницький, І. Мазепа) у формуванні ідеалу війни-патріота. Особливу увагу приділено інтелектуальному прориву ХІХ – початку ХХ ст. (Т. Шевченко, М. Міхновський, І. Огієнко), коли патріотизм трансформувався з етнокультурної в політичну форму самостійності. Проаналізовано досвід ОУН-УПА як приклад інституціалізації національно-визвольного руху. У контексті подій 2014–2026 років визначено роль громадянського суспільства, волонтерського руху та добровольчих формувань як російської сили сучасного спротиву. На прикладах подвигів Героїв України (зокрема О. Мацієвського) показаний нерозривний зв'язок між історичною пам'яттю та боєздатністю Збройних Сил України. Розкрито значення патріотизму як чинника здобуття незалежності України та протидії російській агресії. Обґрунтовано важливість вивчення історичних джерел патріотизму для виховання сучасної молоді, зокрема майбутніх захисників держави.</w:t>
      </w:r>
      <w:r w:rsidRPr="00B44B71">
        <w:rPr>
          <w:rFonts w:ascii="Times New Roman" w:eastAsia="Times New Roman" w:hAnsi="Times New Roman" w:cs="Times New Roman"/>
          <w:kern w:val="0"/>
          <w:sz w:val="24"/>
          <w:szCs w:val="24"/>
          <w:lang w:val="uk-UA" w:eastAsia="uk-UA"/>
          <w14:ligatures w14:val="none"/>
        </w:rPr>
        <w:t xml:space="preserve"> </w:t>
      </w:r>
      <w:r w:rsidRPr="00B44B71">
        <w:rPr>
          <w:rFonts w:ascii="Times New Roman" w:eastAsia="Times New Roman" w:hAnsi="Times New Roman" w:cs="Times New Roman"/>
          <w:i/>
          <w:iCs/>
          <w:kern w:val="0"/>
          <w:sz w:val="24"/>
          <w:szCs w:val="24"/>
          <w:lang w:val="uk-UA" w:eastAsia="uk-UA"/>
          <w14:ligatures w14:val="none"/>
        </w:rPr>
        <w:t>Наголошується, що сучасний масовий героїзм є не ситуативним виявом емоцій, а закономірним результатом тривалого історичного розвитку нації , її безперервної боротьби за виживання та збереження ідентичності.</w:t>
      </w:r>
      <w:r w:rsidRPr="00B44B71">
        <w:rPr>
          <w:rFonts w:ascii="Times New Roman" w:eastAsia="Times New Roman" w:hAnsi="Times New Roman" w:cs="Times New Roman"/>
          <w:i/>
          <w:kern w:val="0"/>
          <w:sz w:val="24"/>
          <w:szCs w:val="24"/>
          <w:lang w:val="uk-UA" w:eastAsia="uk-UA"/>
          <w14:ligatures w14:val="none"/>
        </w:rPr>
        <w:t xml:space="preserve"> </w:t>
      </w:r>
    </w:p>
    <w:p w14:paraId="67CC63B5" w14:textId="338E441F"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lang w:val="uk-UA"/>
          <w14:ligatures w14:val="none"/>
        </w:rPr>
      </w:pPr>
      <w:r w:rsidRPr="00B44B71">
        <w:rPr>
          <w:rFonts w:ascii="Times New Roman" w:eastAsia="Times New Roman" w:hAnsi="Times New Roman" w:cs="Times New Roman"/>
          <w:b/>
          <w:i/>
          <w:kern w:val="0"/>
          <w:sz w:val="24"/>
          <w:szCs w:val="24"/>
          <w:lang w:val="uk-UA"/>
          <w14:ligatures w14:val="none"/>
        </w:rPr>
        <w:t>Ключові слова:</w:t>
      </w:r>
      <w:r w:rsidRPr="00B44B71">
        <w:rPr>
          <w:rFonts w:ascii="Calibri" w:eastAsia="Times New Roman" w:hAnsi="Calibri" w:cs="Times New Roman"/>
          <w:i/>
          <w:kern w:val="0"/>
          <w:sz w:val="24"/>
          <w:szCs w:val="24"/>
          <w:lang w:val="uk-UA"/>
          <w14:ligatures w14:val="none"/>
        </w:rPr>
        <w:t xml:space="preserve"> </w:t>
      </w:r>
      <w:r w:rsidRPr="00B44B71">
        <w:rPr>
          <w:rFonts w:ascii="Times New Roman" w:eastAsia="Times New Roman" w:hAnsi="Times New Roman" w:cs="Times New Roman"/>
          <w:i/>
          <w:iCs/>
          <w:kern w:val="0"/>
          <w:sz w:val="24"/>
          <w:szCs w:val="24"/>
          <w:lang w:val="uk-UA"/>
          <w14:ligatures w14:val="none"/>
        </w:rPr>
        <w:t>патріотизм, національна свідомість, державотворення, Київська Русь, козацтво, ОУН-УПА, російсько-українська війна, національна ідентичність.</w:t>
      </w:r>
    </w:p>
    <w:p w14:paraId="271A134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i/>
          <w:kern w:val="0"/>
          <w:sz w:val="24"/>
          <w:szCs w:val="24"/>
          <w:lang w:val="uk-UA"/>
          <w14:ligatures w14:val="none"/>
        </w:rPr>
      </w:pPr>
    </w:p>
    <w:p w14:paraId="2E62AD04" w14:textId="59791ECC" w:rsidR="00B44B71" w:rsidRPr="00B44B71" w:rsidRDefault="00B44B71" w:rsidP="00023291">
      <w:pPr>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contextualSpacing/>
        <w:jc w:val="right"/>
        <w:rPr>
          <w:rFonts w:ascii="Times New Roman" w:eastAsia="Times New Roman" w:hAnsi="Times New Roman" w:cs="Times New Roman"/>
          <w:b/>
          <w:color w:val="1F1F1F"/>
          <w:kern w:val="0"/>
          <w:sz w:val="24"/>
          <w:szCs w:val="24"/>
          <w:lang w:val="uk-UA" w:eastAsia="uk-UA"/>
          <w14:ligatures w14:val="none"/>
        </w:rPr>
      </w:pPr>
      <w:r w:rsidRPr="00B44B71">
        <w:rPr>
          <w:rFonts w:ascii="Times New Roman" w:eastAsia="Times New Roman" w:hAnsi="Times New Roman" w:cs="Times New Roman"/>
          <w:b/>
          <w:kern w:val="0"/>
          <w:sz w:val="24"/>
          <w:szCs w:val="24"/>
          <w14:ligatures w14:val="none"/>
        </w:rPr>
        <w:t>Olexand</w:t>
      </w:r>
      <w:r w:rsidR="00E967C0">
        <w:rPr>
          <w:rFonts w:ascii="Times New Roman" w:eastAsia="Times New Roman" w:hAnsi="Times New Roman" w:cs="Times New Roman"/>
          <w:b/>
          <w:kern w:val="0"/>
          <w:sz w:val="24"/>
          <w:szCs w:val="24"/>
          <w14:ligatures w14:val="none"/>
        </w:rPr>
        <w:t xml:space="preserve">r </w:t>
      </w:r>
      <w:r w:rsidRPr="00B44B71">
        <w:rPr>
          <w:rFonts w:ascii="Times New Roman" w:eastAsia="Times New Roman" w:hAnsi="Times New Roman" w:cs="Times New Roman"/>
          <w:b/>
          <w:color w:val="1F1F1F"/>
          <w:kern w:val="0"/>
          <w:sz w:val="24"/>
          <w:szCs w:val="24"/>
          <w:lang w:val="en" w:eastAsia="uk-UA"/>
          <w14:ligatures w14:val="none"/>
        </w:rPr>
        <w:t>Khrushchak,</w:t>
      </w:r>
    </w:p>
    <w:p w14:paraId="1A942F99" w14:textId="77777777" w:rsidR="00B44B71" w:rsidRPr="00B44B71" w:rsidRDefault="00B44B71" w:rsidP="00023291">
      <w:pPr>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contextualSpacing/>
        <w:jc w:val="right"/>
        <w:rPr>
          <w:rFonts w:ascii="Times New Roman" w:eastAsia="Times New Roman" w:hAnsi="Times New Roman" w:cs="Times New Roman"/>
          <w:color w:val="1F1F1F"/>
          <w:kern w:val="0"/>
          <w:sz w:val="24"/>
          <w:szCs w:val="24"/>
          <w:lang w:val="uk-UA" w:eastAsia="uk-UA"/>
          <w14:ligatures w14:val="none"/>
        </w:rPr>
      </w:pPr>
      <w:r w:rsidRPr="00B44B71">
        <w:rPr>
          <w:rFonts w:ascii="Times New Roman" w:eastAsia="Times New Roman" w:hAnsi="Times New Roman" w:cs="Times New Roman"/>
          <w:color w:val="1F1F1F"/>
          <w:kern w:val="0"/>
          <w:sz w:val="24"/>
          <w:szCs w:val="24"/>
          <w:lang w:val="en" w:eastAsia="uk-UA"/>
          <w14:ligatures w14:val="none"/>
        </w:rPr>
        <w:t>National Defense University of Ukraine,</w:t>
      </w:r>
      <w:r w:rsidRPr="00B44B71">
        <w:rPr>
          <w:rFonts w:ascii="Times New Roman" w:eastAsia="Times New Roman" w:hAnsi="Times New Roman" w:cs="Times New Roman"/>
          <w:color w:val="1F1F1F"/>
          <w:kern w:val="0"/>
          <w:sz w:val="24"/>
          <w:szCs w:val="24"/>
          <w:lang w:val="uk-UA" w:eastAsia="uk-UA"/>
          <w14:ligatures w14:val="none"/>
        </w:rPr>
        <w:t xml:space="preserve"> </w:t>
      </w:r>
      <w:r w:rsidRPr="00B44B71">
        <w:rPr>
          <w:rFonts w:ascii="Times New Roman" w:eastAsia="Times New Roman" w:hAnsi="Times New Roman" w:cs="Times New Roman"/>
          <w:color w:val="1F1F1F"/>
          <w:kern w:val="0"/>
          <w:sz w:val="24"/>
          <w:szCs w:val="24"/>
          <w:lang w:val="en" w:eastAsia="uk-UA"/>
          <w14:ligatures w14:val="none"/>
        </w:rPr>
        <w:t xml:space="preserve"> Kyiv</w:t>
      </w:r>
    </w:p>
    <w:p w14:paraId="41F2BC73" w14:textId="77777777" w:rsidR="00B44B71" w:rsidRPr="00B44B71" w:rsidRDefault="00B44B71" w:rsidP="00023291">
      <w:pPr>
        <w:tabs>
          <w:tab w:val="left" w:pos="916"/>
          <w:tab w:val="left" w:pos="1832"/>
          <w:tab w:val="left" w:pos="2748"/>
          <w:tab w:val="left" w:pos="3664"/>
          <w:tab w:val="left" w:pos="4580"/>
          <w:tab w:val="left" w:pos="5496"/>
          <w:tab w:val="left" w:pos="6412"/>
          <w:tab w:val="left" w:pos="7328"/>
          <w:tab w:val="left" w:pos="8244"/>
          <w:tab w:val="left" w:pos="9160"/>
          <w:tab w:val="left" w:pos="9638"/>
          <w:tab w:val="left" w:pos="10076"/>
          <w:tab w:val="left" w:pos="10992"/>
          <w:tab w:val="left" w:pos="11908"/>
          <w:tab w:val="left" w:pos="12824"/>
          <w:tab w:val="left" w:pos="13740"/>
          <w:tab w:val="left" w:pos="14656"/>
        </w:tabs>
        <w:spacing w:after="0" w:line="240" w:lineRule="auto"/>
        <w:ind w:firstLine="709"/>
        <w:contextualSpacing/>
        <w:jc w:val="right"/>
        <w:rPr>
          <w:rFonts w:ascii="Times New Roman" w:eastAsia="Times New Roman" w:hAnsi="Times New Roman" w:cs="Times New Roman"/>
          <w:color w:val="1F1F1F"/>
          <w:kern w:val="0"/>
          <w:sz w:val="24"/>
          <w:szCs w:val="24"/>
          <w:lang w:val="uk-UA" w:eastAsia="uk-UA"/>
          <w14:ligatures w14:val="none"/>
        </w:rPr>
      </w:pPr>
    </w:p>
    <w:p w14:paraId="183466A4" w14:textId="0F75FB01" w:rsidR="00B44B71" w:rsidRPr="00B44B71" w:rsidRDefault="00241E7A" w:rsidP="00023291">
      <w:pPr>
        <w:tabs>
          <w:tab w:val="left" w:pos="9638"/>
        </w:tabs>
        <w:spacing w:after="0" w:line="240" w:lineRule="auto"/>
        <w:ind w:firstLine="709"/>
        <w:contextualSpacing/>
        <w:jc w:val="center"/>
        <w:rPr>
          <w:rFonts w:ascii="Times New Roman" w:eastAsia="Times New Roman" w:hAnsi="Times New Roman" w:cs="Times New Roman"/>
          <w:b/>
          <w:bCs/>
          <w:color w:val="1F1F1F"/>
          <w:kern w:val="0"/>
          <w:sz w:val="24"/>
          <w:szCs w:val="24"/>
          <w:lang w:val="uk-UA" w:eastAsia="uk-UA"/>
          <w14:ligatures w14:val="none"/>
        </w:rPr>
      </w:pPr>
      <w:r w:rsidRPr="00B44B71">
        <w:rPr>
          <w:rFonts w:ascii="Times New Roman" w:eastAsia="Times New Roman" w:hAnsi="Times New Roman" w:cs="Times New Roman"/>
          <w:b/>
          <w:bCs/>
          <w:color w:val="1F1F1F"/>
          <w:kern w:val="0"/>
          <w:sz w:val="24"/>
          <w:szCs w:val="24"/>
          <w:lang w:val="en" w:eastAsia="uk-UA"/>
          <w14:ligatures w14:val="none"/>
        </w:rPr>
        <w:t>Historical sources of patriotism</w:t>
      </w:r>
      <w:r w:rsidRPr="00B44B71">
        <w:rPr>
          <w:rFonts w:ascii="Times New Roman" w:eastAsia="Times New Roman" w:hAnsi="Times New Roman" w:cs="Times New Roman"/>
          <w:b/>
          <w:bCs/>
          <w:color w:val="1F1F1F"/>
          <w:kern w:val="0"/>
          <w:sz w:val="24"/>
          <w:szCs w:val="24"/>
          <w:lang w:val="uk-UA" w:eastAsia="uk-UA"/>
          <w14:ligatures w14:val="none"/>
        </w:rPr>
        <w:t xml:space="preserve"> </w:t>
      </w:r>
      <w:r w:rsidRPr="00B44B71">
        <w:rPr>
          <w:rFonts w:ascii="Times New Roman" w:eastAsia="Times New Roman" w:hAnsi="Times New Roman" w:cs="Times New Roman"/>
          <w:b/>
          <w:bCs/>
          <w:color w:val="1F1F1F"/>
          <w:kern w:val="0"/>
          <w:sz w:val="24"/>
          <w:szCs w:val="24"/>
          <w:lang w:val="en" w:eastAsia="uk-UA"/>
          <w14:ligatures w14:val="none"/>
        </w:rPr>
        <w:t>in the context of national development of Ukraine</w:t>
      </w:r>
    </w:p>
    <w:p w14:paraId="2D525368" w14:textId="77777777" w:rsidR="00B44B71" w:rsidRPr="00B44B71" w:rsidRDefault="00B44B71" w:rsidP="00023291">
      <w:pPr>
        <w:tabs>
          <w:tab w:val="left" w:pos="9638"/>
        </w:tabs>
        <w:spacing w:after="0" w:line="240" w:lineRule="auto"/>
        <w:ind w:firstLine="709"/>
        <w:contextualSpacing/>
        <w:jc w:val="center"/>
        <w:rPr>
          <w:rFonts w:ascii="Times New Roman" w:eastAsia="Times New Roman" w:hAnsi="Times New Roman" w:cs="Times New Roman"/>
          <w:b/>
          <w:bCs/>
          <w:color w:val="1F1F1F"/>
          <w:kern w:val="0"/>
          <w:sz w:val="24"/>
          <w:szCs w:val="24"/>
          <w:lang w:val="uk-UA" w:eastAsia="uk-UA"/>
          <w14:ligatures w14:val="none"/>
        </w:rPr>
      </w:pPr>
    </w:p>
    <w:p w14:paraId="4A568E9A" w14:textId="77777777" w:rsidR="00B44B71" w:rsidRPr="00B44B71" w:rsidRDefault="00B44B71" w:rsidP="00023291">
      <w:pPr>
        <w:tabs>
          <w:tab w:val="left" w:pos="9638"/>
        </w:tabs>
        <w:spacing w:after="0" w:line="240" w:lineRule="auto"/>
        <w:ind w:firstLine="709"/>
        <w:contextualSpacing/>
        <w:jc w:val="both"/>
        <w:rPr>
          <w:rFonts w:ascii="Times New Roman" w:eastAsia="Times New Roman" w:hAnsi="Times New Roman" w:cs="Times New Roman"/>
          <w:i/>
          <w:iCs/>
          <w:kern w:val="0"/>
          <w:sz w:val="24"/>
          <w:szCs w:val="24"/>
          <w:lang w:val="uk-UA" w:eastAsia="uk-UA"/>
          <w14:ligatures w14:val="none"/>
        </w:rPr>
      </w:pPr>
      <w:r w:rsidRPr="00B44B71">
        <w:rPr>
          <w:rFonts w:ascii="Times New Roman" w:eastAsia="Times New Roman" w:hAnsi="Times New Roman" w:cs="Times New Roman"/>
          <w:b/>
          <w:bCs/>
          <w:i/>
          <w:iCs/>
          <w:kern w:val="0"/>
          <w:sz w:val="24"/>
          <w:szCs w:val="24"/>
          <w:lang w:eastAsia="uk-UA"/>
          <w14:ligatures w14:val="none"/>
        </w:rPr>
        <w:t xml:space="preserve"> </w:t>
      </w:r>
      <w:r w:rsidRPr="00B44B71">
        <w:rPr>
          <w:rFonts w:ascii="Times New Roman" w:eastAsia="Times New Roman" w:hAnsi="Times New Roman" w:cs="Times New Roman"/>
          <w:kern w:val="0"/>
          <w:sz w:val="24"/>
          <w:szCs w:val="24"/>
          <w:lang w:val="uk-UA" w:eastAsia="uk-UA"/>
          <w14:ligatures w14:val="none"/>
        </w:rPr>
        <w:t xml:space="preserve"> </w:t>
      </w:r>
      <w:r w:rsidRPr="00B44B71">
        <w:rPr>
          <w:rFonts w:ascii="Times New Roman" w:eastAsia="Times New Roman" w:hAnsi="Times New Roman" w:cs="Times New Roman"/>
          <w:b/>
          <w:i/>
          <w:kern w:val="0"/>
          <w:sz w:val="24"/>
          <w:szCs w:val="24"/>
          <w:lang w:val="uk-UA" w:eastAsia="uk-UA"/>
          <w14:ligatures w14:val="none"/>
        </w:rPr>
        <w:t>Abstract.</w:t>
      </w:r>
      <w:r w:rsidRPr="00B44B71">
        <w:rPr>
          <w:rFonts w:ascii="Times New Roman" w:eastAsia="Times New Roman" w:hAnsi="Times New Roman" w:cs="Times New Roman"/>
          <w:b/>
          <w:bCs/>
          <w:i/>
          <w:iCs/>
          <w:kern w:val="0"/>
          <w:sz w:val="24"/>
          <w:szCs w:val="24"/>
          <w:lang w:eastAsia="uk-UA"/>
          <w14:ligatures w14:val="none"/>
        </w:rPr>
        <w:t xml:space="preserve"> </w:t>
      </w:r>
      <w:r w:rsidRPr="00B44B71">
        <w:rPr>
          <w:rFonts w:ascii="Times New Roman" w:eastAsia="Times New Roman" w:hAnsi="Times New Roman" w:cs="Times New Roman"/>
          <w:i/>
          <w:kern w:val="0"/>
          <w:sz w:val="24"/>
          <w:szCs w:val="24"/>
          <w:lang w:val="uk-UA" w:eastAsia="uk-UA"/>
          <w14:ligatures w14:val="none"/>
        </w:rPr>
        <w:t xml:space="preserve">The article examines the historical sources of patriotism as an integral social value and a driving force for the protection of statehood in modern realities. The evolution of patriotic ideas and values from the times of Kyivan Rus to the present is analyzed, the role of prominent historical figures, socio-political movements and organizations in the formation of the statist consciousness of Ukrainians is highlighted. Special attention is paid to the Cossack era, the period of national revival of the 19th and 19th centuries, the liberation struggle of 1917-1921, and the activities of the OUN-UPA. The work examines the genesis of patriotism, starting with the chronicle tradition («The Tale of the Medieval Years»), where the ideas of unity and protection of the native land are embedded. The role of the Cossack era is highlighted (B. Khmelnytskyi, I. </w:t>
      </w:r>
      <w:r w:rsidRPr="00B44B71">
        <w:rPr>
          <w:rFonts w:ascii="Times New Roman" w:eastAsia="Times New Roman" w:hAnsi="Times New Roman" w:cs="Times New Roman"/>
          <w:i/>
          <w:kern w:val="0"/>
          <w:sz w:val="24"/>
          <w:szCs w:val="24"/>
          <w:lang w:val="uk-UA" w:eastAsia="uk-UA"/>
          <w14:ligatures w14:val="none"/>
        </w:rPr>
        <w:lastRenderedPageBreak/>
        <w:t>Mazepa) in the formation of the ideal of war-patriot. Special attention is paid to the intellectual breakthrough of the 19th and 19th centuries. (T. Shevchenko, M. Mikhnovskyi, I. Ohienko), when patriotism was transformed from an ethno-cultural to a political form of independence. The experience of the OUN-UPA is analyzed as an example of the institutionalization of the national liberation movement. In the context of the events of 2014–2026, the role of civil society, the volunteer movement and volunteer formations as a Russian force of modern resistance is defined. On the examples of exploits of Heroes of Ukraine (in particular, O. Matsievskyi) shows the inextricable connection between the historical memory and the combat capability of the Armed Forces of Ukraine. The importance of patriotism as a factor in gaining Ukraine's independence and countering Russian aggression is revealed. The importance of studying historical sources of patriotism for the education of modern youth, in particular future defenders of the state, is substantiated. It is emphasized that modern mass heroism is not a situational manifestation of emotions, but a natural result of the long historical development of the nation, its continuous struggle for survival and preservation of identity.</w:t>
      </w:r>
    </w:p>
    <w:p w14:paraId="75A99145" w14:textId="77777777" w:rsidR="00B44B71" w:rsidRPr="00B44B71" w:rsidRDefault="00B44B71" w:rsidP="00023291">
      <w:pPr>
        <w:tabs>
          <w:tab w:val="left" w:pos="9638"/>
        </w:tabs>
        <w:spacing w:before="100" w:beforeAutospacing="1" w:after="100" w:afterAutospacing="1" w:line="240" w:lineRule="auto"/>
        <w:ind w:firstLine="709"/>
        <w:contextualSpacing/>
        <w:jc w:val="both"/>
        <w:rPr>
          <w:rFonts w:ascii="Times New Roman" w:eastAsia="Times New Roman" w:hAnsi="Times New Roman" w:cs="Times New Roman"/>
          <w:i/>
          <w:iCs/>
          <w:kern w:val="0"/>
          <w:sz w:val="24"/>
          <w:szCs w:val="24"/>
          <w:lang w:val="uk-UA" w:eastAsia="uk-UA"/>
          <w14:ligatures w14:val="none"/>
        </w:rPr>
      </w:pPr>
      <w:r w:rsidRPr="00B44B71">
        <w:rPr>
          <w:rFonts w:ascii="Times New Roman" w:eastAsia="Times New Roman" w:hAnsi="Times New Roman" w:cs="Times New Roman"/>
          <w:b/>
          <w:bCs/>
          <w:i/>
          <w:iCs/>
          <w:kern w:val="0"/>
          <w:sz w:val="24"/>
          <w:szCs w:val="24"/>
          <w:lang w:eastAsia="uk-UA"/>
          <w14:ligatures w14:val="none"/>
        </w:rPr>
        <w:t xml:space="preserve"> </w:t>
      </w:r>
      <w:r w:rsidRPr="00B44B71">
        <w:rPr>
          <w:rFonts w:ascii="Times New Roman" w:eastAsia="Times New Roman" w:hAnsi="Times New Roman" w:cs="Times New Roman"/>
          <w:b/>
          <w:bCs/>
          <w:i/>
          <w:iCs/>
          <w:kern w:val="0"/>
          <w:sz w:val="24"/>
          <w:szCs w:val="24"/>
          <w:lang w:val="uk-UA" w:eastAsia="uk-UA"/>
          <w14:ligatures w14:val="none"/>
        </w:rPr>
        <w:t>Keywords:</w:t>
      </w:r>
      <w:r w:rsidRPr="00B44B71">
        <w:rPr>
          <w:rFonts w:ascii="Times New Roman" w:eastAsia="Times New Roman" w:hAnsi="Times New Roman" w:cs="Times New Roman"/>
          <w:i/>
          <w:iCs/>
          <w:kern w:val="0"/>
          <w:sz w:val="24"/>
          <w:szCs w:val="24"/>
          <w:lang w:val="uk-UA" w:eastAsia="uk-UA"/>
          <w14:ligatures w14:val="none"/>
        </w:rPr>
        <w:t xml:space="preserve"> patriotism, national consciousness, state formation, Kyivan Rus, Cossacks, OUN-UPA, Russian-Ukrainian war, national identity.</w:t>
      </w:r>
    </w:p>
    <w:p w14:paraId="0536F06B" w14:textId="77777777" w:rsidR="00B44B71" w:rsidRPr="00B44B71" w:rsidRDefault="00B44B71" w:rsidP="00023291">
      <w:pPr>
        <w:tabs>
          <w:tab w:val="left" w:pos="9638"/>
        </w:tabs>
        <w:spacing w:before="100" w:beforeAutospacing="1" w:after="100" w:afterAutospacing="1" w:line="240" w:lineRule="auto"/>
        <w:ind w:firstLine="709"/>
        <w:contextualSpacing/>
        <w:jc w:val="both"/>
        <w:rPr>
          <w:rFonts w:ascii="Times New Roman" w:eastAsia="Times New Roman" w:hAnsi="Times New Roman" w:cs="Times New Roman"/>
          <w:i/>
          <w:iCs/>
          <w:kern w:val="0"/>
          <w:sz w:val="24"/>
          <w:szCs w:val="24"/>
          <w:lang w:val="uk-UA" w:eastAsia="uk-UA"/>
          <w14:ligatures w14:val="none"/>
        </w:rPr>
      </w:pPr>
    </w:p>
    <w:p w14:paraId="27B1DF2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b/>
          <w:kern w:val="0"/>
          <w:sz w:val="28"/>
          <w:szCs w:val="28"/>
          <w:lang w:val="uk-UA"/>
          <w14:ligatures w14:val="none"/>
        </w:rPr>
        <w:t xml:space="preserve">Вступ. </w:t>
      </w:r>
      <w:r w:rsidRPr="00B44B71">
        <w:rPr>
          <w:rFonts w:ascii="Times New Roman" w:eastAsia="Times New Roman" w:hAnsi="Times New Roman" w:cs="Times New Roman"/>
          <w:kern w:val="0"/>
          <w:sz w:val="28"/>
          <w:szCs w:val="28"/>
          <w:lang w:val="uk-UA"/>
          <w14:ligatures w14:val="none"/>
        </w:rPr>
        <w:t>В умовах екзистенційних викликів, які постали перед Україною в результаті повномасштабного російського вторгнення 2022 року, як ніколи загострилася потреба осмислення феномену патріотизму. Саме він став потужним духовним і моральним чинником всенародного спротиву агресору, мобілізації і консолідації українського суспільства. Масовий героїзм та самопожертва заради Батьківщини, готовність віддати за неї життя вкотре засвідчили, що любов до рідної землі є визначальною цінністю для українців.</w:t>
      </w:r>
    </w:p>
    <w:p w14:paraId="6DCAFAC3"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Однак слід усвідомлювати, що це не ситуативний вияв емоцій, а результат тривалого історичного розвитку української нації. Впродовж століть у надзвичайно складних умовах бездержавності, розчленованості етнічних територій, утисків та асиміляторської політики інших держав, до яких входили українські землі на різних історичних етапах патріотизм був для українців запорукою виживання і збереження їх ідентичності. Він визрівав та гартувався в горнилі козацьких повстань та національно-визвольних змагань, живився творчістю видатних українських поетів і мислителів, підживлював державотворчі прагнення нації.</w:t>
      </w:r>
    </w:p>
    <w:p w14:paraId="1F03070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Отже, сучасний український патріотизм має глибоке історичне коріння, а його дослідження в контексті формування національної свідомості та розвитку державності є важливим науковим завданням, що має також вагоме суспільне й виховне значення. Усвідомлення досвіду минулих поколінь сприятиме зміцненню ціннісних орієнтирів української молоді, підвищенню її громадянської відповідальності та активності.</w:t>
      </w:r>
    </w:p>
    <w:p w14:paraId="52303DB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 xml:space="preserve">Різні аспекти становлення і розвитку українського патріотизму протягом багатьох років незалежності України перебувають у полі зору вітчизняних науковців. Однак джерела цього психолого-педагогічного феномену простежуються ще у працях М. Грушевського, Д. Дорошенка, Д. Яворницького присвячених добі козаччини. Державницьке спрямування української суспільно-політичної думки ХІХ – початку ХХ ст., патріотичний зміст </w:t>
      </w:r>
      <w:r w:rsidRPr="00B44B71">
        <w:rPr>
          <w:rFonts w:ascii="Times New Roman" w:eastAsia="Times New Roman" w:hAnsi="Times New Roman" w:cs="Times New Roman"/>
          <w:kern w:val="0"/>
          <w:sz w:val="28"/>
          <w:szCs w:val="28"/>
          <w:lang w:val="uk-UA"/>
          <w14:ligatures w14:val="none"/>
        </w:rPr>
        <w:lastRenderedPageBreak/>
        <w:t xml:space="preserve">національної ідеї активно досліджували І. Лисяк-Рудницький, В. Липинський, Ю. Луцький, М. Міхновський, О. Пріцак, С. Рудницький, В. Старосольський, І. Огієнко, М. Яворський та інші. </w:t>
      </w:r>
    </w:p>
    <w:p w14:paraId="1FBCE14A"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Сучасні українські дослідники зосереджуються на теоретичному осмисленні поняття патріотизму (М. Качур, О. Колодій, В. Кротюк, М. Левківський), його філософських та ціннісних аспектах (І. Бех, Л. Ільчук, Ю. Івченко, О. Рафальський), психологічних і ментальних особливостях (А. Бойко, О. Гевко). В педагогічній площині актуальними є питання патріотичного виховання молоді (О. Александрова, Ю. Зубцова, В. Кульчицький, Ф. Левітас, К. Чорна) та інші.</w:t>
      </w:r>
    </w:p>
    <w:p w14:paraId="2C1B89C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Визначені науковці комплексно досліджували розвиток українського патріотизму в контексті національно-визвольної боротьби та державотворення. Однак у зв’язку з новими кризовими обставинами розвитку українського суспільства існує потреба поглибленого вивчення історичних джерел патріотизму як невід’ємного складника ментальності українців та рушія суспільного прогресу вже у сучасному контексті, коли державність країни у зв’язку з агресивною політикою та діями ворога проти нашої країни та нації знаходиться під загрозою.</w:t>
      </w:r>
    </w:p>
    <w:p w14:paraId="3780A1F5" w14:textId="794E467D" w:rsidR="00B44B71" w:rsidRPr="00B44B71" w:rsidRDefault="00B44B71" w:rsidP="00023291">
      <w:pPr>
        <w:tabs>
          <w:tab w:val="left" w:pos="9638"/>
        </w:tabs>
        <w:spacing w:after="0" w:line="240" w:lineRule="auto"/>
        <w:ind w:firstLine="709"/>
        <w:contextualSpacing/>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b/>
          <w:kern w:val="0"/>
          <w:sz w:val="28"/>
          <w:szCs w:val="28"/>
          <w:lang w:val="uk-UA"/>
          <w14:ligatures w14:val="none"/>
        </w:rPr>
        <w:t>Мета статті</w:t>
      </w:r>
      <w:r w:rsidRPr="00B44B71">
        <w:rPr>
          <w:rFonts w:ascii="Times New Roman" w:eastAsia="Times New Roman" w:hAnsi="Times New Roman" w:cs="Times New Roman"/>
          <w:kern w:val="0"/>
          <w:sz w:val="28"/>
          <w:szCs w:val="28"/>
          <w:lang w:val="uk-UA"/>
          <w14:ligatures w14:val="none"/>
        </w:rPr>
        <w:t xml:space="preserve"> </w:t>
      </w:r>
      <w:r w:rsidRPr="00B44B71">
        <w:rPr>
          <w:rFonts w:ascii="Times New Roman" w:eastAsia="Times New Roman" w:hAnsi="Times New Roman" w:cs="Times New Roman"/>
          <w:b/>
          <w:bCs/>
          <w:kern w:val="0"/>
          <w:sz w:val="28"/>
          <w:szCs w:val="28"/>
          <w:lang w:val="uk-UA"/>
          <w14:ligatures w14:val="none"/>
        </w:rPr>
        <w:t>-</w:t>
      </w:r>
      <w:r w:rsidRPr="00B44B71">
        <w:rPr>
          <w:rFonts w:ascii="Times New Roman" w:eastAsia="Times New Roman" w:hAnsi="Times New Roman" w:cs="Times New Roman"/>
          <w:kern w:val="0"/>
          <w:sz w:val="28"/>
          <w:szCs w:val="28"/>
          <w:lang w:val="uk-UA"/>
          <w14:ligatures w14:val="none"/>
        </w:rPr>
        <w:t xml:space="preserve"> простежити історичну спадковість патріотичних ідей у державотворчих процесах України, виявити ключові джерела формування національної свідомості (літописи, козацьку ідеологію, політичні праці ХІХ–ХХ ст.) та довести свій безпосередній вплив на моральний дух сучасних захисників України.</w:t>
      </w:r>
    </w:p>
    <w:p w14:paraId="5CD1FC9C" w14:textId="77777777" w:rsidR="00B44B71" w:rsidRPr="00B44B71" w:rsidRDefault="00B44B71" w:rsidP="00023291">
      <w:pPr>
        <w:tabs>
          <w:tab w:val="left" w:pos="9638"/>
        </w:tabs>
        <w:spacing w:after="0" w:line="240" w:lineRule="auto"/>
        <w:ind w:firstLine="709"/>
        <w:contextualSpacing/>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b/>
          <w:bCs/>
          <w:kern w:val="0"/>
          <w:sz w:val="28"/>
          <w:szCs w:val="28"/>
          <w:lang w:val="uk-UA" w:eastAsia="uk-UA"/>
          <w14:ligatures w14:val="none"/>
        </w:rPr>
        <w:t>Методи дослідження</w:t>
      </w:r>
      <w:r w:rsidRPr="00B44B71">
        <w:rPr>
          <w:rFonts w:ascii="Times New Roman" w:eastAsia="Times New Roman" w:hAnsi="Times New Roman" w:cs="Times New Roman"/>
          <w:kern w:val="0"/>
          <w:sz w:val="28"/>
          <w:szCs w:val="28"/>
          <w:lang w:val="uk-UA" w:eastAsia="uk-UA"/>
          <w14:ligatures w14:val="none"/>
        </w:rPr>
        <w:t xml:space="preserve"> базується на комплексі загальнонаукових та спеціально-історичних методів. Хронологічний метод дозволив простежити еволюцію патріотичних ідей від Київської Русі до сьогодення. Системно-структурний підхід було використано для аналізу патріотизму як складової національного менталітету. Метод джерелознавчого аналізу було застосовано для вивчення літописів, політичних трактатів козацької доби та ідеологічної спадщини XIX-XX століть.</w:t>
      </w:r>
    </w:p>
    <w:p w14:paraId="7ED4C6E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b/>
          <w:bCs/>
          <w:kern w:val="0"/>
          <w:sz w:val="28"/>
          <w:szCs w:val="28"/>
          <w:lang w:val="uk-UA" w:eastAsia="uk-UA"/>
          <w14:ligatures w14:val="none"/>
        </w:rPr>
        <w:t xml:space="preserve"> </w:t>
      </w:r>
      <w:r w:rsidRPr="00B44B71">
        <w:rPr>
          <w:rFonts w:ascii="Times New Roman" w:eastAsia="Times New Roman" w:hAnsi="Times New Roman" w:cs="Times New Roman"/>
          <w:b/>
          <w:kern w:val="0"/>
          <w:sz w:val="28"/>
          <w:szCs w:val="28"/>
          <w:lang w:val="uk-UA" w:eastAsia="uk-UA"/>
          <w14:ligatures w14:val="none"/>
        </w:rPr>
        <w:t>Виклад основного матеріалу.</w:t>
      </w:r>
      <w:r w:rsidRPr="00B44B71">
        <w:rPr>
          <w:rFonts w:ascii="Times New Roman" w:eastAsia="Times New Roman" w:hAnsi="Times New Roman" w:cs="Times New Roman"/>
          <w:kern w:val="0"/>
          <w:sz w:val="28"/>
          <w:szCs w:val="28"/>
          <w:lang w:val="uk-UA" w:eastAsia="uk-UA"/>
          <w14:ligatures w14:val="none"/>
        </w:rPr>
        <w:t xml:space="preserve"> На думку Л. Ільчука «Патріотичне почуття українця є емоційним аспектом національнодержавницького світогляду. Вважають, що воно включає почуття належності до своєї держави, повагу до історії свого народу, своєї культури, мови, любов до рідної природи, неприйняття всього антиукраїнського тощо. Найвищою формою патріотизму є почуття, що сягає рівня жертовності, коли для блага Батьківщини людина готова терпіти муки і навіть іти на смерть» [</w:t>
      </w:r>
      <w:r w:rsidRPr="00B44B71">
        <w:rPr>
          <w:rFonts w:ascii="Times New Roman" w:eastAsia="Times New Roman" w:hAnsi="Times New Roman" w:cs="Times New Roman"/>
          <w:kern w:val="0"/>
          <w:sz w:val="28"/>
          <w:szCs w:val="28"/>
          <w:lang w:val="uk-UA" w:eastAsia="uk-UA"/>
          <w14:ligatures w14:val="none"/>
        </w:rPr>
        <w:fldChar w:fldCharType="begin"/>
      </w:r>
      <w:r w:rsidRPr="00B44B71">
        <w:rPr>
          <w:rFonts w:ascii="Times New Roman" w:eastAsia="Times New Roman" w:hAnsi="Times New Roman" w:cs="Times New Roman"/>
          <w:kern w:val="0"/>
          <w:sz w:val="28"/>
          <w:szCs w:val="28"/>
          <w:lang w:val="uk-UA" w:eastAsia="uk-UA"/>
          <w14:ligatures w14:val="none"/>
        </w:rPr>
        <w:instrText xml:space="preserve"> REF _Ref183484534 \r \h  \* MERGEFORMAT </w:instrText>
      </w:r>
      <w:r w:rsidRPr="00B44B71">
        <w:rPr>
          <w:rFonts w:ascii="Times New Roman" w:eastAsia="Times New Roman" w:hAnsi="Times New Roman" w:cs="Times New Roman"/>
          <w:kern w:val="0"/>
          <w:sz w:val="28"/>
          <w:szCs w:val="28"/>
          <w:lang w:val="uk-UA" w:eastAsia="uk-UA"/>
          <w14:ligatures w14:val="none"/>
        </w:rPr>
      </w:r>
      <w:r w:rsidRPr="00B44B71">
        <w:rPr>
          <w:rFonts w:ascii="Times New Roman" w:eastAsia="Times New Roman" w:hAnsi="Times New Roman" w:cs="Times New Roman"/>
          <w:kern w:val="0"/>
          <w:sz w:val="28"/>
          <w:szCs w:val="28"/>
          <w:lang w:val="uk-UA" w:eastAsia="uk-UA"/>
          <w14:ligatures w14:val="none"/>
        </w:rPr>
        <w:fldChar w:fldCharType="separate"/>
      </w:r>
      <w:r w:rsidR="002A5031">
        <w:rPr>
          <w:rFonts w:ascii="Times New Roman" w:eastAsia="Times New Roman" w:hAnsi="Times New Roman" w:cs="Times New Roman"/>
          <w:kern w:val="0"/>
          <w:sz w:val="28"/>
          <w:szCs w:val="28"/>
          <w:lang w:val="uk-UA" w:eastAsia="uk-UA"/>
          <w14:ligatures w14:val="none"/>
        </w:rPr>
        <w:t>6</w:t>
      </w:r>
      <w:r w:rsidRPr="00B44B71">
        <w:rPr>
          <w:rFonts w:ascii="Times New Roman" w:eastAsia="Times New Roman" w:hAnsi="Times New Roman" w:cs="Times New Roman"/>
          <w:kern w:val="0"/>
          <w:sz w:val="28"/>
          <w:szCs w:val="28"/>
          <w:lang w:val="uk-UA" w:eastAsia="uk-UA"/>
          <w14:ligatures w14:val="none"/>
        </w:rPr>
        <w:fldChar w:fldCharType="end"/>
      </w:r>
      <w:r w:rsidRPr="00B44B71">
        <w:rPr>
          <w:rFonts w:ascii="Times New Roman" w:eastAsia="Times New Roman" w:hAnsi="Times New Roman" w:cs="Times New Roman"/>
          <w:kern w:val="0"/>
          <w:sz w:val="28"/>
          <w:szCs w:val="28"/>
          <w:lang w:val="uk-UA" w:eastAsia="uk-UA"/>
          <w14:ligatures w14:val="none"/>
        </w:rPr>
        <w:t>, с. 24].</w:t>
      </w:r>
    </w:p>
    <w:p w14:paraId="43DEC09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 xml:space="preserve">Видатний український просвітник І. Огієнко наголошував, що для національно-патріотичного виховання молодого покоління надзвичайно важливим є пізнання героїчного та драматичного минулого нашого народу. Він підкреслював необхідність глибокого вивчення вітчизняної історії, вважаючи її незнання або зневажливе ставлення до неї рівнозначним неповазі до батьків. На </w:t>
      </w:r>
      <w:r w:rsidRPr="00B44B71">
        <w:rPr>
          <w:rFonts w:ascii="Times New Roman" w:eastAsia="Times New Roman" w:hAnsi="Times New Roman" w:cs="Times New Roman"/>
          <w:kern w:val="0"/>
          <w:sz w:val="28"/>
          <w:szCs w:val="28"/>
          <w:lang w:val="uk-UA"/>
          <w14:ligatures w14:val="none"/>
        </w:rPr>
        <w:lastRenderedPageBreak/>
        <w:t xml:space="preserve">думку мислителя втрата історичної пам’яті неминуче призведе до занепаду всієї нації, адже саме історія становить її фундамент. </w:t>
      </w:r>
    </w:p>
    <w:p w14:paraId="5390324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Український патріотизм як суспільно-політичний і духовний феномен сягає своїм корінням глибини віків, що простежується вже в літописних джерелах княжої доби. Як пише про це Ф. Левітас: «Величні образи наших давніх предків акумулювали в собі силу духу українського народу».Першою визначною пам’яткою України-Русі середини XI століття, що прославляє військову звитягу та державницькі досягнення київських правителів, стало «Слово о законе и благодати» митрополита Іларіона.</w:t>
      </w:r>
    </w:p>
    <w:p w14:paraId="5DE4E50B"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Визначальним історичним документом є «Повість врем’яних літ», де руські князі постають як доблесні захисники рідної землі – цей літописний твір, створений ченцем Нестором становить собою глибокі роздуми про історичний шлях та майбутнє нашого народу. Період написання «Повісті» збігся з розквітом середньовічної культури України-Русі. Особливою символічністю наповнені вступні рядки, де розкривається походження земель Русі-України та її державності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_Ref183484568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11</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Літописець описує велич стольного града Києва, володар якого здійснював візити до Константинополя, де його з почестями приймав візантійський імператор. Хоча довгий час ці контакти вважалися вигадкою, їх достовірність підтверджується грецькими та арабськими історичними джерелами. На той час українська держава перебувала в стані постійного протистояння як з Візантійською імперією (до середини XI ст.), так і з кочовими племенами.</w:t>
      </w:r>
    </w:p>
    <w:p w14:paraId="3133B36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Тому літописець підкреслює важливість створення регулярного війська для захисту Київської держави. Знаковими є слова князя Володимира, записані Нестором: «Сріблом і золотом не знайду собі дружини, а з дружиною добуду срібло і золото, як мій дід і батько»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_Ref183484568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11</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Літописні свідчення наголошують на ключовому значенні єдності та державності Русі-України.</w:t>
      </w:r>
    </w:p>
    <w:p w14:paraId="27758F05"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Зокрема:</w:t>
      </w:r>
    </w:p>
    <w:p w14:paraId="63FC732E"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  літописець неодноразово попереджає про загрози феодальної роздробленості;</w:t>
      </w:r>
    </w:p>
    <w:p w14:paraId="66DB86A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 підкреслюється роль народного ополчення з представників різних соціальних верств у визначальних подіях Київської держави;</w:t>
      </w:r>
    </w:p>
    <w:p w14:paraId="0ECA61F5"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  описується спільна боротьба киян, галичан, чернігівців, переяславців проти кочівників, зокрема вирішальна перемога Ярослава Мудрого над печенігами 1036 року завдяки об’єднаним силам киян і новгородців;</w:t>
      </w:r>
    </w:p>
    <w:p w14:paraId="051CB5F2"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 особлива увага приділяється героїзму простих людей: згадується безіменний юнак, який врятував княгиню Ольгу з онуками від печенігів, та син кожум’яки, котрий допоміг князю Володимиру здолати печенізького велетня.</w:t>
      </w:r>
    </w:p>
    <w:p w14:paraId="397CB265"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Літописанню Київської Русі кінця ХІІ ст. належить «Київський літопис», збагачений філософськими міркуваннями про сенс буття та історичну долю батьківщини. Значну частину цього твору складають військові оповіді, що відображають тогочасні виклики – протистояння навалі кочових племен на українські землі.</w:t>
      </w:r>
    </w:p>
    <w:p w14:paraId="7FD4B05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lastRenderedPageBreak/>
        <w:t>Пізніше ідея служіння Вітчизні втілилася в героїчних постатях козацьких ватажків та гетьманів Криштофа Косинського, Северина Наливайка, Петра Сагайдачного, Богдана Хмельницького, Івана Виговського, Петра Дорошенка, Івана Мазепи та інших. Саме в козацьку епоху сформується чіткий ідеал патріота, борця за волю і віру.</w:t>
      </w:r>
    </w:p>
    <w:p w14:paraId="1D7E102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Важливим етапом становлення українського патріотизму стали козацькі повстання кінця XVI століття. Як документує М. Яворський у дослідженні «Нарис з історії України» (2023), першим потужним виступом стало козацько-селянське повстання 1592 року під проводом гетьмана Криштофа Косинського. Ще масштабнішим виявилося повстання 1595 року на чолі з Северином Наливайком, що змусило шляхту терміново мобілізувати свої сили. Аналізуючи ці виступи, історик зазначає: «Коли придивимося до перших заколотів на Подніпров’ї, що підняла реєстрова козаччина вже в 1592 р. та 1595 р. то побачимо, що в ній, як здається, немає ще ніякого ані політичного, ані економічного програму… ці, на око тільки чисто приватні, інтереси покривджених землевласників – старшин козацьких були зародками класового програму нової верстви….» .</w:t>
      </w:r>
    </w:p>
    <w:p w14:paraId="083DE56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Переломним моментом у формуванні національно-визвольного руху стало повстання 1648 року під керівництвом Богдана Хмельницького, яке заклало підвалини козацької державності з її самобутніми цінностями та пріоритетами. Військові успіхи Б. Хмельницького дозволили Війську Запорозькому розширити свої повноваження – воно почало виступати як військова організація та як представник інтересів усього народу Русі-України, що створило передумови для відокремлення козацької України від Речі Посполитої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_Ref183484612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2</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с. 90].</w:t>
      </w:r>
    </w:p>
    <w:p w14:paraId="4996A6B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Вершиною козацької державності став період гетьманування Івана Мазепи – останній етап, коли Україна зберігала широку автономію. Постать І. Мазепи є знаковою в історії Війська Запорозького – це був державний діяч, який рішуче прагнув звільнити Україну з-під московського впливу. Для гетьмана державницькі інтереси завжди переважали особисті вигоди. Його державотворча концепція базувалася на ідеї незалежності України, розбудові держави за європейським зразком та захисті інтересів усіх верств населення – від козацької старшини до простого люду. Такий підхід свідчить про спрямованість І. Мазепи до конституційно-аристократичного устрою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_Ref183484618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12</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с. 73]. У своєму протистоянні з московським царем гетьман спирався на історичну традицію пріоритету внутрішніх цінностей батьківщини над зовнішнім монаршим правлінням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_Ref183484612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2</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с. 198].</w:t>
      </w:r>
    </w:p>
    <w:p w14:paraId="33859AF6"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XIX – початок ХХ століття стало періодом інтенсивного формування модерної української нації, а разом з тим і нового якісного рівня патріотизму. Він знайшов яскраве відображення у творчості Т. Шевченка, П. Куліша, І. Франка, Лесі Українки, у працях Г. Сковороди, М. Грушевського, М. Міхновського, І. Огієнка та інших.</w:t>
      </w:r>
    </w:p>
    <w:p w14:paraId="27968DD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lastRenderedPageBreak/>
        <w:t>Дослідники української історії (О. Рафальський, Я. Калакура та інші) підкреслюють, що творчість Тараса Шевченка пронизана глибоким патріотизмом та національною свідомістю. У передмові до «Кобзаря» 1847 року поет чітко визначив самобутність українського народу та окреслив шлях культурного розвитку нації, закликаючи не зважати на московські глузування і впевнено розвивати власну ідентичність. Він гостро критикував позицію письменників-малоросів, які ідентифікували себе як «сыны отчизны общей», застерігаючи: «Ось підождіть трошки, тільки дайтеся москалеві запрягти вас в шори та в вбори, а тоді вже, поки світа сонця, він буде вашим погоничем, а ви – поводарі чужого тягла»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_Ref183484631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2</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с. 72], що у контексті сучасного історичного періоду розвитку українського суспільства виступає як передбачення та застереження видатного митця.</w:t>
      </w:r>
    </w:p>
    <w:p w14:paraId="55CCF721"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Як засвідчує В. Яременко у передмові до книги М. Міхновського «Самостійна Україна. Справа української інтелігенції» (1906), його називали Апостолом  української  державної  самостійності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_Ref183484638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7</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с. 6]. Як член Революційної Української Партії (РУП) та очільник Української народної партії (УНП) він уперше в історії української політичної думки сформулював ідеологію державної самостійності та заклав теоретичні засади українського націоналізму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_Ref183484638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7</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с. 2]. У своїх працях М. Міхновський наголошував на необхідності національного визволення від поневолення з боку інших державних утворень, прямо вказує на основного ворога створення української держави та розвитку нації: «Українська нація мусить скинути панування чужинців, бо вони огиджують саму душу нації. Мусить добути собі свободу, хоч би захиталася ціла Росія! Мусить добути своє визволення з рабства національного та політичного…»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_Ref183484638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7</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xml:space="preserve">, с. 27]. </w:t>
      </w:r>
    </w:p>
    <w:p w14:paraId="33318E65"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Мислитель з позиції державотворення та необхідності патріотичної спрямованості українців обґрунтував право українського народу на власну державність: «Ми визнаємо, що наш народ теж перебуває у становищі зрабованої нації. Отже, коли справедливо, що кожна нація з огляду на міжнародні відносини хоче вилитись у форму незалежної, самостійної держави; коли справедливо, що тільки держава одноплемінного національного змісту може дати своїм членам нічим не обмежену змогу всестороннього розвитку… тоді стане зовсім зрозумілим, що державна самостійність єсть головна умова існування нації, а державна незалежність єсть національним ідеалом у сфері міжнаціональних відносин»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_Ref183484638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7</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с. 32].</w:t>
      </w:r>
    </w:p>
    <w:p w14:paraId="0F3097A1"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 xml:space="preserve"> Важливий внесок у розуміння національної самобутності українців зробив Іван Огієнко. У праці «Українська культура» (1918) він переконливо доводив культурну винятковість українського народу: «І який би бік життя ми не взяли, ми скріз побачимо, що народ наш виявляє себе окремим, своєрідним народом, народом з самостійною культурою... А візьмімо духовні вірування нашого народу: скільки тут оригінального, своєрідного, такого, чого не стрінемо у інших народів. Візьміть віру наших сектантів і порівняйте її з вірою московських старовірів: у нас ви побачите високий дух, глибоке релігійне </w:t>
      </w:r>
      <w:r w:rsidRPr="00B44B71">
        <w:rPr>
          <w:rFonts w:ascii="Times New Roman" w:eastAsia="Times New Roman" w:hAnsi="Times New Roman" w:cs="Times New Roman"/>
          <w:kern w:val="0"/>
          <w:sz w:val="28"/>
          <w:szCs w:val="28"/>
          <w:lang w:val="uk-UA"/>
          <w14:ligatures w14:val="none"/>
        </w:rPr>
        <w:lastRenderedPageBreak/>
        <w:t>почуття, болюче шукання правди Божої, тоді як у старовірів перше над все панує буква і обряд»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_Ref183484664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8</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с. 21-22].</w:t>
      </w:r>
    </w:p>
    <w:p w14:paraId="5635B44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Свій погляд на еволюцію українського національного руху пропонує американський історик українського походження Пол Магочі. Він поділяє націоналізм на два типи: інтелігентський та державний. Оскільки українці тривалий час були бездержавною нацією, у них розвинувся перший тип. Дослідник в тому числі виокремлює три періоди розвитку націоналістичної доктрини: формування історичної концепції (1780-1840), організаційне становлення (1840-1900) та розбудова політичної платформи (1900-1917)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_Ref183484631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2</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с. 86].</w:t>
      </w:r>
    </w:p>
    <w:p w14:paraId="6552223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Теоретичні засади українського націоналізму розробляли видатні мислителі: Дмитро Донцов (відомий як Дм. Закопанець) сформулював засади радикального націоналізму, В’ячеслав Липинський розмежував конструктивний державотворчий та деструктивний державоруйнівний націоналізм, Микола Міхновський першим втілив націоналістичні ідеї у практичну політичну діяльність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_Ref183484631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2</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с. 156-157]. Найпотужнішою силою національно-визвольного руху стала Організація українських націоналістів-революціонерів (ОУН(б)) під проводом Степана Бандери.</w:t>
      </w:r>
    </w:p>
    <w:p w14:paraId="1AF7A60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Важливим етапом у вимірі державотворення та становленні українських національних збройних сил стало створення Карпатської України (КУ) та героїчний спротив Карпатської Січі (КС) угорській окупації в березні 1939 року, коли ці події переконливо довели необхідність формування власного національного війська для захисту державності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_Ref183484717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4</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с. 33]. Новий етап військового будівництва розпочався у 1942-1944 роках, коли в умовах нацистської окупації та протистояння імперським амбіціям радянської влади, керівництво ОУН(б) ініціювало створення національних військових підрозділів у структурі УПА. Організація такого формування мала за мету не лише виконання бойових завдань, а в тому числі створення центрів військово-патріотичного виховання молоді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_Ref183484717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4</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xml:space="preserve">, с. 38;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_Ref183484727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10</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с. 3].</w:t>
      </w:r>
    </w:p>
    <w:p w14:paraId="29A9DCD3"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Становлення УПА як повноцінної військової структури завершилося весною 1943 року. Назва «Українська Повстанська Армія», запозичена від отамана Бульби, стала символом національно-визвольної боротьби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_Ref183484734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9</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с. 11]. Головнокомандувач УПА Роман Шухевич (псевдонім Тарас Чупринка) чітко визначив стратегічну мету збройних сил: «український визвольний рух, шукаючи нових шляхів, прямував, як і прямує завжди, до однієї й тієї самої мети – до побудови Української Самостійної Соборної Держави»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_Ref183484717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4</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с. 43].</w:t>
      </w:r>
    </w:p>
    <w:p w14:paraId="7489428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 xml:space="preserve">Однак здобуття незалежності не означало автоматичного розв’язання усіх проблем. Молода держава зіштовхнулася з численними викликами – економічною кризою, гіперінфляцією, занепадом промисловості, соціальною напругою. На цьому тлі російська пропаганда активізувала зусилля з дискредитації української історії, мови, культури, насадження комплексу меншовартості. Проте російські плани наштовхнулися на потужний спротив українського суспільства, небачене досі піднесення патріотизму. Революція </w:t>
      </w:r>
      <w:r w:rsidRPr="00B44B71">
        <w:rPr>
          <w:rFonts w:ascii="Times New Roman" w:eastAsia="Times New Roman" w:hAnsi="Times New Roman" w:cs="Times New Roman"/>
          <w:kern w:val="0"/>
          <w:sz w:val="28"/>
          <w:szCs w:val="28"/>
          <w:lang w:val="uk-UA"/>
          <w14:ligatures w14:val="none"/>
        </w:rPr>
        <w:lastRenderedPageBreak/>
        <w:t xml:space="preserve">Гідності, добровольчий і волонтерський рух, масова підтримка армії продемонстрували міцність духовних основ нації. </w:t>
      </w:r>
    </w:p>
    <w:p w14:paraId="50CAE207"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Дослідник Л. Ільчук визначає громадянське суспільство як основне джерело та рушійну силу сучасного українського патріотизму. Найяскравіше це проявилося під час Революції Гідності та на початку російської агресії на Сході України, коли патріотичний дух досяг безпрецедентного рівня. Саме представники громадянського суспільства першими стали до лав добровольчих формувань, відіграючи вирішальну роль у захисті держави. Водночас важливо розуміти, як зазначає Л. Ільчук: справжній патріотизм полягає не в ідеалізації свого народу, а в чесному визнанні та мужньому подоланні його слабкостей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_Ref183484534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6</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с. 26].</w:t>
      </w:r>
    </w:p>
    <w:p w14:paraId="124E196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Важливий прояв такого патріотизму стався вже 14 березня 2014 року, коли півтисячі добровольців з лав самооборони Майдану об’єдналися в перший Добровольчий батальйон, присягнувши на вірність українському народу. Згодом сформувалися інші добровольчі формування, такі, як Добровольчий український корпус «Правий сектор» та батальйон ОУН, які налагодили ефективну співпрацю з силовими структурами – Міністерством оборони та МВС. Саме ці добровольчі підрозділи на Східному фронті стали предтечею сучасної системи територіальної оборони України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_Ref183484758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1</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с. 236].</w:t>
      </w:r>
    </w:p>
    <w:p w14:paraId="5931961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Кульмінацією стала</w:t>
      </w:r>
      <w:r w:rsidRPr="00B44B71">
        <w:rPr>
          <w:rFonts w:ascii="Times New Roman" w:eastAsia="Times New Roman" w:hAnsi="Times New Roman" w:cs="Times New Roman"/>
          <w:color w:val="FF0000"/>
          <w:kern w:val="0"/>
          <w:sz w:val="28"/>
          <w:szCs w:val="28"/>
          <w:lang w:val="uk-UA"/>
          <w14:ligatures w14:val="none"/>
        </w:rPr>
        <w:t xml:space="preserve"> </w:t>
      </w:r>
      <w:r w:rsidRPr="00B44B71">
        <w:rPr>
          <w:rFonts w:ascii="Times New Roman" w:eastAsia="Times New Roman" w:hAnsi="Times New Roman" w:cs="Times New Roman"/>
          <w:kern w:val="0"/>
          <w:sz w:val="28"/>
          <w:szCs w:val="28"/>
          <w:lang w:val="uk-UA"/>
          <w14:ligatures w14:val="none"/>
        </w:rPr>
        <w:t>окупація частини Донбасу 2014 року – інформаційно-психологічна війна поєдналася із зовнішньою агресією, покликаною зруйнувати українську ідентичність зсередини. Тоді безпрецедентна самопожертва Героїв Небесної Сотні, «кіборгів» Донецького аеропорту, захисників Маріуполя, Херсонщини, Харківщини стала сучасним втіленням одвічних патріотичних цінностей українців.</w:t>
      </w:r>
      <w:r w:rsidRPr="00B44B71">
        <w:rPr>
          <w:rFonts w:ascii="Calibri" w:eastAsia="Times New Roman" w:hAnsi="Calibri" w:cs="Times New Roman"/>
          <w:kern w:val="0"/>
          <w:lang w:val="uk-UA"/>
          <w14:ligatures w14:val="none"/>
        </w:rPr>
        <w:t xml:space="preserve"> </w:t>
      </w:r>
      <w:r w:rsidRPr="00B44B71">
        <w:rPr>
          <w:rFonts w:ascii="Times New Roman" w:eastAsia="Times New Roman" w:hAnsi="Times New Roman" w:cs="Times New Roman"/>
          <w:kern w:val="0"/>
          <w:sz w:val="28"/>
          <w:szCs w:val="28"/>
          <w:lang w:val="uk-UA"/>
          <w14:ligatures w14:val="none"/>
        </w:rPr>
        <w:t>Тисячі українців, серед яких і зовсім юні, віддали життя за свободу і незалежність Батьківщини.</w:t>
      </w:r>
    </w:p>
    <w:p w14:paraId="5E575B4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eastAsia="uk-UA"/>
          <w14:ligatures w14:val="none"/>
        </w:rPr>
      </w:pPr>
      <w:r w:rsidRPr="00B44B71">
        <w:rPr>
          <w:rFonts w:ascii="Times New Roman" w:eastAsia="Times New Roman" w:hAnsi="Times New Roman" w:cs="Times New Roman"/>
          <w:kern w:val="0"/>
          <w:sz w:val="28"/>
          <w:szCs w:val="28"/>
          <w:lang w:val="uk-UA" w:eastAsia="uk-UA"/>
          <w14:ligatures w14:val="none"/>
        </w:rPr>
        <w:t xml:space="preserve">   Одним із них був Олександр Мацієвський солдат 119 бригади ТрО який продемонстрував, що навіть без зброї, за крок до смерті, український воїн залишається вільним і вірним своїй державі. 12 березня 2023 року Президент України Володимир Зеленський присвоїв Олександру Мацієвському звання Героя України.</w:t>
      </w:r>
      <w:r w:rsidRPr="00B44B71">
        <w:rPr>
          <w:rFonts w:ascii="Times New Roman" w:eastAsia="Times New Roman" w:hAnsi="Times New Roman" w:cs="Times New Roman"/>
          <w:b/>
          <w:bCs/>
          <w:kern w:val="0"/>
          <w:sz w:val="28"/>
          <w:szCs w:val="28"/>
          <w:lang w:val="uk-UA" w:eastAsia="uk-UA"/>
          <w14:ligatures w14:val="none"/>
        </w:rPr>
        <w:t xml:space="preserve"> </w:t>
      </w:r>
      <w:r w:rsidRPr="00B44B71">
        <w:rPr>
          <w:rFonts w:ascii="Times New Roman" w:eastAsia="Times New Roman" w:hAnsi="Times New Roman" w:cs="Times New Roman"/>
          <w:kern w:val="0"/>
          <w:sz w:val="28"/>
          <w:szCs w:val="28"/>
          <w:lang w:val="uk-UA" w:eastAsia="uk-UA"/>
          <w14:ligatures w14:val="none"/>
        </w:rPr>
        <w:t>У багатьох містах України з'явилися мурали з його зображенням, а в Києві на території заповідника "Київська фортеця" та в Тбілісі (Грузія) встановлено пам'ятники на його честі.</w:t>
      </w:r>
    </w:p>
    <w:p w14:paraId="5856713D"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Повномасштабне російське вторгнення продемонструвало виняткову здатність українського суспільства до самоорганізації, найяскравішим проявом якої став потужний добровольчий та волонтерський рух. В умовах екзистенційної загрози незалежності, територіальній цілісності та демократичному розвитку України саме громадянська активність та суспільна консолідація стали ключовими факторами протистояння викликам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_Ref183484758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1</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с. 240].</w:t>
      </w:r>
    </w:p>
    <w:p w14:paraId="074309F4"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 xml:space="preserve">В умовах сучасної російсько-української війни Збройні Сили України виступають незламним щитом нашої нації. Попри значну перевагу противника в матеріальних та військових ресурсах українські воїни виявляють виняткову хоробрість і самопожертву, спираючись на героїчні традиції попередніх </w:t>
      </w:r>
      <w:r w:rsidRPr="00B44B71">
        <w:rPr>
          <w:rFonts w:ascii="Times New Roman" w:eastAsia="Times New Roman" w:hAnsi="Times New Roman" w:cs="Times New Roman"/>
          <w:kern w:val="0"/>
          <w:sz w:val="28"/>
          <w:szCs w:val="28"/>
          <w:lang w:val="uk-UA"/>
          <w14:ligatures w14:val="none"/>
        </w:rPr>
        <w:lastRenderedPageBreak/>
        <w:t>поколінь борців за незалежність. Свідченням глибини патріотичних почуттів українського народу є відродження історичних гасел визвольного руху УПА та ОУН. Бойові заклики «Слава Україні!» – «Героям Слава!», «Слава Нації!» – «Смерть ворогам!» набули широкого вжитку як у військовому середовищі, так і в цивільному житті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_Ref183484770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5</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с. 46].</w:t>
      </w:r>
    </w:p>
    <w:p w14:paraId="31E1927C"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Потрібно наголосити, що в авангарді боротьби за незалежність та суверенітет нашої держави сьогодні стоїть молоде покоління українських воїнів, загартованих і вмотивованих. Чимало з них пройшли вишкіл у військових закладах освіти. Саме там, в освітньо-культурному середовищі, загальні принципи патріотизму трансформуються в конкретні професійні компетентності, ціннісні орієнтири, поведінкові установки.</w:t>
      </w:r>
    </w:p>
    <w:p w14:paraId="35BD6568"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Пояснення цих процесів знаходимо у концепціях сучасних українських науковців. Досліджуючи природу національної ідеї Я. Дубов пропонує розглядати її як національно-державницький феномен, що розвивається за чіткою еволюційною послідовністю: від етносу через націю до держави (етату). Згідно з цією концепцією, етнічна спільнота еволюціонує в націю, яка потім створює власну державу. Таке розуміння дозволяє трактувати національну ідею як концентрований вияв патріотичного чинника в житті народу, де патріотизм виступає об’єднавчою силою на всіх етапах цієї еволюції. У цьому контексті національна ідея постає комплексним соціально-політичним, морально-етичним та психологічним явищем, що формує національний менталітет, живить патріотичні почуття та забезпечує єдність нації у її прагненні до державного самоствердження [</w:t>
      </w:r>
      <w:r w:rsidRPr="00B44B71">
        <w:rPr>
          <w:rFonts w:ascii="Times New Roman" w:eastAsia="Times New Roman" w:hAnsi="Times New Roman" w:cs="Times New Roman"/>
          <w:kern w:val="0"/>
          <w:sz w:val="28"/>
          <w:szCs w:val="28"/>
          <w:lang w:val="uk-UA"/>
          <w14:ligatures w14:val="none"/>
        </w:rPr>
        <w:fldChar w:fldCharType="begin"/>
      </w:r>
      <w:r w:rsidRPr="00B44B71">
        <w:rPr>
          <w:rFonts w:ascii="Times New Roman" w:eastAsia="Times New Roman" w:hAnsi="Times New Roman" w:cs="Times New Roman"/>
          <w:kern w:val="0"/>
          <w:sz w:val="28"/>
          <w:szCs w:val="28"/>
          <w:lang w:val="uk-UA"/>
          <w14:ligatures w14:val="none"/>
        </w:rPr>
        <w:instrText xml:space="preserve"> REF _Ref183484770 \r \h  \* MERGEFORMAT </w:instrText>
      </w:r>
      <w:r w:rsidRPr="00B44B71">
        <w:rPr>
          <w:rFonts w:ascii="Times New Roman" w:eastAsia="Times New Roman" w:hAnsi="Times New Roman" w:cs="Times New Roman"/>
          <w:kern w:val="0"/>
          <w:sz w:val="28"/>
          <w:szCs w:val="28"/>
          <w:lang w:val="uk-UA"/>
          <w14:ligatures w14:val="none"/>
        </w:rPr>
      </w:r>
      <w:r w:rsidRPr="00B44B71">
        <w:rPr>
          <w:rFonts w:ascii="Times New Roman" w:eastAsia="Times New Roman" w:hAnsi="Times New Roman" w:cs="Times New Roman"/>
          <w:kern w:val="0"/>
          <w:sz w:val="28"/>
          <w:szCs w:val="28"/>
          <w:lang w:val="uk-UA"/>
          <w14:ligatures w14:val="none"/>
        </w:rPr>
        <w:fldChar w:fldCharType="separate"/>
      </w:r>
      <w:r w:rsidR="002A5031">
        <w:rPr>
          <w:rFonts w:ascii="Times New Roman" w:eastAsia="Times New Roman" w:hAnsi="Times New Roman" w:cs="Times New Roman"/>
          <w:kern w:val="0"/>
          <w:sz w:val="28"/>
          <w:szCs w:val="28"/>
          <w:lang w:val="uk-UA"/>
          <w14:ligatures w14:val="none"/>
        </w:rPr>
        <w:t>5</w:t>
      </w:r>
      <w:r w:rsidRPr="00B44B71">
        <w:rPr>
          <w:rFonts w:ascii="Times New Roman" w:eastAsia="Times New Roman" w:hAnsi="Times New Roman" w:cs="Times New Roman"/>
          <w:kern w:val="0"/>
          <w:sz w:val="28"/>
          <w:szCs w:val="28"/>
          <w:lang w:val="uk-UA"/>
          <w14:ligatures w14:val="none"/>
        </w:rPr>
        <w:fldChar w:fldCharType="end"/>
      </w:r>
      <w:r w:rsidRPr="00B44B71">
        <w:rPr>
          <w:rFonts w:ascii="Times New Roman" w:eastAsia="Times New Roman" w:hAnsi="Times New Roman" w:cs="Times New Roman"/>
          <w:kern w:val="0"/>
          <w:sz w:val="28"/>
          <w:szCs w:val="28"/>
          <w:lang w:val="uk-UA"/>
          <w14:ligatures w14:val="none"/>
        </w:rPr>
        <w:t>, с. 46-47].</w:t>
      </w:r>
    </w:p>
    <w:p w14:paraId="3DE80FC3"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b/>
          <w:kern w:val="0"/>
          <w:sz w:val="28"/>
          <w:szCs w:val="28"/>
          <w:lang w:val="uk-UA"/>
          <w14:ligatures w14:val="none"/>
        </w:rPr>
        <w:t>Висновки та перспективи подальших досліджень.</w:t>
      </w:r>
      <w:r w:rsidRPr="00B44B71">
        <w:rPr>
          <w:rFonts w:ascii="Times New Roman" w:eastAsia="Times New Roman" w:hAnsi="Times New Roman" w:cs="Times New Roman"/>
          <w:kern w:val="0"/>
          <w:sz w:val="28"/>
          <w:szCs w:val="28"/>
          <w:lang w:val="uk-UA"/>
          <w14:ligatures w14:val="none"/>
        </w:rPr>
        <w:t xml:space="preserve"> Отже, проведене дослідження історичних джерел з питань розвитку національної ідеї та патріотизму засвідчує їх глибоке вкорінення в українській історії від часів Київської Русі через козацьку добу до національно-визвольних змагань XX століття. Особливої трансформації патріотичні ідеї зазнали у XIX - на початку XX століття, еволюціонувавши від етнокультурної до політичної форми завдяки діяльності української інтелігенції, громадських організацій та політичних партій. Визвольні змагання 1917-1921 років, діяльність ОУН-УПА, дисидентський рух засвідчили незламність патріотичного духу українського народу. В умовах російського вторгнення 2022 року український патріотизм набув екзистенційного значення – воєнні злочини ворога та спроби знищення української ідентичності не зламали, а максимально загартували націю. </w:t>
      </w:r>
    </w:p>
    <w:p w14:paraId="0AB18289"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r w:rsidRPr="00B44B71">
        <w:rPr>
          <w:rFonts w:ascii="Times New Roman" w:eastAsia="Times New Roman" w:hAnsi="Times New Roman" w:cs="Times New Roman"/>
          <w:kern w:val="0"/>
          <w:sz w:val="28"/>
          <w:szCs w:val="28"/>
          <w:lang w:val="uk-UA"/>
          <w14:ligatures w14:val="none"/>
        </w:rPr>
        <w:t xml:space="preserve">Подальші перспективи дослідження вбачаються у вивченні особливостей формування патріотичної свідомості у різних соціальних групах, зокрема у середовищі сучасної молоді. Знання історичних джерел і розуміння природи українського патріотизму має надзвичайно важливе значення для виховання нового покоління українців – саме молоді люди забезпечують неперервність і спадкоємність державотворення. Актуальним напрямом залишається дослідження трансформації форм і проявів патріотизму в умовах російсько-української війни, аналіз його впливу на процеси консолідації суспільства та </w:t>
      </w:r>
      <w:r w:rsidRPr="00B44B71">
        <w:rPr>
          <w:rFonts w:ascii="Times New Roman" w:eastAsia="Times New Roman" w:hAnsi="Times New Roman" w:cs="Times New Roman"/>
          <w:kern w:val="0"/>
          <w:sz w:val="28"/>
          <w:szCs w:val="28"/>
          <w:lang w:val="uk-UA"/>
          <w14:ligatures w14:val="none"/>
        </w:rPr>
        <w:lastRenderedPageBreak/>
        <w:t>зміцнення національної ідентичності. Особливої уваги потребує вивчення механізмів патріотичного виховання в системі військової освіти з урахуванням історичного досвіду та сучасних викликів.</w:t>
      </w:r>
    </w:p>
    <w:p w14:paraId="56E97B50" w14:textId="77777777" w:rsidR="00B44B71" w:rsidRPr="00B44B71" w:rsidRDefault="00B44B71" w:rsidP="00023291">
      <w:pPr>
        <w:tabs>
          <w:tab w:val="left" w:pos="9638"/>
        </w:tabs>
        <w:spacing w:after="0" w:line="240" w:lineRule="auto"/>
        <w:ind w:firstLine="709"/>
        <w:jc w:val="both"/>
        <w:rPr>
          <w:rFonts w:ascii="Times New Roman" w:eastAsia="Times New Roman" w:hAnsi="Times New Roman" w:cs="Times New Roman"/>
          <w:kern w:val="0"/>
          <w:sz w:val="28"/>
          <w:szCs w:val="28"/>
          <w:lang w:val="uk-UA"/>
          <w14:ligatures w14:val="none"/>
        </w:rPr>
      </w:pPr>
    </w:p>
    <w:p w14:paraId="562C9915"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b/>
          <w:kern w:val="0"/>
          <w:sz w:val="24"/>
          <w:szCs w:val="24"/>
          <w:lang w:val="uk-UA"/>
          <w14:ligatures w14:val="none"/>
        </w:rPr>
      </w:pPr>
      <w:r w:rsidRPr="00B44B71">
        <w:rPr>
          <w:rFonts w:ascii="Times New Roman" w:eastAsia="Times New Roman" w:hAnsi="Times New Roman" w:cs="Times New Roman"/>
          <w:b/>
          <w:kern w:val="0"/>
          <w:sz w:val="24"/>
          <w:szCs w:val="24"/>
          <w:lang w:val="uk-UA"/>
          <w14:ligatures w14:val="none"/>
        </w:rPr>
        <w:t>ЛІТЕРАТУРА</w:t>
      </w:r>
    </w:p>
    <w:p w14:paraId="07F99F7C" w14:textId="77777777" w:rsidR="00B44B71" w:rsidRPr="00B44B71" w:rsidRDefault="00B44B71" w:rsidP="00E967C0">
      <w:pPr>
        <w:numPr>
          <w:ilvl w:val="0"/>
          <w:numId w:val="3"/>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lang w:val="uk-UA"/>
          <w14:ligatures w14:val="none"/>
        </w:rPr>
      </w:pPr>
      <w:bookmarkStart w:id="45" w:name="_Ref183484758"/>
      <w:r w:rsidRPr="00B44B71">
        <w:rPr>
          <w:rFonts w:ascii="Times New Roman" w:eastAsia="Times New Roman" w:hAnsi="Times New Roman" w:cs="Times New Roman"/>
          <w:kern w:val="0"/>
          <w:sz w:val="24"/>
          <w:szCs w:val="24"/>
          <w:lang w:val="uk-UA"/>
          <w14:ligatures w14:val="none"/>
        </w:rPr>
        <w:t>Адаптивні зміни політичного поля України в умовах війни : монографія / за ред. О. О. Рафальського, О. М. Майбороди. Київ : ІПіЕнД ім. І. Ф. Кураса НАН України, 2023. 672 с. URL: https://ipiend.gov.ua/wp-content/uploads/2021/01/Adaptyvni-zminy_monohraf_2023.pdf (дата звернення: 20.11.2024).</w:t>
      </w:r>
      <w:bookmarkEnd w:id="45"/>
    </w:p>
    <w:p w14:paraId="0E681E42" w14:textId="77777777" w:rsidR="00B44B71" w:rsidRPr="00B44B71" w:rsidRDefault="00B44B71" w:rsidP="00E967C0">
      <w:pPr>
        <w:numPr>
          <w:ilvl w:val="0"/>
          <w:numId w:val="3"/>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lang w:val="uk-UA"/>
          <w14:ligatures w14:val="none"/>
        </w:rPr>
      </w:pPr>
      <w:bookmarkStart w:id="46" w:name="_Ref183484631"/>
      <w:r w:rsidRPr="00B44B71">
        <w:rPr>
          <w:rFonts w:ascii="Times New Roman" w:eastAsia="Times New Roman" w:hAnsi="Times New Roman" w:cs="Times New Roman"/>
          <w:kern w:val="0"/>
          <w:sz w:val="24"/>
          <w:szCs w:val="24"/>
          <w:lang w:val="uk-UA"/>
          <w14:ligatures w14:val="none"/>
        </w:rPr>
        <w:t>Антропологічний код української культури і цивілізації (у двох книгах) / О. О. Рафальський (керівник авторського колективу), Я. С. Калакура, В. П. Коцур, М. Ф. Юрій (науковий редактор). Київ: ІПіЕНД ім. І. Ф. Кураса НАН України, 2020. Книга 2. 536 с. URL: https://ipiend.gov.ua/wp-content/uploads/2020/10/antropolohichnyi_kod_book2.pdf (дата звернення: 25.11.2024).</w:t>
      </w:r>
      <w:bookmarkStart w:id="47" w:name="_Ref183484612"/>
      <w:bookmarkEnd w:id="46"/>
    </w:p>
    <w:p w14:paraId="4B5D8505" w14:textId="77777777" w:rsidR="00B44B71" w:rsidRPr="00B44B71" w:rsidRDefault="00B44B71" w:rsidP="00E967C0">
      <w:pPr>
        <w:numPr>
          <w:ilvl w:val="0"/>
          <w:numId w:val="3"/>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kern w:val="0"/>
          <w:sz w:val="24"/>
          <w:szCs w:val="24"/>
          <w:lang w:val="uk-UA"/>
          <w14:ligatures w14:val="none"/>
        </w:rPr>
        <w:t>Багро С.О. Поняття вітчизни в козацькій політичній риториці (друга половина ХVII – початок XVIII ст.): дис. ... канд. істор. наук. 07.00.01. Київський університет імені Бориса Грінченка. Київ, 2019. 228 с.</w:t>
      </w:r>
      <w:bookmarkEnd w:id="47"/>
    </w:p>
    <w:p w14:paraId="5DC4EFC0" w14:textId="77777777" w:rsidR="00B44B71" w:rsidRPr="00B44B71" w:rsidRDefault="00B44B71" w:rsidP="00E967C0">
      <w:pPr>
        <w:numPr>
          <w:ilvl w:val="0"/>
          <w:numId w:val="3"/>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lang w:val="uk-UA"/>
          <w14:ligatures w14:val="none"/>
        </w:rPr>
      </w:pPr>
      <w:bookmarkStart w:id="48" w:name="_Ref183484717"/>
      <w:r w:rsidRPr="00B44B71">
        <w:rPr>
          <w:rFonts w:ascii="Times New Roman" w:eastAsia="Times New Roman" w:hAnsi="Times New Roman" w:cs="Times New Roman"/>
          <w:kern w:val="0"/>
          <w:sz w:val="24"/>
          <w:szCs w:val="24"/>
          <w:lang w:val="uk-UA"/>
          <w14:ligatures w14:val="none"/>
        </w:rPr>
        <w:t xml:space="preserve">Дрогобицький І.І. Військо як запорука державності: особливості мілітарної концепції ОУН (б) напередодні нацистсько-радянського зіткнення. С. 32-47. URL: </w:t>
      </w:r>
      <w:hyperlink r:id="rId387" w:history="1">
        <w:r w:rsidRPr="00B44B71">
          <w:rPr>
            <w:rFonts w:ascii="Times New Roman" w:eastAsia="Times New Roman" w:hAnsi="Times New Roman" w:cs="Times New Roman"/>
            <w:kern w:val="0"/>
            <w:sz w:val="24"/>
            <w:szCs w:val="24"/>
            <w:u w:val="single"/>
            <w:shd w:val="clear" w:color="auto" w:fill="FFFFFF"/>
            <w:lang w:val="uk-UA"/>
            <w14:ligatures w14:val="none"/>
          </w:rPr>
          <w:t>https://doi.org/10.33577/2313-5603.40.2023.32-47</w:t>
        </w:r>
      </w:hyperlink>
      <w:r w:rsidRPr="00B44B71">
        <w:rPr>
          <w:rFonts w:ascii="Times New Roman" w:eastAsia="Times New Roman" w:hAnsi="Times New Roman" w:cs="Times New Roman"/>
          <w:kern w:val="0"/>
          <w:sz w:val="24"/>
          <w:szCs w:val="24"/>
          <w:lang w:val="uk-UA"/>
          <w14:ligatures w14:val="none"/>
        </w:rPr>
        <w:t xml:space="preserve"> (дата звернення: 20.11.2024).</w:t>
      </w:r>
      <w:bookmarkEnd w:id="48"/>
    </w:p>
    <w:p w14:paraId="672E77E8" w14:textId="77777777" w:rsidR="00B44B71" w:rsidRPr="00B44B71" w:rsidRDefault="00B44B71" w:rsidP="00E967C0">
      <w:pPr>
        <w:numPr>
          <w:ilvl w:val="0"/>
          <w:numId w:val="3"/>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lang w:val="uk-UA"/>
          <w14:ligatures w14:val="none"/>
        </w:rPr>
      </w:pPr>
      <w:bookmarkStart w:id="49" w:name="_Ref183484770"/>
      <w:r w:rsidRPr="00B44B71">
        <w:rPr>
          <w:rFonts w:ascii="Times New Roman" w:eastAsia="Times New Roman" w:hAnsi="Times New Roman" w:cs="Times New Roman"/>
          <w:kern w:val="0"/>
          <w:sz w:val="24"/>
          <w:szCs w:val="24"/>
          <w:lang w:val="uk-UA"/>
          <w14:ligatures w14:val="none"/>
        </w:rPr>
        <w:t>Дубров Я. О. Суспільно-резонансні феномени в Україні та їх експлікація в контексті патріотизму</w:t>
      </w:r>
      <w:r w:rsidRPr="00B44B71">
        <w:rPr>
          <w:rFonts w:ascii="Times New Roman" w:eastAsia="Times New Roman" w:hAnsi="Times New Roman" w:cs="Times New Roman"/>
          <w:i/>
          <w:kern w:val="0"/>
          <w:sz w:val="24"/>
          <w:szCs w:val="24"/>
          <w:lang w:val="uk-UA"/>
          <w14:ligatures w14:val="none"/>
        </w:rPr>
        <w:t>. Патріотизм у системі сучасних суспільних цінностей</w:t>
      </w:r>
      <w:r w:rsidRPr="00B44B71">
        <w:rPr>
          <w:rFonts w:ascii="Times New Roman" w:eastAsia="Times New Roman" w:hAnsi="Times New Roman" w:cs="Times New Roman"/>
          <w:kern w:val="0"/>
          <w:sz w:val="24"/>
          <w:szCs w:val="24"/>
          <w:lang w:val="uk-UA"/>
          <w14:ligatures w14:val="none"/>
        </w:rPr>
        <w:t xml:space="preserve"> : матеріали ХV науково-практичної конференції. Київ : ВНЗ «Національна академія управління», 2016. С. 46-48. URL: http://ipzn.org.ua/wp-content/uploads/2016/01/Materialy-XV-naukovo-praktychnoyi-konferentsiyi-14-travnya-2015-roku.pdf (дата звернення: 21.11.2024).</w:t>
      </w:r>
      <w:bookmarkEnd w:id="49"/>
    </w:p>
    <w:p w14:paraId="7CBAF357" w14:textId="77777777" w:rsidR="00B44B71" w:rsidRPr="00B44B71" w:rsidRDefault="00B44B71" w:rsidP="00E967C0">
      <w:pPr>
        <w:numPr>
          <w:ilvl w:val="0"/>
          <w:numId w:val="3"/>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lang w:val="uk-UA"/>
          <w14:ligatures w14:val="none"/>
        </w:rPr>
      </w:pPr>
      <w:bookmarkStart w:id="50" w:name="_Ref183484534"/>
      <w:r w:rsidRPr="00B44B71">
        <w:rPr>
          <w:rFonts w:ascii="Times New Roman" w:eastAsia="Times New Roman" w:hAnsi="Times New Roman" w:cs="Times New Roman"/>
          <w:kern w:val="0"/>
          <w:sz w:val="24"/>
          <w:szCs w:val="24"/>
          <w:lang w:val="uk-UA"/>
          <w14:ligatures w14:val="none"/>
        </w:rPr>
        <w:t xml:space="preserve">Ільчук Л. І. Громадянське суспільство у патріотичному вимірі. </w:t>
      </w:r>
      <w:r w:rsidRPr="00B44B71">
        <w:rPr>
          <w:rFonts w:ascii="Times New Roman" w:eastAsia="Times New Roman" w:hAnsi="Times New Roman" w:cs="Times New Roman"/>
          <w:i/>
          <w:kern w:val="0"/>
          <w:sz w:val="24"/>
          <w:szCs w:val="24"/>
          <w:lang w:val="uk-UA"/>
          <w14:ligatures w14:val="none"/>
        </w:rPr>
        <w:t>Патріотизм у системі сучасних суспільних цінностей</w:t>
      </w:r>
      <w:r w:rsidRPr="00B44B71">
        <w:rPr>
          <w:rFonts w:ascii="Times New Roman" w:eastAsia="Times New Roman" w:hAnsi="Times New Roman" w:cs="Times New Roman"/>
          <w:kern w:val="0"/>
          <w:sz w:val="24"/>
          <w:szCs w:val="24"/>
          <w:lang w:val="uk-UA"/>
          <w14:ligatures w14:val="none"/>
        </w:rPr>
        <w:t xml:space="preserve"> : матеріали ХV науково-практичної конференції. Київ : ВНЗ «Національна академія управління», 2016. С. 24-28. URL: http://ipzn.org.ua/wp-content/uploads/2016/01/Materialy-XV-naukovo-praktychnoyi-konferentsiyi-14-travnya-2015-roku.pdf (дата звернення: 25.11.2024).</w:t>
      </w:r>
      <w:bookmarkEnd w:id="50"/>
    </w:p>
    <w:p w14:paraId="2B165EAC" w14:textId="77777777" w:rsidR="00B44B71" w:rsidRPr="00B44B71" w:rsidRDefault="00B44B71" w:rsidP="00E967C0">
      <w:pPr>
        <w:numPr>
          <w:ilvl w:val="0"/>
          <w:numId w:val="3"/>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lang w:val="uk-UA"/>
          <w14:ligatures w14:val="none"/>
        </w:rPr>
      </w:pPr>
      <w:bookmarkStart w:id="51" w:name="_Ref183484638"/>
      <w:r w:rsidRPr="00B44B71">
        <w:rPr>
          <w:rFonts w:ascii="Times New Roman" w:eastAsia="Times New Roman" w:hAnsi="Times New Roman" w:cs="Times New Roman"/>
          <w:kern w:val="0"/>
          <w:sz w:val="24"/>
          <w:szCs w:val="24"/>
          <w:lang w:val="uk-UA"/>
          <w14:ligatures w14:val="none"/>
        </w:rPr>
        <w:t>Міхновський М. Самостійна Україна. Справа української інтелігенції / упоряд., передм. В. Я. Яременко. Київ: МАУП, 2007. 349 с. URL: https://irbis-nbuv.gov.ua/cgi-bin/ua/elib.exe?Z21ID=&amp;I21DBN=UKRLIB&amp;P21DBN=UKRLIB&amp;S21STN=1&amp;S21REF=10&amp;S21FMT=online_book&amp;C21COM=S&amp;S21CNR=20&amp;S21P01=0&amp;S21P02=0&amp;S21P03=FF=&amp;S21STR=ukr0003544 (дата звернення: 21.11.2024).</w:t>
      </w:r>
      <w:bookmarkEnd w:id="51"/>
    </w:p>
    <w:p w14:paraId="143AAEF3" w14:textId="77777777" w:rsidR="00B44B71" w:rsidRPr="00B44B71" w:rsidRDefault="00B44B71" w:rsidP="00E967C0">
      <w:pPr>
        <w:numPr>
          <w:ilvl w:val="0"/>
          <w:numId w:val="3"/>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lang w:val="uk-UA"/>
          <w14:ligatures w14:val="none"/>
        </w:rPr>
      </w:pPr>
      <w:bookmarkStart w:id="52" w:name="_Ref183484664"/>
      <w:r w:rsidRPr="00B44B71">
        <w:rPr>
          <w:rFonts w:ascii="Times New Roman" w:eastAsia="Times New Roman" w:hAnsi="Times New Roman" w:cs="Times New Roman"/>
          <w:kern w:val="0"/>
          <w:sz w:val="24"/>
          <w:szCs w:val="24"/>
          <w:lang w:val="uk-UA"/>
          <w14:ligatures w14:val="none"/>
        </w:rPr>
        <w:t>Огієнко І. Українська культура. Коротка історія культурного життя українського народа / відтворення видання 1918 року за ред. М.Т. Максименко. Київ : «Абрис», 1991. 275 с. URL: https://irbis-nbuv.gov.ua/cgi-bin/ua/elib.exe?Z21ID=&amp;I21DBN=UKRLIB&amp;P21DBN=UKRLIB&amp;S21STN=1&amp;S21REF=10&amp;S21FMT=online_book&amp;C21COM=S&amp;S21CNR=20&amp;S21P01=0&amp;S21P02=0&amp;S21P03=FF=&amp;S21STR=ukr0001310 (дата звернення: 25.11.2024).</w:t>
      </w:r>
      <w:bookmarkEnd w:id="52"/>
    </w:p>
    <w:p w14:paraId="2A56582D" w14:textId="77777777" w:rsidR="00B44B71" w:rsidRPr="00B44B71" w:rsidRDefault="00B44B71" w:rsidP="00E967C0">
      <w:pPr>
        <w:numPr>
          <w:ilvl w:val="0"/>
          <w:numId w:val="3"/>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lang w:val="uk-UA"/>
          <w14:ligatures w14:val="none"/>
        </w:rPr>
      </w:pPr>
      <w:bookmarkStart w:id="53" w:name="_Ref183484734"/>
      <w:r w:rsidRPr="00B44B71">
        <w:rPr>
          <w:rFonts w:ascii="Times New Roman" w:eastAsia="Times New Roman" w:hAnsi="Times New Roman" w:cs="Times New Roman"/>
          <w:kern w:val="0"/>
          <w:sz w:val="24"/>
          <w:szCs w:val="24"/>
          <w:lang w:val="uk-UA"/>
          <w14:ligatures w14:val="none"/>
        </w:rPr>
        <w:t>ОУН і УПА в 1943 році: Документи / упор.: О. Веселова, В. Дзьобак, М. Дубик, В. Сергійчук ; відпов. ред. С. Кульчицький. Київ: Інститут історії України НАН України, 2008. 347 с. URL: http://history.org.ua/LiberUA/Book/OUN1943/text.pdf (дата звернення: 20.11.2024).</w:t>
      </w:r>
      <w:bookmarkEnd w:id="53"/>
    </w:p>
    <w:p w14:paraId="4D817D28" w14:textId="77777777" w:rsidR="00B44B71" w:rsidRPr="00B44B71" w:rsidRDefault="00B44B71" w:rsidP="00E967C0">
      <w:pPr>
        <w:numPr>
          <w:ilvl w:val="0"/>
          <w:numId w:val="3"/>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lang w:val="uk-UA"/>
          <w14:ligatures w14:val="none"/>
        </w:rPr>
      </w:pPr>
      <w:bookmarkStart w:id="54" w:name="_Ref183484727"/>
      <w:r w:rsidRPr="00B44B71">
        <w:rPr>
          <w:rFonts w:ascii="Times New Roman" w:eastAsia="Times New Roman" w:hAnsi="Times New Roman" w:cs="Times New Roman"/>
          <w:kern w:val="0"/>
          <w:sz w:val="24"/>
          <w:szCs w:val="24"/>
          <w:lang w:val="uk-UA"/>
          <w14:ligatures w14:val="none"/>
        </w:rPr>
        <w:t>ОУН і УПА в 1945 році: Збірник документів і матеріалів. В 2 ч. Ч. 1 / за ред. Боряк Г.В., Веселова О.М., Даниленко В.М., Кульчицький С В. ; вступ: Лисенко О.Є. ; упор..: Веселова О.М., Гриневич В.А., Сергійчук В.І. Київ: Інститут історії України НАН України, 2015. 371 с. URL: http://history.org.ua/LiberUA/978-966-02-7436-5/978-966-02-7436-5.pdf  (дата звернення: 25.11.2024).</w:t>
      </w:r>
      <w:bookmarkEnd w:id="54"/>
    </w:p>
    <w:p w14:paraId="7BAB33F4" w14:textId="77777777" w:rsidR="00B44B71" w:rsidRPr="00B44B71" w:rsidRDefault="00B44B71" w:rsidP="00E967C0">
      <w:pPr>
        <w:numPr>
          <w:ilvl w:val="0"/>
          <w:numId w:val="3"/>
        </w:numPr>
        <w:tabs>
          <w:tab w:val="left" w:pos="1134"/>
          <w:tab w:val="left" w:pos="9638"/>
        </w:tabs>
        <w:spacing w:after="0" w:line="240" w:lineRule="auto"/>
        <w:ind w:left="0" w:firstLine="709"/>
        <w:contextualSpacing/>
        <w:jc w:val="both"/>
        <w:rPr>
          <w:rFonts w:ascii="Times New Roman" w:eastAsia="Times New Roman" w:hAnsi="Times New Roman" w:cs="Times New Roman"/>
          <w:kern w:val="0"/>
          <w:sz w:val="24"/>
          <w:szCs w:val="24"/>
          <w:lang w:val="uk-UA"/>
          <w14:ligatures w14:val="none"/>
        </w:rPr>
      </w:pPr>
      <w:bookmarkStart w:id="55" w:name="_Ref183484568"/>
      <w:r w:rsidRPr="00B44B71">
        <w:rPr>
          <w:rFonts w:ascii="Times New Roman" w:eastAsia="Times New Roman" w:hAnsi="Times New Roman" w:cs="Times New Roman"/>
          <w:kern w:val="0"/>
          <w:sz w:val="24"/>
          <w:szCs w:val="24"/>
          <w:lang w:val="uk-UA"/>
          <w14:ligatures w14:val="none"/>
        </w:rPr>
        <w:lastRenderedPageBreak/>
        <w:t>Повість врем’яних літ / Пер. В. В. Яременка. URL: http://litopys.org.ua/pvlyar/yar.htm (дата звернення: 25.11.2024).</w:t>
      </w:r>
      <w:bookmarkEnd w:id="55"/>
    </w:p>
    <w:p w14:paraId="71F52255" w14:textId="77777777" w:rsidR="00B44B71" w:rsidRPr="00B44B71" w:rsidRDefault="00B44B71" w:rsidP="00E967C0">
      <w:pPr>
        <w:numPr>
          <w:ilvl w:val="0"/>
          <w:numId w:val="3"/>
        </w:numPr>
        <w:tabs>
          <w:tab w:val="left" w:pos="1134"/>
          <w:tab w:val="left" w:pos="9638"/>
        </w:tabs>
        <w:adjustRightInd w:val="0"/>
        <w:snapToGrid w:val="0"/>
        <w:spacing w:after="0" w:line="240" w:lineRule="auto"/>
        <w:ind w:left="0" w:firstLine="709"/>
        <w:jc w:val="both"/>
        <w:rPr>
          <w:rFonts w:ascii="Times New Roman" w:eastAsia="Times New Roman" w:hAnsi="Times New Roman" w:cs="Times New Roman"/>
          <w:kern w:val="0"/>
          <w:sz w:val="24"/>
          <w:szCs w:val="24"/>
          <w:lang w:val="uk-UA"/>
          <w14:ligatures w14:val="none"/>
        </w:rPr>
      </w:pPr>
      <w:bookmarkStart w:id="56" w:name="_Ref183484618"/>
      <w:r w:rsidRPr="00B44B71">
        <w:rPr>
          <w:rFonts w:ascii="Times New Roman" w:eastAsia="Times New Roman" w:hAnsi="Times New Roman" w:cs="Times New Roman"/>
          <w:kern w:val="0"/>
          <w:sz w:val="24"/>
          <w:szCs w:val="24"/>
          <w:lang w:val="uk-UA"/>
          <w14:ligatures w14:val="none"/>
        </w:rPr>
        <w:t>Соловей Т. В. Державотворча концепція Івана Мазепи</w:t>
      </w:r>
      <w:r w:rsidRPr="00B44B71">
        <w:rPr>
          <w:rFonts w:ascii="Times New Roman" w:eastAsia="Times New Roman" w:hAnsi="Times New Roman" w:cs="Times New Roman"/>
          <w:i/>
          <w:kern w:val="0"/>
          <w:sz w:val="24"/>
          <w:szCs w:val="24"/>
          <w:lang w:val="uk-UA"/>
          <w14:ligatures w14:val="none"/>
        </w:rPr>
        <w:t xml:space="preserve">. Актуальні питання української та всесвітньої історії: минуле і сучасність </w:t>
      </w:r>
      <w:r w:rsidRPr="00B44B71">
        <w:rPr>
          <w:rFonts w:ascii="Times New Roman" w:eastAsia="Times New Roman" w:hAnsi="Times New Roman" w:cs="Times New Roman"/>
          <w:kern w:val="0"/>
          <w:sz w:val="24"/>
          <w:szCs w:val="24"/>
          <w:lang w:val="uk-UA"/>
          <w14:ligatures w14:val="none"/>
        </w:rPr>
        <w:t xml:space="preserve">: матеріали Всеукраїнської науково-практичної конференції (м. Рівне, 25 жовтня 2022 року). Львів - Торунь : Liga-Pres, 2022. С. 73-75. URL: </w:t>
      </w:r>
      <w:r w:rsidRPr="00B44B71">
        <w:rPr>
          <w:rFonts w:ascii="Times New Roman" w:eastAsia="Times New Roman" w:hAnsi="Times New Roman" w:cs="Times New Roman"/>
          <w:kern w:val="0"/>
          <w:sz w:val="24"/>
          <w:szCs w:val="24"/>
          <w:lang w:val="uk-UA" w:eastAsia="uk-UA"/>
          <w14:ligatures w14:val="none"/>
        </w:rPr>
        <w:t>https://doi.org/10.36059/978-966-397-270-1-20</w:t>
      </w:r>
      <w:r w:rsidRPr="00B44B71">
        <w:rPr>
          <w:rFonts w:ascii="Times New Roman" w:eastAsia="Times New Roman" w:hAnsi="Times New Roman" w:cs="Times New Roman"/>
          <w:kern w:val="0"/>
          <w:sz w:val="24"/>
          <w:szCs w:val="24"/>
          <w:lang w:val="uk-UA"/>
          <w14:ligatures w14:val="none"/>
        </w:rPr>
        <w:t xml:space="preserve"> (дата звернення: 23.11.2024).</w:t>
      </w:r>
      <w:bookmarkEnd w:id="56"/>
    </w:p>
    <w:p w14:paraId="6432F91C" w14:textId="77777777" w:rsidR="00B44B71" w:rsidRPr="00B44B71" w:rsidRDefault="00B44B71" w:rsidP="00E967C0">
      <w:pPr>
        <w:tabs>
          <w:tab w:val="left" w:pos="1134"/>
          <w:tab w:val="left" w:pos="9638"/>
        </w:tabs>
        <w:adjustRightInd w:val="0"/>
        <w:snapToGrid w:val="0"/>
        <w:spacing w:after="0" w:line="240" w:lineRule="auto"/>
        <w:ind w:firstLine="709"/>
        <w:jc w:val="both"/>
        <w:rPr>
          <w:rFonts w:ascii="Times New Roman" w:eastAsia="Times New Roman" w:hAnsi="Times New Roman" w:cs="Times New Roman"/>
          <w:b/>
          <w:kern w:val="0"/>
          <w:sz w:val="24"/>
          <w:szCs w:val="24"/>
          <w:lang w:val="uk-UA"/>
          <w14:ligatures w14:val="none"/>
        </w:rPr>
      </w:pPr>
    </w:p>
    <w:p w14:paraId="128B861C" w14:textId="77777777" w:rsidR="00B44B71" w:rsidRPr="00B44B71" w:rsidRDefault="00B44B71" w:rsidP="00E967C0">
      <w:pPr>
        <w:tabs>
          <w:tab w:val="left" w:pos="9638"/>
        </w:tabs>
        <w:adjustRightInd w:val="0"/>
        <w:snapToGrid w:val="0"/>
        <w:spacing w:after="0" w:line="240" w:lineRule="auto"/>
        <w:ind w:firstLine="709"/>
        <w:jc w:val="center"/>
        <w:rPr>
          <w:rFonts w:ascii="Times New Roman" w:eastAsia="Times New Roman" w:hAnsi="Times New Roman" w:cs="Times New Roman"/>
          <w:kern w:val="0"/>
          <w:sz w:val="24"/>
          <w:szCs w:val="24"/>
          <w:lang w:val="uk-UA"/>
          <w14:ligatures w14:val="none"/>
        </w:rPr>
      </w:pPr>
      <w:r w:rsidRPr="00B44B71">
        <w:rPr>
          <w:rFonts w:ascii="Times New Roman" w:eastAsia="Times New Roman" w:hAnsi="Times New Roman" w:cs="Times New Roman"/>
          <w:b/>
          <w:kern w:val="0"/>
          <w:sz w:val="24"/>
          <w:szCs w:val="24"/>
          <w:lang w:val="uk-UA"/>
          <w14:ligatures w14:val="none"/>
        </w:rPr>
        <w:t>REFERENCES</w:t>
      </w:r>
    </w:p>
    <w:p w14:paraId="0DA498F9" w14:textId="77777777" w:rsidR="00B44B71" w:rsidRPr="00B44B71" w:rsidRDefault="00B44B71" w:rsidP="00E967C0">
      <w:pPr>
        <w:numPr>
          <w:ilvl w:val="0"/>
          <w:numId w:val="4"/>
        </w:numPr>
        <w:tabs>
          <w:tab w:val="clear" w:pos="786"/>
          <w:tab w:val="left" w:pos="1276"/>
          <w:tab w:val="left" w:pos="9638"/>
        </w:tabs>
        <w:adjustRightInd w:val="0"/>
        <w:snapToGrid w:val="0"/>
        <w:spacing w:after="0" w:line="240" w:lineRule="auto"/>
        <w:ind w:left="0" w:firstLine="709"/>
        <w:jc w:val="both"/>
        <w:rPr>
          <w:rFonts w:ascii="Times New Roman" w:eastAsia="Times New Roman" w:hAnsi="Times New Roman" w:cs="Times New Roman"/>
          <w:kern w:val="0"/>
          <w:sz w:val="24"/>
          <w:szCs w:val="24"/>
          <w:lang w:val="uk-UA" w:eastAsia="uk-UA"/>
          <w14:ligatures w14:val="none"/>
        </w:rPr>
      </w:pPr>
      <w:r w:rsidRPr="00B44B71">
        <w:rPr>
          <w:rFonts w:ascii="Times New Roman" w:eastAsia="Times New Roman" w:hAnsi="Times New Roman" w:cs="Times New Roman"/>
          <w:kern w:val="0"/>
          <w:sz w:val="24"/>
          <w:szCs w:val="24"/>
          <w:lang w:val="uk-UA" w:eastAsia="uk-UA"/>
          <w14:ligatures w14:val="none"/>
        </w:rPr>
        <w:t xml:space="preserve">Rafalskyi, O. O., &amp; Maiboroda, O. M. (Eds.). (2023). </w:t>
      </w:r>
      <w:r w:rsidRPr="00B44B71">
        <w:rPr>
          <w:rFonts w:ascii="Times New Roman" w:eastAsia="Times New Roman" w:hAnsi="Times New Roman" w:cs="Times New Roman"/>
          <w:i/>
          <w:iCs/>
          <w:kern w:val="0"/>
          <w:sz w:val="24"/>
          <w:szCs w:val="24"/>
          <w:lang w:val="uk-UA" w:eastAsia="uk-UA"/>
          <w14:ligatures w14:val="none"/>
        </w:rPr>
        <w:t>Adaptyvni zminy v politychnomu poli Ukrainy v umovakh voiennoho chasu: Monohrafiia</w:t>
      </w:r>
      <w:r w:rsidRPr="00B44B71">
        <w:rPr>
          <w:rFonts w:ascii="Times New Roman" w:eastAsia="Times New Roman" w:hAnsi="Times New Roman" w:cs="Times New Roman"/>
          <w:kern w:val="0"/>
          <w:sz w:val="24"/>
          <w:szCs w:val="24"/>
          <w:lang w:val="uk-UA" w:eastAsia="uk-UA"/>
          <w14:ligatures w14:val="none"/>
        </w:rPr>
        <w:t xml:space="preserve"> [Adaptive changes in Ukraine's political field in wartime conditions: Monograph]. I. F. Kuras Institute of Political and Ethnic Studies of the National Academy of Sciences of Ukraine. </w:t>
      </w:r>
      <w:hyperlink r:id="rId388" w:tgtFrame="_new" w:history="1">
        <w:r w:rsidRPr="00B44B71">
          <w:rPr>
            <w:rFonts w:ascii="Times New Roman" w:eastAsia="Times New Roman" w:hAnsi="Times New Roman" w:cs="Times New Roman"/>
            <w:color w:val="0000FF"/>
            <w:kern w:val="0"/>
            <w:sz w:val="24"/>
            <w:szCs w:val="24"/>
            <w:u w:val="single"/>
            <w:lang w:val="uk-UA" w:eastAsia="uk-UA"/>
            <w14:ligatures w14:val="none"/>
          </w:rPr>
          <w:t>https://ipiend.gov.ua/wp-content/uploads/2021/01/Adaptyvni-zminy_monohraf_2023.pdf</w:t>
        </w:r>
      </w:hyperlink>
    </w:p>
    <w:p w14:paraId="7E8D2FCA" w14:textId="77777777" w:rsidR="00B44B71" w:rsidRPr="00B44B71" w:rsidRDefault="00B44B71" w:rsidP="00E967C0">
      <w:pPr>
        <w:numPr>
          <w:ilvl w:val="0"/>
          <w:numId w:val="4"/>
        </w:numPr>
        <w:tabs>
          <w:tab w:val="clear" w:pos="786"/>
          <w:tab w:val="left" w:pos="1276"/>
          <w:tab w:val="left" w:pos="9638"/>
        </w:tabs>
        <w:spacing w:before="100" w:beforeAutospacing="1" w:after="100" w:afterAutospacing="1" w:line="240" w:lineRule="auto"/>
        <w:ind w:left="0" w:firstLine="709"/>
        <w:jc w:val="both"/>
        <w:rPr>
          <w:rFonts w:ascii="Times New Roman" w:eastAsia="Times New Roman" w:hAnsi="Times New Roman" w:cs="Times New Roman"/>
          <w:kern w:val="0"/>
          <w:sz w:val="24"/>
          <w:szCs w:val="24"/>
          <w:lang w:val="uk-UA" w:eastAsia="uk-UA"/>
          <w14:ligatures w14:val="none"/>
        </w:rPr>
      </w:pPr>
      <w:r w:rsidRPr="00B44B71">
        <w:rPr>
          <w:rFonts w:ascii="Times New Roman" w:eastAsia="Times New Roman" w:hAnsi="Times New Roman" w:cs="Times New Roman"/>
          <w:kern w:val="0"/>
          <w:sz w:val="24"/>
          <w:szCs w:val="24"/>
          <w:lang w:val="uk-UA" w:eastAsia="uk-UA"/>
          <w14:ligatures w14:val="none"/>
        </w:rPr>
        <w:t xml:space="preserve">Rafalskyi, O. O., Kalakura, Ya. S., Kotsur, V. P., &amp; Yurii, M. F. (2020). </w:t>
      </w:r>
      <w:r w:rsidRPr="00B44B71">
        <w:rPr>
          <w:rFonts w:ascii="Times New Roman" w:eastAsia="Times New Roman" w:hAnsi="Times New Roman" w:cs="Times New Roman"/>
          <w:i/>
          <w:iCs/>
          <w:kern w:val="0"/>
          <w:sz w:val="24"/>
          <w:szCs w:val="24"/>
          <w:lang w:val="uk-UA" w:eastAsia="uk-UA"/>
          <w14:ligatures w14:val="none"/>
        </w:rPr>
        <w:t>Antropolohichnyi kod ukrainskoi kultury i tsyvilizatsii</w:t>
      </w:r>
      <w:r w:rsidRPr="00B44B71">
        <w:rPr>
          <w:rFonts w:ascii="Times New Roman" w:eastAsia="Times New Roman" w:hAnsi="Times New Roman" w:cs="Times New Roman"/>
          <w:kern w:val="0"/>
          <w:sz w:val="24"/>
          <w:szCs w:val="24"/>
          <w:lang w:val="uk-UA" w:eastAsia="uk-UA"/>
          <w14:ligatures w14:val="none"/>
        </w:rPr>
        <w:t xml:space="preserve"> (Book 2) [Anthropological code of Ukrainian culture and civilization (in two books). Book 2]. I. F. Kuras Institute of Political and Ethnic Studies of the National Academy of Sciences of Ukraine. </w:t>
      </w:r>
      <w:hyperlink r:id="rId389" w:tgtFrame="_new" w:history="1">
        <w:r w:rsidRPr="00B44B71">
          <w:rPr>
            <w:rFonts w:ascii="Times New Roman" w:eastAsia="Times New Roman" w:hAnsi="Times New Roman" w:cs="Times New Roman"/>
            <w:color w:val="0000FF"/>
            <w:kern w:val="0"/>
            <w:sz w:val="24"/>
            <w:szCs w:val="24"/>
            <w:u w:val="single"/>
            <w:lang w:val="uk-UA" w:eastAsia="uk-UA"/>
            <w14:ligatures w14:val="none"/>
          </w:rPr>
          <w:t>https://ipiend.gov.ua/wp-content/uploads/2020/10/antropolohichnyi_kod_book2.pdf</w:t>
        </w:r>
      </w:hyperlink>
    </w:p>
    <w:p w14:paraId="096F6673" w14:textId="77777777" w:rsidR="00B44B71" w:rsidRPr="00B44B71" w:rsidRDefault="00B44B71" w:rsidP="00E967C0">
      <w:pPr>
        <w:numPr>
          <w:ilvl w:val="0"/>
          <w:numId w:val="4"/>
        </w:numPr>
        <w:tabs>
          <w:tab w:val="clear" w:pos="786"/>
          <w:tab w:val="left" w:pos="1276"/>
          <w:tab w:val="left" w:pos="9638"/>
        </w:tabs>
        <w:spacing w:before="100" w:beforeAutospacing="1" w:after="100" w:afterAutospacing="1" w:line="240" w:lineRule="auto"/>
        <w:ind w:left="0" w:firstLine="709"/>
        <w:jc w:val="both"/>
        <w:rPr>
          <w:rFonts w:ascii="Times New Roman" w:eastAsia="Times New Roman" w:hAnsi="Times New Roman" w:cs="Times New Roman"/>
          <w:kern w:val="0"/>
          <w:sz w:val="24"/>
          <w:szCs w:val="24"/>
          <w:lang w:val="uk-UA" w:eastAsia="uk-UA"/>
          <w14:ligatures w14:val="none"/>
        </w:rPr>
      </w:pPr>
      <w:r w:rsidRPr="00B44B71">
        <w:rPr>
          <w:rFonts w:ascii="Times New Roman" w:eastAsia="Times New Roman" w:hAnsi="Times New Roman" w:cs="Times New Roman"/>
          <w:kern w:val="0"/>
          <w:sz w:val="24"/>
          <w:szCs w:val="24"/>
          <w:lang w:val="uk-UA" w:eastAsia="uk-UA"/>
          <w14:ligatures w14:val="none"/>
        </w:rPr>
        <w:t xml:space="preserve">Bahro, S. O. (2019). </w:t>
      </w:r>
      <w:r w:rsidRPr="00B44B71">
        <w:rPr>
          <w:rFonts w:ascii="Times New Roman" w:eastAsia="Times New Roman" w:hAnsi="Times New Roman" w:cs="Times New Roman"/>
          <w:i/>
          <w:iCs/>
          <w:kern w:val="0"/>
          <w:sz w:val="24"/>
          <w:szCs w:val="24"/>
          <w:lang w:val="uk-UA" w:eastAsia="uk-UA"/>
          <w14:ligatures w14:val="none"/>
        </w:rPr>
        <w:t>Poniattia vitchyzny v kozatskii politychnii rytorytsi (druha polovyna XVII – pochatok XVIII st.)</w:t>
      </w:r>
      <w:r w:rsidRPr="00B44B71">
        <w:rPr>
          <w:rFonts w:ascii="Times New Roman" w:eastAsia="Times New Roman" w:hAnsi="Times New Roman" w:cs="Times New Roman"/>
          <w:kern w:val="0"/>
          <w:sz w:val="24"/>
          <w:szCs w:val="24"/>
          <w:lang w:val="uk-UA" w:eastAsia="uk-UA"/>
          <w14:ligatures w14:val="none"/>
        </w:rPr>
        <w:t xml:space="preserve"> [The concept of homeland in Cossack political rhetoric (second half of the 17th – early 18th century)] (Candidate’s thesis). Borys Grinchenko Kyiv University. </w:t>
      </w:r>
    </w:p>
    <w:p w14:paraId="11BA0C3E" w14:textId="77777777" w:rsidR="00B44B71" w:rsidRPr="00B44B71" w:rsidRDefault="00B44B71" w:rsidP="00E967C0">
      <w:pPr>
        <w:numPr>
          <w:ilvl w:val="0"/>
          <w:numId w:val="4"/>
        </w:numPr>
        <w:tabs>
          <w:tab w:val="clear" w:pos="786"/>
          <w:tab w:val="left" w:pos="1276"/>
          <w:tab w:val="left" w:pos="9638"/>
        </w:tabs>
        <w:spacing w:before="100" w:beforeAutospacing="1" w:after="100" w:afterAutospacing="1" w:line="240" w:lineRule="auto"/>
        <w:ind w:left="0" w:firstLine="709"/>
        <w:jc w:val="both"/>
        <w:rPr>
          <w:rFonts w:ascii="Times New Roman" w:eastAsia="Times New Roman" w:hAnsi="Times New Roman" w:cs="Times New Roman"/>
          <w:kern w:val="0"/>
          <w:sz w:val="24"/>
          <w:szCs w:val="24"/>
          <w:lang w:val="uk-UA" w:eastAsia="uk-UA"/>
          <w14:ligatures w14:val="none"/>
        </w:rPr>
      </w:pPr>
      <w:r w:rsidRPr="00B44B71">
        <w:rPr>
          <w:rFonts w:ascii="Times New Roman" w:eastAsia="Times New Roman" w:hAnsi="Times New Roman" w:cs="Times New Roman"/>
          <w:kern w:val="0"/>
          <w:sz w:val="24"/>
          <w:szCs w:val="24"/>
          <w:lang w:val="uk-UA" w:eastAsia="uk-UA"/>
          <w14:ligatures w14:val="none"/>
        </w:rPr>
        <w:t xml:space="preserve">Drohobytskyi, I. I. (2022). Army as a guarantee of statehood: Features of the OUN(b) military concept on the eve of the Nazi-Soviet clash. </w:t>
      </w:r>
      <w:r w:rsidRPr="00B44B71">
        <w:rPr>
          <w:rFonts w:ascii="Times New Roman" w:eastAsia="Times New Roman" w:hAnsi="Times New Roman" w:cs="Times New Roman"/>
          <w:i/>
          <w:iCs/>
          <w:kern w:val="0"/>
          <w:sz w:val="24"/>
          <w:szCs w:val="24"/>
          <w:lang w:val="uk-UA" w:eastAsia="uk-UA"/>
          <w14:ligatures w14:val="none"/>
        </w:rPr>
        <w:t>Visnyk Natsionalnoho universytetu oborony Ukrainy</w:t>
      </w:r>
      <w:r w:rsidRPr="00B44B71">
        <w:rPr>
          <w:rFonts w:ascii="Times New Roman" w:eastAsia="Times New Roman" w:hAnsi="Times New Roman" w:cs="Times New Roman"/>
          <w:kern w:val="0"/>
          <w:sz w:val="24"/>
          <w:szCs w:val="24"/>
          <w:lang w:val="uk-UA" w:eastAsia="uk-UA"/>
          <w14:ligatures w14:val="none"/>
        </w:rPr>
        <w:t xml:space="preserve">, 32–47. </w:t>
      </w:r>
      <w:hyperlink r:id="rId390" w:history="1">
        <w:r w:rsidRPr="00B44B71">
          <w:rPr>
            <w:rFonts w:ascii="Times New Roman" w:eastAsia="Times New Roman" w:hAnsi="Times New Roman" w:cs="Times New Roman"/>
            <w:kern w:val="0"/>
            <w:sz w:val="24"/>
            <w:szCs w:val="24"/>
            <w:u w:val="single"/>
            <w:shd w:val="clear" w:color="auto" w:fill="FFFFFF"/>
            <w:lang w:val="uk-UA" w:eastAsia="uk-UA"/>
            <w14:ligatures w14:val="none"/>
          </w:rPr>
          <w:t>https://doi.org/10.33577/2313-5603.40.2023.32-47</w:t>
        </w:r>
      </w:hyperlink>
      <w:r w:rsidRPr="00B44B71">
        <w:rPr>
          <w:rFonts w:ascii="Times New Roman" w:eastAsia="Times New Roman" w:hAnsi="Times New Roman" w:cs="Times New Roman"/>
          <w:kern w:val="0"/>
          <w:sz w:val="24"/>
          <w:szCs w:val="24"/>
          <w:lang w:val="uk-UA" w:eastAsia="uk-UA"/>
          <w14:ligatures w14:val="none"/>
        </w:rPr>
        <w:t>.</w:t>
      </w:r>
    </w:p>
    <w:p w14:paraId="29745E6C" w14:textId="77777777" w:rsidR="00B44B71" w:rsidRPr="00B44B71" w:rsidRDefault="00B44B71" w:rsidP="00E967C0">
      <w:pPr>
        <w:numPr>
          <w:ilvl w:val="0"/>
          <w:numId w:val="4"/>
        </w:numPr>
        <w:tabs>
          <w:tab w:val="clear" w:pos="786"/>
          <w:tab w:val="left" w:pos="1276"/>
          <w:tab w:val="left" w:pos="9638"/>
        </w:tabs>
        <w:spacing w:before="100" w:beforeAutospacing="1" w:after="100" w:afterAutospacing="1" w:line="240" w:lineRule="auto"/>
        <w:ind w:left="0" w:firstLine="709"/>
        <w:jc w:val="both"/>
        <w:rPr>
          <w:rFonts w:ascii="Times New Roman" w:eastAsia="Times New Roman" w:hAnsi="Times New Roman" w:cs="Times New Roman"/>
          <w:kern w:val="0"/>
          <w:sz w:val="24"/>
          <w:szCs w:val="24"/>
          <w:lang w:val="uk-UA" w:eastAsia="uk-UA"/>
          <w14:ligatures w14:val="none"/>
        </w:rPr>
      </w:pPr>
      <w:r w:rsidRPr="00B44B71">
        <w:rPr>
          <w:rFonts w:ascii="Times New Roman" w:eastAsia="Times New Roman" w:hAnsi="Times New Roman" w:cs="Times New Roman"/>
          <w:kern w:val="0"/>
          <w:sz w:val="24"/>
          <w:szCs w:val="24"/>
          <w:lang w:val="uk-UA" w:eastAsia="uk-UA"/>
          <w14:ligatures w14:val="none"/>
        </w:rPr>
        <w:t xml:space="preserve">Dubrov, Ya. O. (2016). Socially resonant phenomena in Ukraine and their explication in the context of patriotism. In </w:t>
      </w:r>
      <w:r w:rsidRPr="00B44B71">
        <w:rPr>
          <w:rFonts w:ascii="Times New Roman" w:eastAsia="Times New Roman" w:hAnsi="Times New Roman" w:cs="Times New Roman"/>
          <w:i/>
          <w:iCs/>
          <w:kern w:val="0"/>
          <w:sz w:val="24"/>
          <w:szCs w:val="24"/>
          <w:lang w:val="uk-UA" w:eastAsia="uk-UA"/>
          <w14:ligatures w14:val="none"/>
        </w:rPr>
        <w:t>Patriotyzm u systemi suchasnykh sotsialnykh tsinnostei: Materialy XV naukovo-praktychnoi konferentsii</w:t>
      </w:r>
      <w:r w:rsidRPr="00B44B71">
        <w:rPr>
          <w:rFonts w:ascii="Times New Roman" w:eastAsia="Times New Roman" w:hAnsi="Times New Roman" w:cs="Times New Roman"/>
          <w:kern w:val="0"/>
          <w:sz w:val="24"/>
          <w:szCs w:val="24"/>
          <w:lang w:val="uk-UA" w:eastAsia="uk-UA"/>
          <w14:ligatures w14:val="none"/>
        </w:rPr>
        <w:t xml:space="preserve"> (pp. 46–48). National Academy of Management. </w:t>
      </w:r>
      <w:hyperlink r:id="rId391" w:tgtFrame="_new" w:history="1">
        <w:r w:rsidRPr="00B44B71">
          <w:rPr>
            <w:rFonts w:ascii="Times New Roman" w:eastAsia="Times New Roman" w:hAnsi="Times New Roman" w:cs="Times New Roman"/>
            <w:color w:val="0000FF"/>
            <w:kern w:val="0"/>
            <w:sz w:val="24"/>
            <w:szCs w:val="24"/>
            <w:u w:val="single"/>
            <w:lang w:val="uk-UA" w:eastAsia="uk-UA"/>
            <w14:ligatures w14:val="none"/>
          </w:rPr>
          <w:t>http://ipzn.org.ua/wp-content/uploads/2016/01/Materialy-XV-naukovo-praktychnoyi-konferentsiyi-14-travnya-2015-roku.pdf</w:t>
        </w:r>
      </w:hyperlink>
    </w:p>
    <w:p w14:paraId="70571C0A" w14:textId="77777777" w:rsidR="00B44B71" w:rsidRPr="00B44B71" w:rsidRDefault="00B44B71" w:rsidP="00E967C0">
      <w:pPr>
        <w:numPr>
          <w:ilvl w:val="0"/>
          <w:numId w:val="4"/>
        </w:numPr>
        <w:tabs>
          <w:tab w:val="clear" w:pos="786"/>
          <w:tab w:val="left" w:pos="1276"/>
          <w:tab w:val="left" w:pos="9638"/>
        </w:tabs>
        <w:spacing w:before="100" w:beforeAutospacing="1" w:after="100" w:afterAutospacing="1" w:line="240" w:lineRule="auto"/>
        <w:ind w:left="0" w:firstLine="709"/>
        <w:jc w:val="both"/>
        <w:rPr>
          <w:rFonts w:ascii="Times New Roman" w:eastAsia="Times New Roman" w:hAnsi="Times New Roman" w:cs="Times New Roman"/>
          <w:kern w:val="0"/>
          <w:sz w:val="24"/>
          <w:szCs w:val="24"/>
          <w:lang w:val="uk-UA" w:eastAsia="uk-UA"/>
          <w14:ligatures w14:val="none"/>
        </w:rPr>
      </w:pPr>
      <w:r w:rsidRPr="00B44B71">
        <w:rPr>
          <w:rFonts w:ascii="Times New Roman" w:eastAsia="Times New Roman" w:hAnsi="Times New Roman" w:cs="Times New Roman"/>
          <w:kern w:val="0"/>
          <w:sz w:val="24"/>
          <w:szCs w:val="24"/>
          <w:lang w:val="uk-UA" w:eastAsia="uk-UA"/>
          <w14:ligatures w14:val="none"/>
        </w:rPr>
        <w:t xml:space="preserve">Ilchuk, L. I. (2016). Civil society in the patriotic dimension. In </w:t>
      </w:r>
      <w:r w:rsidRPr="00B44B71">
        <w:rPr>
          <w:rFonts w:ascii="Times New Roman" w:eastAsia="Times New Roman" w:hAnsi="Times New Roman" w:cs="Times New Roman"/>
          <w:i/>
          <w:iCs/>
          <w:kern w:val="0"/>
          <w:sz w:val="24"/>
          <w:szCs w:val="24"/>
          <w:lang w:val="uk-UA" w:eastAsia="uk-UA"/>
          <w14:ligatures w14:val="none"/>
        </w:rPr>
        <w:t>Patriotyzm u systemi suchasnykh sotsialnykh tsinnostei: Materialy XV naukovo-praktychnoi konferentsii</w:t>
      </w:r>
      <w:r w:rsidRPr="00B44B71">
        <w:rPr>
          <w:rFonts w:ascii="Times New Roman" w:eastAsia="Times New Roman" w:hAnsi="Times New Roman" w:cs="Times New Roman"/>
          <w:kern w:val="0"/>
          <w:sz w:val="24"/>
          <w:szCs w:val="24"/>
          <w:lang w:val="uk-UA" w:eastAsia="uk-UA"/>
          <w14:ligatures w14:val="none"/>
        </w:rPr>
        <w:t xml:space="preserve"> (pp. 24–28). National Academy of Management. </w:t>
      </w:r>
      <w:hyperlink r:id="rId392" w:tgtFrame="_new" w:history="1">
        <w:r w:rsidRPr="00B44B71">
          <w:rPr>
            <w:rFonts w:ascii="Times New Roman" w:eastAsia="Times New Roman" w:hAnsi="Times New Roman" w:cs="Times New Roman"/>
            <w:color w:val="0000FF"/>
            <w:kern w:val="0"/>
            <w:sz w:val="24"/>
            <w:szCs w:val="24"/>
            <w:u w:val="single"/>
            <w:lang w:val="uk-UA" w:eastAsia="uk-UA"/>
            <w14:ligatures w14:val="none"/>
          </w:rPr>
          <w:t>http://ipzn.org.ua/wp-content/uploads/2016/01/Materialy-XV-naukovo-praktychnoyi-konferentsiyi-14-travnya-2015-roku.pdf</w:t>
        </w:r>
      </w:hyperlink>
    </w:p>
    <w:p w14:paraId="58DB9E6C" w14:textId="77777777" w:rsidR="00B44B71" w:rsidRPr="00B44B71" w:rsidRDefault="00B44B71" w:rsidP="00E967C0">
      <w:pPr>
        <w:numPr>
          <w:ilvl w:val="0"/>
          <w:numId w:val="4"/>
        </w:numPr>
        <w:tabs>
          <w:tab w:val="clear" w:pos="786"/>
          <w:tab w:val="left" w:pos="1276"/>
          <w:tab w:val="left" w:pos="9638"/>
        </w:tabs>
        <w:spacing w:before="100" w:beforeAutospacing="1" w:after="100" w:afterAutospacing="1" w:line="240" w:lineRule="auto"/>
        <w:ind w:left="0" w:firstLine="709"/>
        <w:jc w:val="both"/>
        <w:rPr>
          <w:rFonts w:ascii="Times New Roman" w:eastAsia="Times New Roman" w:hAnsi="Times New Roman" w:cs="Times New Roman"/>
          <w:kern w:val="0"/>
          <w:sz w:val="24"/>
          <w:szCs w:val="24"/>
          <w:lang w:val="uk-UA" w:eastAsia="uk-UA"/>
          <w14:ligatures w14:val="none"/>
        </w:rPr>
      </w:pPr>
      <w:r w:rsidRPr="00B44B71">
        <w:rPr>
          <w:rFonts w:ascii="Times New Roman" w:eastAsia="Times New Roman" w:hAnsi="Times New Roman" w:cs="Times New Roman"/>
          <w:kern w:val="0"/>
          <w:sz w:val="24"/>
          <w:szCs w:val="24"/>
          <w:lang w:val="uk-UA" w:eastAsia="uk-UA"/>
          <w14:ligatures w14:val="none"/>
        </w:rPr>
        <w:t xml:space="preserve">Mikhnovskyi, M. (2007). </w:t>
      </w:r>
      <w:r w:rsidRPr="00B44B71">
        <w:rPr>
          <w:rFonts w:ascii="Times New Roman" w:eastAsia="Times New Roman" w:hAnsi="Times New Roman" w:cs="Times New Roman"/>
          <w:i/>
          <w:iCs/>
          <w:kern w:val="0"/>
          <w:sz w:val="24"/>
          <w:szCs w:val="24"/>
          <w:lang w:val="uk-UA" w:eastAsia="uk-UA"/>
          <w14:ligatures w14:val="none"/>
        </w:rPr>
        <w:t>Samostiina Ukraina. Sprava ukrainskoi intelihentsii</w:t>
      </w:r>
      <w:r w:rsidRPr="00B44B71">
        <w:rPr>
          <w:rFonts w:ascii="Times New Roman" w:eastAsia="Times New Roman" w:hAnsi="Times New Roman" w:cs="Times New Roman"/>
          <w:kern w:val="0"/>
          <w:sz w:val="24"/>
          <w:szCs w:val="24"/>
          <w:lang w:val="uk-UA" w:eastAsia="uk-UA"/>
          <w14:ligatures w14:val="none"/>
        </w:rPr>
        <w:t xml:space="preserve"> [Independent Ukraine. The case of Ukrainian intelligentsia]. V. Ya. Yaremenko (Ed.). MAUP. https://irbis-nbuv.gov.ua/cgi-bin/ua/elib.exe?S21STR=ukr0003544</w:t>
      </w:r>
    </w:p>
    <w:p w14:paraId="7C59798F" w14:textId="77777777" w:rsidR="00B44B71" w:rsidRPr="00B44B71" w:rsidRDefault="00B44B71" w:rsidP="00E967C0">
      <w:pPr>
        <w:numPr>
          <w:ilvl w:val="0"/>
          <w:numId w:val="4"/>
        </w:numPr>
        <w:tabs>
          <w:tab w:val="clear" w:pos="786"/>
          <w:tab w:val="left" w:pos="1276"/>
          <w:tab w:val="left" w:pos="9638"/>
        </w:tabs>
        <w:spacing w:before="100" w:beforeAutospacing="1" w:after="100" w:afterAutospacing="1" w:line="240" w:lineRule="auto"/>
        <w:ind w:left="0" w:firstLine="709"/>
        <w:jc w:val="both"/>
        <w:rPr>
          <w:rFonts w:ascii="Times New Roman" w:eastAsia="Times New Roman" w:hAnsi="Times New Roman" w:cs="Times New Roman"/>
          <w:kern w:val="0"/>
          <w:sz w:val="24"/>
          <w:szCs w:val="24"/>
          <w:lang w:val="uk-UA" w:eastAsia="uk-UA"/>
          <w14:ligatures w14:val="none"/>
        </w:rPr>
      </w:pPr>
      <w:r w:rsidRPr="00B44B71">
        <w:rPr>
          <w:rFonts w:ascii="Times New Roman" w:eastAsia="Times New Roman" w:hAnsi="Times New Roman" w:cs="Times New Roman"/>
          <w:kern w:val="0"/>
          <w:sz w:val="24"/>
          <w:szCs w:val="24"/>
          <w:lang w:val="uk-UA" w:eastAsia="uk-UA"/>
          <w14:ligatures w14:val="none"/>
        </w:rPr>
        <w:t xml:space="preserve">Ohiienko, I. (1991). </w:t>
      </w:r>
      <w:r w:rsidRPr="00B44B71">
        <w:rPr>
          <w:rFonts w:ascii="Times New Roman" w:eastAsia="Times New Roman" w:hAnsi="Times New Roman" w:cs="Times New Roman"/>
          <w:i/>
          <w:iCs/>
          <w:kern w:val="0"/>
          <w:sz w:val="24"/>
          <w:szCs w:val="24"/>
          <w:lang w:val="uk-UA" w:eastAsia="uk-UA"/>
          <w14:ligatures w14:val="none"/>
        </w:rPr>
        <w:t>Ukrainska kultura. Korotka istoriia kulturnoho zhyttia ukrainskoho narodu</w:t>
      </w:r>
      <w:r w:rsidRPr="00B44B71">
        <w:rPr>
          <w:rFonts w:ascii="Times New Roman" w:eastAsia="Times New Roman" w:hAnsi="Times New Roman" w:cs="Times New Roman"/>
          <w:kern w:val="0"/>
          <w:sz w:val="24"/>
          <w:szCs w:val="24"/>
          <w:lang w:val="uk-UA" w:eastAsia="uk-UA"/>
          <w14:ligatures w14:val="none"/>
        </w:rPr>
        <w:t xml:space="preserve"> [Ukrainian culture: A brief history of the cultural life of the Ukrainian people]. M. T. Maksymenko (Ed.). Abrys. https://irbis-nbuv.gov.ua/cgi-bin/ua/elib.exe?S21STR=ukr0001310</w:t>
      </w:r>
    </w:p>
    <w:p w14:paraId="0F996B79" w14:textId="77777777" w:rsidR="00B44B71" w:rsidRPr="00B44B71" w:rsidRDefault="00B44B71" w:rsidP="00E967C0">
      <w:pPr>
        <w:numPr>
          <w:ilvl w:val="0"/>
          <w:numId w:val="4"/>
        </w:numPr>
        <w:tabs>
          <w:tab w:val="clear" w:pos="786"/>
          <w:tab w:val="left" w:pos="1276"/>
          <w:tab w:val="left" w:pos="9638"/>
        </w:tabs>
        <w:spacing w:before="100" w:beforeAutospacing="1" w:after="100" w:afterAutospacing="1" w:line="240" w:lineRule="auto"/>
        <w:ind w:left="0" w:firstLine="709"/>
        <w:jc w:val="both"/>
        <w:rPr>
          <w:rFonts w:ascii="Times New Roman" w:eastAsia="Times New Roman" w:hAnsi="Times New Roman" w:cs="Times New Roman"/>
          <w:kern w:val="0"/>
          <w:sz w:val="24"/>
          <w:szCs w:val="24"/>
          <w:lang w:val="uk-UA" w:eastAsia="uk-UA"/>
          <w14:ligatures w14:val="none"/>
        </w:rPr>
      </w:pPr>
      <w:r w:rsidRPr="00B44B71">
        <w:rPr>
          <w:rFonts w:ascii="Times New Roman" w:eastAsia="Times New Roman" w:hAnsi="Times New Roman" w:cs="Times New Roman"/>
          <w:kern w:val="0"/>
          <w:sz w:val="24"/>
          <w:szCs w:val="24"/>
          <w:lang w:val="uk-UA" w:eastAsia="uk-UA"/>
          <w14:ligatures w14:val="none"/>
        </w:rPr>
        <w:t xml:space="preserve">Veselova, O., Dzobak, V., Dubyk, M., &amp; Serhiichuk, V. (Comps.). (2008). </w:t>
      </w:r>
      <w:r w:rsidRPr="00B44B71">
        <w:rPr>
          <w:rFonts w:ascii="Times New Roman" w:eastAsia="Times New Roman" w:hAnsi="Times New Roman" w:cs="Times New Roman"/>
          <w:i/>
          <w:iCs/>
          <w:kern w:val="0"/>
          <w:sz w:val="24"/>
          <w:szCs w:val="24"/>
          <w:lang w:val="uk-UA" w:eastAsia="uk-UA"/>
          <w14:ligatures w14:val="none"/>
        </w:rPr>
        <w:t>OUN ta UPA u 1943: Dokumenty</w:t>
      </w:r>
      <w:r w:rsidRPr="00B44B71">
        <w:rPr>
          <w:rFonts w:ascii="Times New Roman" w:eastAsia="Times New Roman" w:hAnsi="Times New Roman" w:cs="Times New Roman"/>
          <w:kern w:val="0"/>
          <w:sz w:val="24"/>
          <w:szCs w:val="24"/>
          <w:lang w:val="uk-UA" w:eastAsia="uk-UA"/>
          <w14:ligatures w14:val="none"/>
        </w:rPr>
        <w:t xml:space="preserve"> [OUN and UPA in 1943: Documents]. S. Kulchytsky (Ed.). Institute of History of Ukraine, National Academy of Sciences of Ukraine. </w:t>
      </w:r>
      <w:hyperlink r:id="rId393" w:tgtFrame="_new" w:history="1">
        <w:r w:rsidRPr="00B44B71">
          <w:rPr>
            <w:rFonts w:ascii="Times New Roman" w:eastAsia="Times New Roman" w:hAnsi="Times New Roman" w:cs="Times New Roman"/>
            <w:color w:val="0000FF"/>
            <w:kern w:val="0"/>
            <w:sz w:val="24"/>
            <w:szCs w:val="24"/>
            <w:u w:val="single"/>
            <w:lang w:val="uk-UA" w:eastAsia="uk-UA"/>
            <w14:ligatures w14:val="none"/>
          </w:rPr>
          <w:t>http://history.org.ua/LiberUA/Book/OUN1943/text.pdf</w:t>
        </w:r>
      </w:hyperlink>
    </w:p>
    <w:p w14:paraId="0BBCB2A3" w14:textId="77777777" w:rsidR="00B44B71" w:rsidRPr="00B44B71" w:rsidRDefault="00B44B71" w:rsidP="00E967C0">
      <w:pPr>
        <w:numPr>
          <w:ilvl w:val="0"/>
          <w:numId w:val="4"/>
        </w:numPr>
        <w:tabs>
          <w:tab w:val="clear" w:pos="786"/>
          <w:tab w:val="left" w:pos="1276"/>
          <w:tab w:val="left" w:pos="9638"/>
        </w:tabs>
        <w:spacing w:after="0" w:line="240" w:lineRule="auto"/>
        <w:ind w:left="0" w:firstLine="709"/>
        <w:jc w:val="both"/>
        <w:rPr>
          <w:rFonts w:ascii="Times New Roman" w:eastAsia="Times New Roman" w:hAnsi="Times New Roman" w:cs="Times New Roman"/>
          <w:kern w:val="0"/>
          <w:sz w:val="24"/>
          <w:szCs w:val="24"/>
          <w:lang w:val="uk-UA" w:eastAsia="uk-UA"/>
          <w14:ligatures w14:val="none"/>
        </w:rPr>
      </w:pPr>
      <w:r w:rsidRPr="00B44B71">
        <w:rPr>
          <w:rFonts w:ascii="Times New Roman" w:eastAsia="Times New Roman" w:hAnsi="Times New Roman" w:cs="Times New Roman"/>
          <w:kern w:val="0"/>
          <w:sz w:val="24"/>
          <w:szCs w:val="24"/>
          <w:lang w:val="uk-UA" w:eastAsia="uk-UA"/>
          <w14:ligatures w14:val="none"/>
        </w:rPr>
        <w:t xml:space="preserve">Boriak, H. V., Veselova, O. M., Danylenko, V. M., &amp; Kulchytsky, S. V. (Eds.). (2015). </w:t>
      </w:r>
      <w:r w:rsidRPr="00B44B71">
        <w:rPr>
          <w:rFonts w:ascii="Times New Roman" w:eastAsia="Times New Roman" w:hAnsi="Times New Roman" w:cs="Times New Roman"/>
          <w:i/>
          <w:iCs/>
          <w:kern w:val="0"/>
          <w:sz w:val="24"/>
          <w:szCs w:val="24"/>
          <w:lang w:val="uk-UA" w:eastAsia="uk-UA"/>
          <w14:ligatures w14:val="none"/>
        </w:rPr>
        <w:t>OUN ta UPA u 1945: Zbirnyk dokumentiv i materialiv</w:t>
      </w:r>
      <w:r w:rsidRPr="00B44B71">
        <w:rPr>
          <w:rFonts w:ascii="Times New Roman" w:eastAsia="Times New Roman" w:hAnsi="Times New Roman" w:cs="Times New Roman"/>
          <w:kern w:val="0"/>
          <w:sz w:val="24"/>
          <w:szCs w:val="24"/>
          <w:lang w:val="uk-UA" w:eastAsia="uk-UA"/>
          <w14:ligatures w14:val="none"/>
        </w:rPr>
        <w:t xml:space="preserve"> (Part 1) [OUN and UPA in 1945: Collection of documents and materials]. Institute of History of Ukraine, National Academy of Sciences of Ukraine. </w:t>
      </w:r>
      <w:hyperlink r:id="rId394" w:tgtFrame="_new" w:history="1">
        <w:r w:rsidRPr="00B44B71">
          <w:rPr>
            <w:rFonts w:ascii="Times New Roman" w:eastAsia="Times New Roman" w:hAnsi="Times New Roman" w:cs="Times New Roman"/>
            <w:color w:val="0000FF"/>
            <w:kern w:val="0"/>
            <w:sz w:val="24"/>
            <w:szCs w:val="24"/>
            <w:u w:val="single"/>
            <w:lang w:val="uk-UA" w:eastAsia="uk-UA"/>
            <w14:ligatures w14:val="none"/>
          </w:rPr>
          <w:t>http://history.org.ua/LiberUA/978-966-02-7436-5/978-966-02-7436-5.pdf</w:t>
        </w:r>
      </w:hyperlink>
    </w:p>
    <w:p w14:paraId="611DDB19" w14:textId="77777777" w:rsidR="00B44B71" w:rsidRPr="00B44B71" w:rsidRDefault="00B44B71" w:rsidP="00E967C0">
      <w:pPr>
        <w:numPr>
          <w:ilvl w:val="0"/>
          <w:numId w:val="4"/>
        </w:numPr>
        <w:tabs>
          <w:tab w:val="clear" w:pos="786"/>
          <w:tab w:val="left" w:pos="1276"/>
          <w:tab w:val="left" w:pos="9638"/>
        </w:tabs>
        <w:spacing w:after="0" w:line="240" w:lineRule="auto"/>
        <w:ind w:left="0" w:firstLine="709"/>
        <w:jc w:val="both"/>
        <w:rPr>
          <w:rFonts w:ascii="Times New Roman" w:eastAsia="Times New Roman" w:hAnsi="Times New Roman" w:cs="Times New Roman"/>
          <w:kern w:val="0"/>
          <w:sz w:val="24"/>
          <w:szCs w:val="24"/>
          <w:lang w:val="uk-UA" w:eastAsia="uk-UA"/>
          <w14:ligatures w14:val="none"/>
        </w:rPr>
      </w:pPr>
      <w:r w:rsidRPr="00B44B71">
        <w:rPr>
          <w:rFonts w:ascii="Times New Roman" w:eastAsia="Times New Roman" w:hAnsi="Times New Roman" w:cs="Times New Roman"/>
          <w:kern w:val="0"/>
          <w:sz w:val="24"/>
          <w:szCs w:val="24"/>
          <w:lang w:val="uk-UA" w:eastAsia="uk-UA"/>
          <w14:ligatures w14:val="none"/>
        </w:rPr>
        <w:t xml:space="preserve">Yaremenko, V. V. (Trans.). (n.d.). </w:t>
      </w:r>
      <w:r w:rsidRPr="00B44B71">
        <w:rPr>
          <w:rFonts w:ascii="Times New Roman" w:eastAsia="Times New Roman" w:hAnsi="Times New Roman" w:cs="Times New Roman"/>
          <w:i/>
          <w:iCs/>
          <w:kern w:val="0"/>
          <w:sz w:val="24"/>
          <w:szCs w:val="24"/>
          <w:lang w:val="uk-UA" w:eastAsia="uk-UA"/>
          <w14:ligatures w14:val="none"/>
        </w:rPr>
        <w:t>Povist mynulykh lit</w:t>
      </w:r>
      <w:r w:rsidRPr="00B44B71">
        <w:rPr>
          <w:rFonts w:ascii="Times New Roman" w:eastAsia="Times New Roman" w:hAnsi="Times New Roman" w:cs="Times New Roman"/>
          <w:kern w:val="0"/>
          <w:sz w:val="24"/>
          <w:szCs w:val="24"/>
          <w:lang w:val="uk-UA" w:eastAsia="uk-UA"/>
          <w14:ligatures w14:val="none"/>
        </w:rPr>
        <w:t xml:space="preserve"> [Tale of Bygone Years]. </w:t>
      </w:r>
      <w:hyperlink r:id="rId395" w:tgtFrame="_new" w:history="1">
        <w:r w:rsidRPr="00B44B71">
          <w:rPr>
            <w:rFonts w:ascii="Times New Roman" w:eastAsia="Times New Roman" w:hAnsi="Times New Roman" w:cs="Times New Roman"/>
            <w:color w:val="0000FF"/>
            <w:kern w:val="0"/>
            <w:sz w:val="24"/>
            <w:szCs w:val="24"/>
            <w:u w:val="single"/>
            <w:lang w:val="uk-UA" w:eastAsia="uk-UA"/>
            <w14:ligatures w14:val="none"/>
          </w:rPr>
          <w:t>http://litopys.org.ua/pvlyar/yar.htm</w:t>
        </w:r>
      </w:hyperlink>
    </w:p>
    <w:p w14:paraId="516B3DA6" w14:textId="77777777" w:rsidR="00B44B71" w:rsidRPr="00B44B71" w:rsidRDefault="00B44B71" w:rsidP="00E967C0">
      <w:pPr>
        <w:shd w:val="clear" w:color="auto" w:fill="FFFFFF"/>
        <w:tabs>
          <w:tab w:val="left" w:pos="1276"/>
          <w:tab w:val="left" w:pos="9638"/>
        </w:tabs>
        <w:spacing w:after="0" w:line="240" w:lineRule="auto"/>
        <w:ind w:firstLine="709"/>
        <w:jc w:val="both"/>
        <w:rPr>
          <w:rFonts w:ascii="Calibri" w:eastAsia="Calibri" w:hAnsi="Calibri" w:cs="Times New Roman"/>
          <w:kern w:val="0"/>
          <w:lang w:val="uk-UA"/>
          <w14:ligatures w14:val="none"/>
        </w:rPr>
      </w:pPr>
      <w:r w:rsidRPr="00B44B71">
        <w:rPr>
          <w:rFonts w:ascii="Times New Roman" w:eastAsia="Times New Roman" w:hAnsi="Times New Roman" w:cs="Times New Roman"/>
          <w:kern w:val="0"/>
          <w:sz w:val="24"/>
          <w:szCs w:val="24"/>
          <w:lang w:val="uk-UA"/>
          <w14:ligatures w14:val="none"/>
        </w:rPr>
        <w:lastRenderedPageBreak/>
        <w:t xml:space="preserve">12.Solovei, T. V. (2022). State-building concept of Ivan Mazepa. In </w:t>
      </w:r>
      <w:r w:rsidRPr="00B44B71">
        <w:rPr>
          <w:rFonts w:ascii="Times New Roman" w:eastAsia="Times New Roman" w:hAnsi="Times New Roman" w:cs="Times New Roman"/>
          <w:i/>
          <w:iCs/>
          <w:kern w:val="0"/>
          <w:sz w:val="24"/>
          <w:szCs w:val="24"/>
          <w:lang w:val="uk-UA"/>
          <w14:ligatures w14:val="none"/>
        </w:rPr>
        <w:t>Current issues of Ukrainian and world history: Past and present</w:t>
      </w:r>
      <w:r w:rsidRPr="00B44B71">
        <w:rPr>
          <w:rFonts w:ascii="Times New Roman" w:eastAsia="Times New Roman" w:hAnsi="Times New Roman" w:cs="Times New Roman"/>
          <w:kern w:val="0"/>
          <w:sz w:val="24"/>
          <w:szCs w:val="24"/>
          <w:lang w:val="uk-UA"/>
          <w14:ligatures w14:val="none"/>
        </w:rPr>
        <w:t xml:space="preserve"> (pp. 73–75). Liha-Pres.  </w:t>
      </w:r>
      <w:hyperlink r:id="rId396" w:history="1">
        <w:r w:rsidRPr="00B44B71">
          <w:rPr>
            <w:rFonts w:ascii="Times New Roman" w:eastAsia="Times New Roman" w:hAnsi="Times New Roman" w:cs="Times New Roman"/>
            <w:color w:val="0000FF"/>
            <w:kern w:val="0"/>
            <w:sz w:val="24"/>
            <w:szCs w:val="24"/>
            <w:u w:val="single"/>
            <w:lang w:val="uk-UA" w:eastAsia="uk-UA"/>
            <w14:ligatures w14:val="none"/>
          </w:rPr>
          <w:t>https://doi.org/10.36059/978-966-397-270-1-20</w:t>
        </w:r>
      </w:hyperlink>
      <w:r w:rsidRPr="00B44B71">
        <w:rPr>
          <w:rFonts w:ascii="Calibri" w:eastAsia="Calibri" w:hAnsi="Calibri" w:cs="Times New Roman"/>
          <w:kern w:val="0"/>
          <w:lang w:val="uk-UA"/>
          <w14:ligatures w14:val="none"/>
        </w:rPr>
        <w:t>.</w:t>
      </w:r>
    </w:p>
    <w:p w14:paraId="1A28F4E8" w14:textId="77777777" w:rsidR="00B44B71" w:rsidRPr="00B44B71" w:rsidRDefault="00B44B71" w:rsidP="00023291">
      <w:pPr>
        <w:shd w:val="clear" w:color="auto" w:fill="FFFFFF"/>
        <w:tabs>
          <w:tab w:val="left" w:pos="9638"/>
        </w:tabs>
        <w:spacing w:after="0" w:line="240" w:lineRule="auto"/>
        <w:ind w:firstLine="709"/>
        <w:jc w:val="both"/>
        <w:rPr>
          <w:rFonts w:ascii="Calibri" w:eastAsia="Calibri" w:hAnsi="Calibri" w:cs="Times New Roman"/>
          <w:kern w:val="0"/>
          <w:lang w:val="uk-UA"/>
          <w14:ligatures w14:val="none"/>
        </w:rPr>
      </w:pPr>
    </w:p>
    <w:p w14:paraId="30481577"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p>
    <w:p w14:paraId="586C3E03" w14:textId="77777777" w:rsidR="00B44B71" w:rsidRPr="00B44B71" w:rsidRDefault="00B44B71" w:rsidP="00023291">
      <w:pPr>
        <w:shd w:val="clear" w:color="auto" w:fill="FFFFFF"/>
        <w:tabs>
          <w:tab w:val="left" w:pos="9638"/>
        </w:tabs>
        <w:spacing w:after="0" w:line="240" w:lineRule="auto"/>
        <w:ind w:firstLine="709"/>
        <w:jc w:val="both"/>
        <w:rPr>
          <w:rFonts w:ascii="Times New Roman" w:eastAsia="Times New Roman" w:hAnsi="Times New Roman" w:cs="Times New Roman"/>
          <w:kern w:val="0"/>
          <w:sz w:val="24"/>
          <w:szCs w:val="24"/>
          <w:lang w:val="uk-UA" w:eastAsia="uk-UA"/>
          <w14:ligatures w14:val="none"/>
        </w:rPr>
      </w:pPr>
    </w:p>
    <w:p w14:paraId="4B93D361"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надійшов до редакції 01.12.2025</w:t>
      </w:r>
    </w:p>
    <w:p w14:paraId="0121055C"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Рукопис прийнято до друку після рецензування 16.03.2026</w:t>
      </w:r>
    </w:p>
    <w:p w14:paraId="6AD75B15" w14:textId="77777777" w:rsidR="00B44B71" w:rsidRPr="00B44B71" w:rsidRDefault="00B44B71" w:rsidP="00023291">
      <w:pPr>
        <w:shd w:val="clear" w:color="auto" w:fill="FFFFFF"/>
        <w:tabs>
          <w:tab w:val="left" w:pos="9638"/>
        </w:tabs>
        <w:spacing w:after="0" w:line="240" w:lineRule="auto"/>
        <w:ind w:firstLine="709"/>
        <w:jc w:val="right"/>
        <w:rPr>
          <w:rFonts w:ascii="Times New Roman" w:eastAsia="Times New Roman" w:hAnsi="Times New Roman" w:cs="Times New Roman"/>
          <w:kern w:val="0"/>
          <w:sz w:val="24"/>
          <w:szCs w:val="24"/>
          <w:shd w:val="clear" w:color="auto" w:fill="FFFFFF"/>
          <w:lang w:val="uk-UA"/>
          <w14:ligatures w14:val="none"/>
        </w:rPr>
      </w:pPr>
      <w:r w:rsidRPr="00B44B71">
        <w:rPr>
          <w:rFonts w:ascii="Times New Roman" w:eastAsia="Times New Roman" w:hAnsi="Times New Roman" w:cs="Times New Roman"/>
          <w:kern w:val="0"/>
          <w:sz w:val="24"/>
          <w:szCs w:val="24"/>
          <w:shd w:val="clear" w:color="auto" w:fill="FFFFFF"/>
          <w:lang w:val="uk-UA"/>
          <w14:ligatures w14:val="none"/>
        </w:rPr>
        <w:t>Дата публікації 25.05.2026</w:t>
      </w:r>
    </w:p>
    <w:p w14:paraId="7DE6D6DA" w14:textId="74D93F5E" w:rsidR="00B44B71" w:rsidRPr="00B44B71" w:rsidRDefault="00E967C0" w:rsidP="00E967C0">
      <w:pPr>
        <w:tabs>
          <w:tab w:val="left" w:pos="9638"/>
        </w:tabs>
        <w:spacing w:after="0" w:line="240" w:lineRule="auto"/>
        <w:ind w:firstLine="709"/>
        <w:rPr>
          <w:rFonts w:ascii="Times New Roman" w:eastAsia="Times New Roman" w:hAnsi="Times New Roman" w:cs="Times New Roman"/>
          <w:bCs/>
          <w:kern w:val="0"/>
          <w:sz w:val="35"/>
          <w:szCs w:val="35"/>
          <w:lang w:val="uk-UA"/>
          <w14:ligatures w14:val="none"/>
        </w:rPr>
      </w:pPr>
      <w:r>
        <w:rPr>
          <w:rFonts w:ascii="Times New Roman" w:eastAsia="Times New Roman" w:hAnsi="Times New Roman" w:cs="Times New Roman"/>
          <w:b/>
          <w:bCs/>
          <w:kern w:val="0"/>
          <w:sz w:val="24"/>
          <w:szCs w:val="24"/>
          <w:lang w:val="uk-UA" w:eastAsia="ru-RU"/>
          <w14:ligatures w14:val="none"/>
        </w:rPr>
        <w:br w:type="column"/>
      </w:r>
    </w:p>
    <w:p w14:paraId="2C970AB6" w14:textId="77777777" w:rsidR="00E967C0" w:rsidRDefault="00E967C0" w:rsidP="00023291">
      <w:pPr>
        <w:tabs>
          <w:tab w:val="left" w:pos="2679"/>
          <w:tab w:val="left" w:pos="9638"/>
        </w:tabs>
        <w:spacing w:after="0" w:line="240" w:lineRule="auto"/>
        <w:ind w:firstLine="709"/>
        <w:jc w:val="center"/>
        <w:outlineLvl w:val="0"/>
        <w:rPr>
          <w:rFonts w:ascii="Times New Roman" w:eastAsia="Times New Roman" w:hAnsi="Times New Roman" w:cs="Times New Roman"/>
          <w:bCs/>
          <w:kern w:val="0"/>
          <w:sz w:val="35"/>
          <w:szCs w:val="35"/>
          <w:lang w:val="uk-UA"/>
          <w14:ligatures w14:val="none"/>
        </w:rPr>
      </w:pPr>
    </w:p>
    <w:p w14:paraId="6643DD99" w14:textId="77777777" w:rsidR="00E967C0" w:rsidRDefault="00E967C0" w:rsidP="00023291">
      <w:pPr>
        <w:tabs>
          <w:tab w:val="left" w:pos="2679"/>
          <w:tab w:val="left" w:pos="9638"/>
        </w:tabs>
        <w:spacing w:after="0" w:line="240" w:lineRule="auto"/>
        <w:ind w:firstLine="709"/>
        <w:jc w:val="center"/>
        <w:outlineLvl w:val="0"/>
        <w:rPr>
          <w:rFonts w:ascii="Times New Roman" w:eastAsia="Times New Roman" w:hAnsi="Times New Roman" w:cs="Times New Roman"/>
          <w:bCs/>
          <w:kern w:val="0"/>
          <w:sz w:val="35"/>
          <w:szCs w:val="35"/>
          <w:lang w:val="uk-UA"/>
          <w14:ligatures w14:val="none"/>
        </w:rPr>
      </w:pPr>
    </w:p>
    <w:p w14:paraId="140B77E0" w14:textId="77777777" w:rsidR="00E967C0" w:rsidRDefault="00E967C0" w:rsidP="00023291">
      <w:pPr>
        <w:tabs>
          <w:tab w:val="left" w:pos="2679"/>
          <w:tab w:val="left" w:pos="9638"/>
        </w:tabs>
        <w:spacing w:after="0" w:line="240" w:lineRule="auto"/>
        <w:ind w:firstLine="709"/>
        <w:jc w:val="center"/>
        <w:outlineLvl w:val="0"/>
        <w:rPr>
          <w:rFonts w:ascii="Times New Roman" w:eastAsia="Times New Roman" w:hAnsi="Times New Roman" w:cs="Times New Roman"/>
          <w:bCs/>
          <w:kern w:val="0"/>
          <w:sz w:val="35"/>
          <w:szCs w:val="35"/>
          <w:lang w:val="uk-UA"/>
          <w14:ligatures w14:val="none"/>
        </w:rPr>
      </w:pPr>
    </w:p>
    <w:p w14:paraId="3F37DE3C" w14:textId="77777777" w:rsidR="00E967C0" w:rsidRDefault="00E967C0" w:rsidP="00023291">
      <w:pPr>
        <w:tabs>
          <w:tab w:val="left" w:pos="2679"/>
          <w:tab w:val="left" w:pos="9638"/>
        </w:tabs>
        <w:spacing w:after="0" w:line="240" w:lineRule="auto"/>
        <w:ind w:firstLine="709"/>
        <w:jc w:val="center"/>
        <w:outlineLvl w:val="0"/>
        <w:rPr>
          <w:rFonts w:ascii="Times New Roman" w:eastAsia="Times New Roman" w:hAnsi="Times New Roman" w:cs="Times New Roman"/>
          <w:bCs/>
          <w:kern w:val="0"/>
          <w:sz w:val="35"/>
          <w:szCs w:val="35"/>
          <w:lang w:val="uk-UA"/>
          <w14:ligatures w14:val="none"/>
        </w:rPr>
      </w:pPr>
    </w:p>
    <w:p w14:paraId="31016793" w14:textId="77777777" w:rsidR="00E967C0" w:rsidRDefault="00E967C0" w:rsidP="00023291">
      <w:pPr>
        <w:tabs>
          <w:tab w:val="left" w:pos="2679"/>
          <w:tab w:val="left" w:pos="9638"/>
        </w:tabs>
        <w:spacing w:after="0" w:line="240" w:lineRule="auto"/>
        <w:ind w:firstLine="709"/>
        <w:jc w:val="center"/>
        <w:outlineLvl w:val="0"/>
        <w:rPr>
          <w:rFonts w:ascii="Times New Roman" w:eastAsia="Times New Roman" w:hAnsi="Times New Roman" w:cs="Times New Roman"/>
          <w:bCs/>
          <w:kern w:val="0"/>
          <w:sz w:val="35"/>
          <w:szCs w:val="35"/>
          <w:lang w:val="uk-UA"/>
          <w14:ligatures w14:val="none"/>
        </w:rPr>
      </w:pPr>
    </w:p>
    <w:p w14:paraId="7C50461A" w14:textId="77777777" w:rsidR="00E967C0" w:rsidRDefault="00E967C0" w:rsidP="00023291">
      <w:pPr>
        <w:tabs>
          <w:tab w:val="left" w:pos="2679"/>
          <w:tab w:val="left" w:pos="9638"/>
        </w:tabs>
        <w:spacing w:after="0" w:line="240" w:lineRule="auto"/>
        <w:ind w:firstLine="709"/>
        <w:jc w:val="center"/>
        <w:outlineLvl w:val="0"/>
        <w:rPr>
          <w:rFonts w:ascii="Times New Roman" w:eastAsia="Times New Roman" w:hAnsi="Times New Roman" w:cs="Times New Roman"/>
          <w:bCs/>
          <w:kern w:val="0"/>
          <w:sz w:val="35"/>
          <w:szCs w:val="35"/>
          <w:lang w:val="uk-UA"/>
          <w14:ligatures w14:val="none"/>
        </w:rPr>
      </w:pPr>
    </w:p>
    <w:p w14:paraId="0BB0F0D5" w14:textId="77777777" w:rsidR="00E967C0" w:rsidRDefault="00E967C0" w:rsidP="00023291">
      <w:pPr>
        <w:tabs>
          <w:tab w:val="left" w:pos="2679"/>
          <w:tab w:val="left" w:pos="9638"/>
        </w:tabs>
        <w:spacing w:after="0" w:line="240" w:lineRule="auto"/>
        <w:ind w:firstLine="709"/>
        <w:jc w:val="center"/>
        <w:outlineLvl w:val="0"/>
        <w:rPr>
          <w:rFonts w:ascii="Times New Roman" w:eastAsia="Times New Roman" w:hAnsi="Times New Roman" w:cs="Times New Roman"/>
          <w:bCs/>
          <w:kern w:val="0"/>
          <w:sz w:val="35"/>
          <w:szCs w:val="35"/>
          <w:lang w:val="uk-UA"/>
          <w14:ligatures w14:val="none"/>
        </w:rPr>
      </w:pPr>
    </w:p>
    <w:p w14:paraId="1598E54A" w14:textId="2E9E585F" w:rsidR="00B44B71" w:rsidRPr="00B44B71" w:rsidRDefault="00B44B71" w:rsidP="00023291">
      <w:pPr>
        <w:tabs>
          <w:tab w:val="left" w:pos="2679"/>
          <w:tab w:val="left" w:pos="9638"/>
        </w:tabs>
        <w:spacing w:after="0" w:line="240" w:lineRule="auto"/>
        <w:ind w:firstLine="709"/>
        <w:jc w:val="center"/>
        <w:outlineLvl w:val="0"/>
        <w:rPr>
          <w:rFonts w:ascii="Times New Roman" w:eastAsia="Times New Roman" w:hAnsi="Times New Roman" w:cs="Times New Roman"/>
          <w:b/>
          <w:bCs/>
          <w:sz w:val="31"/>
          <w:szCs w:val="31"/>
          <w:lang w:val="uk-UA" w:eastAsia="uk-UA"/>
          <w14:ligatures w14:val="none"/>
        </w:rPr>
      </w:pPr>
      <w:r w:rsidRPr="00B44B71">
        <w:rPr>
          <w:rFonts w:ascii="Times New Roman" w:eastAsia="Times New Roman" w:hAnsi="Times New Roman" w:cs="Times New Roman"/>
          <w:bCs/>
          <w:kern w:val="0"/>
          <w:sz w:val="35"/>
          <w:szCs w:val="35"/>
          <w:lang w:val="uk-UA"/>
          <w14:ligatures w14:val="none"/>
        </w:rPr>
        <w:t>ВІЙСЬКОВА ОСВІТА</w:t>
      </w:r>
    </w:p>
    <w:p w14:paraId="25A0FD02" w14:textId="77777777" w:rsidR="00B44B71" w:rsidRPr="00B44B71" w:rsidRDefault="00B44B71" w:rsidP="00023291">
      <w:pPr>
        <w:tabs>
          <w:tab w:val="left" w:pos="9638"/>
        </w:tabs>
        <w:spacing w:after="0" w:line="240" w:lineRule="auto"/>
        <w:ind w:firstLine="709"/>
        <w:rPr>
          <w:rFonts w:ascii="Times New Roman" w:eastAsia="Times New Roman" w:hAnsi="Times New Roman" w:cs="Times New Roman"/>
          <w:kern w:val="0"/>
          <w:sz w:val="30"/>
          <w:szCs w:val="30"/>
          <w:lang w:val="ru-RU"/>
          <w14:ligatures w14:val="none"/>
        </w:rPr>
      </w:pPr>
    </w:p>
    <w:p w14:paraId="2C170740"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8"/>
          <w:szCs w:val="28"/>
          <w:lang w:val="ru-RU" w:eastAsia="ru-RU"/>
          <w14:ligatures w14:val="none"/>
        </w:rPr>
      </w:pPr>
      <w:r w:rsidRPr="00B44B71">
        <w:rPr>
          <w:rFonts w:ascii="Times New Roman" w:eastAsia="Times New Roman" w:hAnsi="Times New Roman" w:cs="Times New Roman"/>
          <w:kern w:val="0"/>
          <w:sz w:val="28"/>
          <w:szCs w:val="28"/>
          <w:lang w:val="ru-RU"/>
          <w14:ligatures w14:val="none"/>
        </w:rPr>
        <w:t xml:space="preserve">Збірник наукових праць </w:t>
      </w:r>
    </w:p>
    <w:p w14:paraId="0A7DEDB5"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8"/>
          <w:szCs w:val="28"/>
          <w:lang w:val="ru-RU" w:eastAsia="ru-RU"/>
          <w14:ligatures w14:val="none"/>
        </w:rPr>
      </w:pPr>
      <w:r w:rsidRPr="00B44B71">
        <w:rPr>
          <w:rFonts w:ascii="Times New Roman" w:eastAsia="Times New Roman" w:hAnsi="Times New Roman" w:cs="Times New Roman"/>
          <w:kern w:val="0"/>
          <w:sz w:val="28"/>
          <w:szCs w:val="28"/>
          <w:lang w:val="ru-RU"/>
          <w14:ligatures w14:val="none"/>
        </w:rPr>
        <w:t>Національного університету оборони України</w:t>
      </w:r>
      <w:r w:rsidRPr="00B44B71">
        <w:rPr>
          <w:rFonts w:ascii="Times New Roman" w:eastAsia="Times New Roman" w:hAnsi="Times New Roman" w:cs="Times New Roman"/>
          <w:b/>
          <w:i/>
          <w:kern w:val="0"/>
          <w:sz w:val="28"/>
          <w:szCs w:val="28"/>
          <w:lang w:val="ru-RU"/>
          <w14:ligatures w14:val="none"/>
        </w:rPr>
        <w:t xml:space="preserve">, </w:t>
      </w:r>
      <w:r w:rsidRPr="00B44B71">
        <w:rPr>
          <w:rFonts w:ascii="Times New Roman" w:eastAsia="Times New Roman" w:hAnsi="Times New Roman" w:cs="Times New Roman"/>
          <w:kern w:val="0"/>
          <w:sz w:val="28"/>
          <w:szCs w:val="28"/>
          <w:lang w:val="ru-RU"/>
          <w14:ligatures w14:val="none"/>
        </w:rPr>
        <w:t>м. Київ</w:t>
      </w:r>
    </w:p>
    <w:p w14:paraId="1C14E8DC"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8"/>
          <w:szCs w:val="28"/>
          <w:lang w:val="ru-RU"/>
          <w14:ligatures w14:val="none"/>
        </w:rPr>
      </w:pPr>
    </w:p>
    <w:p w14:paraId="69360AEC"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3"/>
          <w:szCs w:val="23"/>
          <w:lang w:val="ru-RU" w:eastAsia="ru-RU"/>
          <w14:ligatures w14:val="none"/>
        </w:rPr>
      </w:pPr>
      <w:r w:rsidRPr="00B44B71">
        <w:rPr>
          <w:rFonts w:ascii="Times New Roman" w:eastAsia="Times New Roman" w:hAnsi="Times New Roman" w:cs="Times New Roman"/>
          <w:kern w:val="0"/>
          <w:sz w:val="27"/>
          <w:szCs w:val="27"/>
          <w:lang w:val="ru-RU"/>
          <w14:ligatures w14:val="none"/>
        </w:rPr>
        <w:t>№ 1 (51)</w:t>
      </w:r>
    </w:p>
    <w:p w14:paraId="594DF91E"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30"/>
          <w:szCs w:val="30"/>
          <w:lang w:val="ru-RU"/>
          <w14:ligatures w14:val="none"/>
        </w:rPr>
      </w:pPr>
    </w:p>
    <w:p w14:paraId="1F5AD7A1"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6"/>
          <w:szCs w:val="26"/>
          <w:lang w:val="ru-RU"/>
          <w14:ligatures w14:val="none"/>
        </w:rPr>
      </w:pPr>
    </w:p>
    <w:p w14:paraId="7B0F0C42"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6"/>
          <w:szCs w:val="26"/>
          <w:lang w:val="ru-RU"/>
          <w14:ligatures w14:val="none"/>
        </w:rPr>
      </w:pPr>
    </w:p>
    <w:p w14:paraId="0B5638D7" w14:textId="77777777" w:rsidR="00B44B71" w:rsidRPr="00C41969" w:rsidRDefault="00B44B71" w:rsidP="00023291">
      <w:pPr>
        <w:tabs>
          <w:tab w:val="left" w:pos="9638"/>
        </w:tabs>
        <w:spacing w:after="0" w:line="240" w:lineRule="auto"/>
        <w:ind w:firstLine="709"/>
        <w:jc w:val="center"/>
        <w:rPr>
          <w:rFonts w:ascii="Times New Roman" w:eastAsia="Times New Roman" w:hAnsi="Times New Roman" w:cs="Times New Roman"/>
          <w:kern w:val="0"/>
          <w:sz w:val="24"/>
          <w:szCs w:val="24"/>
          <w:lang w:val="ru-RU"/>
          <w14:ligatures w14:val="none"/>
        </w:rPr>
      </w:pPr>
    </w:p>
    <w:p w14:paraId="05CF4323" w14:textId="77777777" w:rsidR="00B44B71" w:rsidRPr="00C41969" w:rsidRDefault="00B44B71" w:rsidP="00C41969">
      <w:pPr>
        <w:tabs>
          <w:tab w:val="left" w:pos="2835"/>
          <w:tab w:val="left" w:pos="9638"/>
        </w:tabs>
        <w:spacing w:after="0" w:line="240" w:lineRule="auto"/>
        <w:ind w:firstLine="3544"/>
        <w:outlineLvl w:val="2"/>
        <w:rPr>
          <w:rFonts w:ascii="Times New Roman" w:eastAsia="Times New Roman" w:hAnsi="Times New Roman" w:cs="Times New Roman"/>
          <w:bCs/>
          <w:kern w:val="0"/>
          <w:sz w:val="24"/>
          <w:szCs w:val="24"/>
          <w:lang w:val="uk-UA"/>
          <w14:ligatures w14:val="none"/>
        </w:rPr>
      </w:pPr>
      <w:r w:rsidRPr="00C41969">
        <w:rPr>
          <w:rFonts w:ascii="Times New Roman" w:eastAsia="Times New Roman" w:hAnsi="Times New Roman" w:cs="Times New Roman"/>
          <w:bCs/>
          <w:kern w:val="0"/>
          <w:sz w:val="24"/>
          <w:szCs w:val="24"/>
          <w:lang w:val="uk-UA" w:eastAsia="ru-RU"/>
          <w14:ligatures w14:val="none"/>
        </w:rPr>
        <w:t xml:space="preserve">Відповідальний за випуск </w:t>
      </w:r>
      <w:r w:rsidRPr="00C41969">
        <w:rPr>
          <w:rFonts w:ascii="Times New Roman" w:eastAsia="Times New Roman" w:hAnsi="Times New Roman" w:cs="Times New Roman"/>
          <w:bCs/>
          <w:kern w:val="0"/>
          <w:sz w:val="24"/>
          <w:szCs w:val="24"/>
          <w:lang w:val="uk-UA"/>
          <w14:ligatures w14:val="none"/>
        </w:rPr>
        <w:t>Наливайко А.Д.</w:t>
      </w:r>
    </w:p>
    <w:p w14:paraId="7B4F3D93" w14:textId="77777777" w:rsidR="00B44B71" w:rsidRPr="00C41969" w:rsidRDefault="00B44B71" w:rsidP="00C41969">
      <w:pPr>
        <w:tabs>
          <w:tab w:val="left" w:pos="2835"/>
          <w:tab w:val="left" w:pos="9638"/>
        </w:tabs>
        <w:spacing w:after="0" w:line="240" w:lineRule="auto"/>
        <w:ind w:firstLine="3544"/>
        <w:outlineLvl w:val="2"/>
        <w:rPr>
          <w:rFonts w:ascii="Times New Roman" w:eastAsia="Times New Roman" w:hAnsi="Times New Roman" w:cs="Times New Roman"/>
          <w:bCs/>
          <w:kern w:val="0"/>
          <w:sz w:val="24"/>
          <w:szCs w:val="24"/>
          <w:lang w:val="uk-UA"/>
          <w14:ligatures w14:val="none"/>
        </w:rPr>
      </w:pPr>
      <w:r w:rsidRPr="00C41969">
        <w:rPr>
          <w:rFonts w:ascii="Times New Roman" w:eastAsia="Times New Roman" w:hAnsi="Times New Roman" w:cs="Times New Roman"/>
          <w:bCs/>
          <w:kern w:val="0"/>
          <w:sz w:val="24"/>
          <w:szCs w:val="24"/>
          <w:lang w:val="uk-UA"/>
          <w14:ligatures w14:val="none"/>
        </w:rPr>
        <w:t>Технічний редактор Шабатіна Н.О.</w:t>
      </w:r>
    </w:p>
    <w:p w14:paraId="29FA2285" w14:textId="77777777" w:rsidR="00B44B71" w:rsidRPr="007B09E7" w:rsidRDefault="00B44B71" w:rsidP="00C41969">
      <w:pPr>
        <w:tabs>
          <w:tab w:val="left" w:pos="2835"/>
          <w:tab w:val="left" w:pos="9638"/>
        </w:tabs>
        <w:spacing w:after="0" w:line="240" w:lineRule="auto"/>
        <w:ind w:firstLine="3544"/>
        <w:rPr>
          <w:rFonts w:ascii="Times New Roman" w:eastAsia="Times New Roman" w:hAnsi="Times New Roman" w:cs="Times New Roman"/>
          <w:kern w:val="0"/>
          <w:sz w:val="24"/>
          <w:szCs w:val="24"/>
          <w:lang w:val="uk-UA"/>
          <w14:ligatures w14:val="none"/>
        </w:rPr>
      </w:pPr>
      <w:r w:rsidRPr="00C41969">
        <w:rPr>
          <w:rFonts w:ascii="Times New Roman" w:eastAsia="Times New Roman" w:hAnsi="Times New Roman" w:cs="Times New Roman"/>
          <w:kern w:val="0"/>
          <w:sz w:val="24"/>
          <w:szCs w:val="24"/>
          <w:lang w:val="uk-UA"/>
          <w14:ligatures w14:val="none"/>
        </w:rPr>
        <w:t>Підтримка веб-сайту збірника Шабатіна Н.О.</w:t>
      </w:r>
    </w:p>
    <w:p w14:paraId="3B1658BF" w14:textId="4F68EF07" w:rsidR="00C41969" w:rsidRPr="00C41969" w:rsidRDefault="00C41969" w:rsidP="00C41969">
      <w:pPr>
        <w:tabs>
          <w:tab w:val="left" w:pos="2835"/>
          <w:tab w:val="left" w:pos="9638"/>
        </w:tabs>
        <w:spacing w:after="0" w:line="240" w:lineRule="auto"/>
        <w:ind w:firstLine="3544"/>
        <w:rPr>
          <w:rFonts w:ascii="Times New Roman" w:eastAsia="Times New Roman" w:hAnsi="Times New Roman" w:cs="Times New Roman"/>
          <w:kern w:val="0"/>
          <w:sz w:val="24"/>
          <w:szCs w:val="24"/>
          <w:lang w:val="ru-RU" w:eastAsia="ru-RU"/>
          <w14:ligatures w14:val="none"/>
        </w:rPr>
      </w:pPr>
      <w:r w:rsidRPr="00C41969">
        <w:rPr>
          <w:rFonts w:ascii="Times New Roman" w:hAnsi="Times New Roman" w:cs="Times New Roman"/>
          <w:bCs/>
          <w:iCs/>
          <w:sz w:val="24"/>
          <w:szCs w:val="24"/>
          <w:shd w:val="clear" w:color="auto" w:fill="FFFFFF"/>
          <w:lang w:val="ru-RU"/>
        </w:rPr>
        <w:t xml:space="preserve">Літературний редактор </w:t>
      </w:r>
      <w:r>
        <w:rPr>
          <w:rFonts w:ascii="Times New Roman" w:hAnsi="Times New Roman" w:cs="Times New Roman"/>
          <w:bCs/>
          <w:sz w:val="24"/>
          <w:szCs w:val="24"/>
          <w:shd w:val="clear" w:color="auto" w:fill="FFFFFF"/>
          <w:lang w:val="uk-UA"/>
        </w:rPr>
        <w:t>Є</w:t>
      </w:r>
      <w:r>
        <w:rPr>
          <w:rFonts w:ascii="Times New Roman" w:hAnsi="Times New Roman" w:cs="Times New Roman"/>
          <w:bCs/>
          <w:sz w:val="24"/>
          <w:szCs w:val="24"/>
          <w:shd w:val="clear" w:color="auto" w:fill="FFFFFF"/>
          <w:lang w:val="ru-RU"/>
        </w:rPr>
        <w:t>фи</w:t>
      </w:r>
      <w:r w:rsidRPr="00C41969">
        <w:rPr>
          <w:rFonts w:ascii="Times New Roman" w:hAnsi="Times New Roman" w:cs="Times New Roman"/>
          <w:bCs/>
          <w:sz w:val="24"/>
          <w:szCs w:val="24"/>
          <w:shd w:val="clear" w:color="auto" w:fill="FFFFFF"/>
          <w:lang w:val="ru-RU"/>
        </w:rPr>
        <w:t>менко Г</w:t>
      </w:r>
      <w:r>
        <w:rPr>
          <w:rFonts w:ascii="Times New Roman" w:hAnsi="Times New Roman" w:cs="Times New Roman"/>
          <w:bCs/>
          <w:sz w:val="24"/>
          <w:szCs w:val="24"/>
          <w:shd w:val="clear" w:color="auto" w:fill="FFFFFF"/>
          <w:lang w:val="ru-RU"/>
        </w:rPr>
        <w:t>.</w:t>
      </w:r>
      <w:r w:rsidRPr="00C41969">
        <w:rPr>
          <w:rFonts w:ascii="Times New Roman" w:hAnsi="Times New Roman" w:cs="Times New Roman"/>
          <w:bCs/>
          <w:sz w:val="24"/>
          <w:szCs w:val="24"/>
          <w:shd w:val="clear" w:color="auto" w:fill="FFFFFF"/>
          <w:lang w:val="ru-RU"/>
        </w:rPr>
        <w:t>А</w:t>
      </w:r>
      <w:r>
        <w:rPr>
          <w:rFonts w:ascii="Times New Roman" w:hAnsi="Times New Roman" w:cs="Times New Roman"/>
          <w:bCs/>
          <w:sz w:val="24"/>
          <w:szCs w:val="24"/>
          <w:shd w:val="clear" w:color="auto" w:fill="FFFFFF"/>
          <w:lang w:val="ru-RU"/>
        </w:rPr>
        <w:t>.</w:t>
      </w:r>
    </w:p>
    <w:p w14:paraId="7C0B145E" w14:textId="77777777" w:rsidR="00B44B71" w:rsidRPr="00C41969" w:rsidRDefault="00B44B71" w:rsidP="00C41969">
      <w:pPr>
        <w:tabs>
          <w:tab w:val="left" w:pos="2835"/>
          <w:tab w:val="left" w:pos="9638"/>
        </w:tabs>
        <w:spacing w:after="0" w:line="240" w:lineRule="auto"/>
        <w:ind w:firstLine="3544"/>
        <w:rPr>
          <w:rFonts w:ascii="Times New Roman" w:eastAsia="Times New Roman" w:hAnsi="Times New Roman" w:cs="Times New Roman"/>
          <w:kern w:val="0"/>
          <w:sz w:val="24"/>
          <w:szCs w:val="24"/>
          <w:lang w:val="uk-UA"/>
          <w14:ligatures w14:val="none"/>
        </w:rPr>
      </w:pPr>
    </w:p>
    <w:p w14:paraId="50194200" w14:textId="77777777" w:rsidR="00B44B71" w:rsidRPr="00C41969" w:rsidRDefault="00B44B71" w:rsidP="00023291">
      <w:pPr>
        <w:tabs>
          <w:tab w:val="left" w:pos="9638"/>
        </w:tabs>
        <w:spacing w:after="0" w:line="240" w:lineRule="auto"/>
        <w:ind w:firstLine="709"/>
        <w:jc w:val="center"/>
        <w:rPr>
          <w:rFonts w:ascii="Times New Roman" w:eastAsia="Times New Roman" w:hAnsi="Times New Roman" w:cs="Times New Roman"/>
          <w:kern w:val="0"/>
          <w:sz w:val="24"/>
          <w:szCs w:val="24"/>
          <w:lang w:val="uk-UA"/>
          <w14:ligatures w14:val="none"/>
        </w:rPr>
      </w:pPr>
    </w:p>
    <w:p w14:paraId="7405CA8C" w14:textId="77777777" w:rsidR="00B44B71" w:rsidRPr="00C41969" w:rsidRDefault="00B44B71" w:rsidP="00023291">
      <w:pPr>
        <w:tabs>
          <w:tab w:val="left" w:pos="9638"/>
        </w:tabs>
        <w:spacing w:after="0" w:line="240" w:lineRule="auto"/>
        <w:ind w:firstLine="709"/>
        <w:jc w:val="center"/>
        <w:rPr>
          <w:rFonts w:ascii="Times New Roman" w:eastAsia="Times New Roman" w:hAnsi="Times New Roman" w:cs="Times New Roman"/>
          <w:kern w:val="0"/>
          <w:sz w:val="24"/>
          <w:szCs w:val="24"/>
          <w:lang w:val="uk-UA"/>
          <w14:ligatures w14:val="none"/>
        </w:rPr>
      </w:pPr>
    </w:p>
    <w:p w14:paraId="1D3840D1"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i/>
          <w:kern w:val="0"/>
          <w:sz w:val="23"/>
          <w:szCs w:val="23"/>
          <w:lang w:val="uk-UA"/>
          <w14:ligatures w14:val="none"/>
        </w:rPr>
      </w:pPr>
    </w:p>
    <w:p w14:paraId="121B5165"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i/>
          <w:kern w:val="0"/>
          <w:sz w:val="23"/>
          <w:szCs w:val="23"/>
          <w:lang w:val="uk-UA"/>
          <w14:ligatures w14:val="none"/>
        </w:rPr>
      </w:pPr>
    </w:p>
    <w:p w14:paraId="3D0E3D66"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iCs/>
          <w:kern w:val="0"/>
          <w:sz w:val="23"/>
          <w:szCs w:val="23"/>
          <w:lang w:val="uk-UA"/>
          <w14:ligatures w14:val="none"/>
        </w:rPr>
      </w:pPr>
    </w:p>
    <w:p w14:paraId="66564440"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3"/>
          <w:szCs w:val="23"/>
          <w:lang w:val="uk-UA" w:eastAsia="ru-RU"/>
          <w14:ligatures w14:val="none"/>
        </w:rPr>
      </w:pPr>
      <w:r w:rsidRPr="00B44B71">
        <w:rPr>
          <w:rFonts w:ascii="Times New Roman" w:eastAsia="Times New Roman" w:hAnsi="Times New Roman" w:cs="Times New Roman"/>
          <w:iCs/>
          <w:kern w:val="0"/>
          <w:sz w:val="23"/>
          <w:szCs w:val="23"/>
          <w:lang w:val="uk-UA"/>
          <w14:ligatures w14:val="none"/>
        </w:rPr>
        <w:t xml:space="preserve">Свідоцтво про внесення суб’єкта видавничої справи до Державного реєстру видавців, виготівників і розповсюджувачів видавничої продукції, </w:t>
      </w:r>
    </w:p>
    <w:p w14:paraId="16852F0F"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3"/>
          <w:szCs w:val="23"/>
          <w:lang w:val="ru-RU" w:eastAsia="ru-RU"/>
          <w14:ligatures w14:val="none"/>
        </w:rPr>
      </w:pPr>
      <w:r w:rsidRPr="00B44B71">
        <w:rPr>
          <w:rFonts w:ascii="Times New Roman" w:eastAsia="Times New Roman" w:hAnsi="Times New Roman" w:cs="Times New Roman"/>
          <w:iCs/>
          <w:kern w:val="0"/>
          <w:sz w:val="23"/>
          <w:szCs w:val="23"/>
          <w:lang w:val="ru-RU"/>
          <w14:ligatures w14:val="none"/>
        </w:rPr>
        <w:t xml:space="preserve">серія ДК № 2205 від 02.06.2005 </w:t>
      </w:r>
    </w:p>
    <w:p w14:paraId="0E6B03D5"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i/>
          <w:kern w:val="0"/>
          <w:sz w:val="23"/>
          <w:szCs w:val="23"/>
          <w:lang w:val="ru-RU"/>
          <w14:ligatures w14:val="none"/>
        </w:rPr>
      </w:pPr>
    </w:p>
    <w:p w14:paraId="3A7EAA64"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i/>
          <w:kern w:val="0"/>
          <w:sz w:val="23"/>
          <w:szCs w:val="23"/>
          <w:lang w:val="ru-RU"/>
          <w14:ligatures w14:val="none"/>
        </w:rPr>
      </w:pPr>
    </w:p>
    <w:p w14:paraId="285B9805"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i/>
          <w:kern w:val="0"/>
          <w:sz w:val="23"/>
          <w:szCs w:val="23"/>
          <w:lang w:val="ru-RU"/>
          <w14:ligatures w14:val="none"/>
        </w:rPr>
      </w:pPr>
    </w:p>
    <w:p w14:paraId="5CE3BB8D"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i/>
          <w:kern w:val="0"/>
          <w:sz w:val="23"/>
          <w:szCs w:val="23"/>
          <w:lang w:val="ru-RU"/>
          <w14:ligatures w14:val="none"/>
        </w:rPr>
      </w:pPr>
    </w:p>
    <w:p w14:paraId="279EF1DB"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i/>
          <w:kern w:val="0"/>
          <w:sz w:val="23"/>
          <w:szCs w:val="23"/>
          <w:lang w:val="ru-RU"/>
          <w14:ligatures w14:val="none"/>
        </w:rPr>
      </w:pPr>
    </w:p>
    <w:p w14:paraId="17B12C0A"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i/>
          <w:kern w:val="0"/>
          <w:sz w:val="23"/>
          <w:szCs w:val="23"/>
          <w:lang w:val="ru-RU"/>
          <w14:ligatures w14:val="none"/>
        </w:rPr>
      </w:pPr>
    </w:p>
    <w:p w14:paraId="02F32812"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i/>
          <w:kern w:val="0"/>
          <w:sz w:val="23"/>
          <w:szCs w:val="23"/>
          <w:lang w:val="ru-RU"/>
          <w14:ligatures w14:val="none"/>
        </w:rPr>
      </w:pPr>
    </w:p>
    <w:p w14:paraId="4554E300"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3"/>
          <w:szCs w:val="23"/>
          <w:lang w:val="ru-RU"/>
          <w14:ligatures w14:val="none"/>
        </w:rPr>
      </w:pPr>
      <w:r w:rsidRPr="00B44B71">
        <w:rPr>
          <w:rFonts w:ascii="Calibri" w:eastAsia="Times New Roman" w:hAnsi="Calibri" w:cs="Times New Roman"/>
          <w:noProof/>
          <w:kern w:val="0"/>
          <w:lang w:val="uk-UA" w:eastAsia="uk-UA"/>
          <w14:ligatures w14:val="none"/>
        </w:rPr>
        <mc:AlternateContent>
          <mc:Choice Requires="wps">
            <w:drawing>
              <wp:anchor distT="0" distB="0" distL="114300" distR="114300" simplePos="0" relativeHeight="251659264" behindDoc="0" locked="0" layoutInCell="1" allowOverlap="1" wp14:anchorId="2ECA40E1" wp14:editId="2027BE40">
                <wp:simplePos x="0" y="0"/>
                <wp:positionH relativeFrom="column">
                  <wp:posOffset>1156335</wp:posOffset>
                </wp:positionH>
                <wp:positionV relativeFrom="paragraph">
                  <wp:posOffset>123190</wp:posOffset>
                </wp:positionV>
                <wp:extent cx="4163695" cy="5715"/>
                <wp:effectExtent l="9525" t="8255" r="0" b="24130"/>
                <wp:wrapNone/>
                <wp:docPr id="4" name="Полилиния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63695" cy="5715"/>
                        </a:xfrm>
                        <a:custGeom>
                          <a:avLst/>
                          <a:gdLst>
                            <a:gd name="G0" fmla="+- 0 0 0"/>
                            <a:gd name="G1" fmla="+- 0 0 0"/>
                            <a:gd name="G2" fmla="+- 0 0 0"/>
                            <a:gd name="G3" fmla="+- 10800 0 0"/>
                            <a:gd name="G4" fmla="+- 0 0 0"/>
                            <a:gd name="T0" fmla="*/ 360 256 1"/>
                            <a:gd name="T1" fmla="*/ 0 256 1"/>
                            <a:gd name="G5" fmla="+- G2 T0 T1"/>
                            <a:gd name="G6" fmla="?: G2 G2 G5"/>
                            <a:gd name="G7" fmla="+- 0 0 G6"/>
                            <a:gd name="G8" fmla="+- 0 0 0"/>
                            <a:gd name="G9" fmla="+- 0 0 0"/>
                            <a:gd name="G10" fmla="+- 0 0 2700"/>
                            <a:gd name="G11" fmla="cos G10 0"/>
                            <a:gd name="G12" fmla="sin G10 0"/>
                            <a:gd name="G13" fmla="cos 13500 0"/>
                            <a:gd name="G14" fmla="sin 13500 0"/>
                            <a:gd name="G15" fmla="+- G11 10800 0"/>
                            <a:gd name="G16" fmla="+- G12 10800 0"/>
                            <a:gd name="G17" fmla="+- G13 10800 0"/>
                            <a:gd name="G18" fmla="+- G14 10800 0"/>
                            <a:gd name="G19" fmla="*/ 0 1 2"/>
                            <a:gd name="G20" fmla="+- G19 5400 0"/>
                            <a:gd name="G21" fmla="cos G20 0"/>
                            <a:gd name="G22" fmla="sin G20 0"/>
                            <a:gd name="G23" fmla="+- G21 10800 0"/>
                            <a:gd name="G24" fmla="+- G12 G23 G22"/>
                            <a:gd name="G25" fmla="+- G22 G23 G11"/>
                            <a:gd name="G26" fmla="cos 10800 0"/>
                            <a:gd name="G27" fmla="sin 10800 0"/>
                            <a:gd name="G28" fmla="cos 0 0"/>
                            <a:gd name="G29" fmla="sin 0 0"/>
                            <a:gd name="G30" fmla="+- G26 10800 0"/>
                            <a:gd name="G31" fmla="+- G27 10800 0"/>
                            <a:gd name="G32" fmla="+- G28 10800 0"/>
                            <a:gd name="G33" fmla="+- G29 10800 0"/>
                            <a:gd name="G34" fmla="+- G19 5400 0"/>
                            <a:gd name="G35" fmla="cos G34 0"/>
                            <a:gd name="G36" fmla="sin G34 0"/>
                            <a:gd name="G37" fmla="+/ 0 0 2"/>
                            <a:gd name="T2" fmla="*/ 180 256 1"/>
                            <a:gd name="T3" fmla="*/ 0 256 1"/>
                            <a:gd name="G38" fmla="+- G37 T2 T3"/>
                            <a:gd name="G39" fmla="?: G2 G37 G38"/>
                            <a:gd name="G40" fmla="cos 10800 G39"/>
                            <a:gd name="G41" fmla="sin 10800 G39"/>
                            <a:gd name="G42" fmla="cos 0 G39"/>
                            <a:gd name="G43" fmla="sin 0 G39"/>
                            <a:gd name="G44" fmla="+- G40 10800 0"/>
                            <a:gd name="G45" fmla="+- G41 10800 0"/>
                            <a:gd name="G46" fmla="+- G42 10800 0"/>
                            <a:gd name="G47" fmla="+- G43 10800 0"/>
                            <a:gd name="G48" fmla="+- G35 10800 0"/>
                            <a:gd name="G49" fmla="+- G36 10800 0"/>
                            <a:gd name="T4" fmla="*/ 4163695 w 4163695"/>
                            <a:gd name="T5" fmla="*/ 2858 h 5715"/>
                            <a:gd name="T6" fmla="*/ 2081848 w 4163695"/>
                            <a:gd name="T7" fmla="*/ 5715 h 5715"/>
                            <a:gd name="T8" fmla="*/ 0 w 4163695"/>
                            <a:gd name="T9" fmla="*/ 2858 h 5715"/>
                            <a:gd name="T10" fmla="*/ 2081848 w 4163695"/>
                            <a:gd name="T11" fmla="*/ 0 h 5715"/>
                            <a:gd name="T12" fmla="*/ 0 60000 65536"/>
                            <a:gd name="T13" fmla="*/ 5898240 60000 65536"/>
                            <a:gd name="T14" fmla="*/ 11796480 60000 65536"/>
                            <a:gd name="T15" fmla="*/ 17694720 60000 65536"/>
                            <a:gd name="T16" fmla="*/ 0 w 4163695"/>
                            <a:gd name="T17" fmla="*/ 0 h 5715"/>
                            <a:gd name="T18" fmla="*/ 4163695 w 4163695"/>
                            <a:gd name="T19" fmla="*/ 5715 h 5715"/>
                          </a:gdLst>
                          <a:ahLst/>
                          <a:cxnLst>
                            <a:cxn ang="T12">
                              <a:pos x="T4" y="T5"/>
                            </a:cxn>
                            <a:cxn ang="T13">
                              <a:pos x="T6" y="T7"/>
                            </a:cxn>
                            <a:cxn ang="T14">
                              <a:pos x="T8" y="T9"/>
                            </a:cxn>
                            <a:cxn ang="T15">
                              <a:pos x="T10" y="T11"/>
                            </a:cxn>
                          </a:cxnLst>
                          <a:rect l="T16" t="T17" r="T18" b="T19"/>
                          <a:pathLst>
                            <a:path w="4163695" h="5715">
                              <a:moveTo>
                                <a:pt x="0" y="0"/>
                              </a:moveTo>
                              <a:lnTo>
                                <a:pt x="21600" y="21600"/>
                              </a:lnTo>
                            </a:path>
                          </a:pathLst>
                        </a:custGeom>
                        <a:noFill/>
                        <a:ln w="9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7F0AF44" id="Полилиния 4" o:spid="_x0000_s1026" style="position:absolute;margin-left:91.05pt;margin-top:9.7pt;width:327.85pt;height:.4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16369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" path="m,l21600,21600e" filled="f" strokeweight=".26mm">
                <v:path o:connecttype="custom" o:connectlocs="4163695,2858;2081848,5715;0,2858;2081848,0" o:connectangles="0,90,180,270" textboxrect="0,0,4163695,5715"/>
              </v:shape>
            </w:pict>
          </mc:Fallback>
        </mc:AlternateContent>
      </w:r>
    </w:p>
    <w:p w14:paraId="64955423" w14:textId="3684A306"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3"/>
          <w:szCs w:val="23"/>
          <w:lang w:val="ru-RU" w:eastAsia="ru-RU"/>
          <w14:ligatures w14:val="none"/>
        </w:rPr>
      </w:pPr>
      <w:r w:rsidRPr="00B44B71">
        <w:rPr>
          <w:rFonts w:ascii="Times New Roman" w:eastAsia="Times New Roman" w:hAnsi="Times New Roman" w:cs="Times New Roman"/>
          <w:kern w:val="0"/>
          <w:sz w:val="23"/>
          <w:szCs w:val="23"/>
          <w:lang w:val="ru-RU"/>
          <w14:ligatures w14:val="none"/>
        </w:rPr>
        <w:t xml:space="preserve">Підписано до друку </w:t>
      </w:r>
      <w:r>
        <w:rPr>
          <w:rFonts w:ascii="Times New Roman" w:eastAsia="Times New Roman" w:hAnsi="Times New Roman" w:cs="Times New Roman"/>
          <w:kern w:val="0"/>
          <w:sz w:val="23"/>
          <w:szCs w:val="23"/>
          <w:lang w:val="ru-RU"/>
          <w14:ligatures w14:val="none"/>
        </w:rPr>
        <w:t>22</w:t>
      </w:r>
      <w:r w:rsidRPr="00B44B71">
        <w:rPr>
          <w:rFonts w:ascii="Times New Roman" w:eastAsia="Times New Roman" w:hAnsi="Times New Roman" w:cs="Times New Roman"/>
          <w:kern w:val="0"/>
          <w:sz w:val="23"/>
          <w:szCs w:val="23"/>
          <w:lang w:val="ru-RU"/>
          <w14:ligatures w14:val="none"/>
        </w:rPr>
        <w:t>. 0</w:t>
      </w:r>
      <w:r>
        <w:rPr>
          <w:rFonts w:ascii="Times New Roman" w:eastAsia="Times New Roman" w:hAnsi="Times New Roman" w:cs="Times New Roman"/>
          <w:kern w:val="0"/>
          <w:sz w:val="23"/>
          <w:szCs w:val="23"/>
          <w:lang w:val="ru-RU"/>
          <w14:ligatures w14:val="none"/>
        </w:rPr>
        <w:t>5</w:t>
      </w:r>
      <w:r w:rsidRPr="00B44B71">
        <w:rPr>
          <w:rFonts w:ascii="Times New Roman" w:eastAsia="Times New Roman" w:hAnsi="Times New Roman" w:cs="Times New Roman"/>
          <w:kern w:val="0"/>
          <w:sz w:val="23"/>
          <w:szCs w:val="23"/>
          <w:lang w:val="ru-RU"/>
          <w14:ligatures w14:val="none"/>
        </w:rPr>
        <w:t xml:space="preserve">. </w:t>
      </w:r>
      <w:r>
        <w:rPr>
          <w:rFonts w:ascii="Times New Roman" w:eastAsia="Times New Roman" w:hAnsi="Times New Roman" w:cs="Times New Roman"/>
          <w:kern w:val="0"/>
          <w:sz w:val="23"/>
          <w:szCs w:val="23"/>
          <w:lang w:val="ru-RU"/>
          <w14:ligatures w14:val="none"/>
        </w:rPr>
        <w:t>26</w:t>
      </w:r>
      <w:r w:rsidRPr="00B44B71">
        <w:rPr>
          <w:rFonts w:ascii="Times New Roman" w:eastAsia="Times New Roman" w:hAnsi="Times New Roman" w:cs="Times New Roman"/>
          <w:kern w:val="0"/>
          <w:sz w:val="23"/>
          <w:szCs w:val="23"/>
          <w:lang w:val="ru-RU"/>
          <w14:ligatures w14:val="none"/>
        </w:rPr>
        <w:t>. Формат 60х84 1/16</w:t>
      </w:r>
    </w:p>
    <w:p w14:paraId="4FC9AB17" w14:textId="4D63F664"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3"/>
          <w:szCs w:val="23"/>
          <w:lang w:val="ru-RU" w:eastAsia="ru-RU"/>
          <w14:ligatures w14:val="none"/>
        </w:rPr>
      </w:pPr>
      <w:r w:rsidRPr="00B44B71">
        <w:rPr>
          <w:rFonts w:ascii="Times New Roman" w:eastAsia="Times New Roman" w:hAnsi="Times New Roman" w:cs="Times New Roman"/>
          <w:kern w:val="0"/>
          <w:sz w:val="23"/>
          <w:szCs w:val="23"/>
          <w:lang w:val="ru-RU"/>
          <w14:ligatures w14:val="none"/>
        </w:rPr>
        <w:t>Зам. 233. Обл-вид. арк. 10,064. Друк. арк. 22,5. Тираж 1</w:t>
      </w:r>
      <w:r>
        <w:rPr>
          <w:rFonts w:ascii="Times New Roman" w:eastAsia="Times New Roman" w:hAnsi="Times New Roman" w:cs="Times New Roman"/>
          <w:kern w:val="0"/>
          <w:sz w:val="23"/>
          <w:szCs w:val="23"/>
          <w:lang w:val="ru-RU"/>
          <w14:ligatures w14:val="none"/>
        </w:rPr>
        <w:t>5</w:t>
      </w:r>
      <w:r w:rsidRPr="00B44B71">
        <w:rPr>
          <w:rFonts w:ascii="Times New Roman" w:eastAsia="Times New Roman" w:hAnsi="Times New Roman" w:cs="Times New Roman"/>
          <w:kern w:val="0"/>
          <w:sz w:val="23"/>
          <w:szCs w:val="23"/>
          <w:lang w:val="ru-RU"/>
          <w14:ligatures w14:val="none"/>
        </w:rPr>
        <w:t xml:space="preserve"> прим. </w:t>
      </w:r>
    </w:p>
    <w:p w14:paraId="06B56C2C" w14:textId="77777777" w:rsidR="00B44B71" w:rsidRPr="00B44B71" w:rsidRDefault="00B44B71" w:rsidP="00023291">
      <w:pPr>
        <w:tabs>
          <w:tab w:val="left" w:pos="9638"/>
        </w:tabs>
        <w:spacing w:after="0" w:line="240" w:lineRule="auto"/>
        <w:ind w:firstLine="709"/>
        <w:jc w:val="center"/>
        <w:rPr>
          <w:rFonts w:ascii="Times New Roman" w:eastAsia="Times New Roman" w:hAnsi="Times New Roman" w:cs="Times New Roman"/>
          <w:kern w:val="0"/>
          <w:sz w:val="23"/>
          <w:szCs w:val="23"/>
          <w:lang w:val="ru-RU" w:eastAsia="ru-RU"/>
          <w14:ligatures w14:val="none"/>
        </w:rPr>
      </w:pPr>
      <w:r w:rsidRPr="00B44B71">
        <w:rPr>
          <w:rFonts w:ascii="Times New Roman" w:eastAsia="Times New Roman" w:hAnsi="Times New Roman" w:cs="Times New Roman"/>
          <w:iCs/>
          <w:kern w:val="0"/>
          <w:sz w:val="23"/>
          <w:szCs w:val="23"/>
          <w:lang w:val="ru-RU"/>
          <w14:ligatures w14:val="none"/>
        </w:rPr>
        <w:t>Друкарня НУОУ</w:t>
      </w:r>
    </w:p>
    <w:p w14:paraId="79038D27" w14:textId="77777777" w:rsidR="00B44B71" w:rsidRPr="00B44B71" w:rsidRDefault="00B44B71" w:rsidP="00023291">
      <w:pPr>
        <w:tabs>
          <w:tab w:val="left" w:pos="9638"/>
        </w:tabs>
        <w:spacing w:after="200" w:line="276" w:lineRule="auto"/>
        <w:ind w:firstLine="709"/>
        <w:rPr>
          <w:rFonts w:ascii="Calibri" w:eastAsia="Times New Roman" w:hAnsi="Calibri" w:cs="Times New Roman"/>
          <w:kern w:val="0"/>
          <w:lang w:val="uk-UA"/>
          <w14:ligatures w14:val="none"/>
        </w:rPr>
      </w:pPr>
    </w:p>
    <w:p w14:paraId="190F4FBC" w14:textId="77777777" w:rsidR="00015F9C" w:rsidRPr="003C3582" w:rsidRDefault="00015F9C" w:rsidP="00023291">
      <w:pPr>
        <w:tabs>
          <w:tab w:val="left" w:pos="9638"/>
        </w:tabs>
        <w:rPr>
          <w:lang w:val="ru-RU"/>
        </w:rPr>
      </w:pPr>
    </w:p>
    <w:sectPr w:rsidR="00015F9C" w:rsidRPr="003C3582" w:rsidSect="008B4F54">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0261DC" w14:textId="77777777" w:rsidR="00281F60" w:rsidRDefault="00281F60">
      <w:pPr>
        <w:spacing w:after="0" w:line="240" w:lineRule="auto"/>
      </w:pPr>
      <w:r>
        <w:separator/>
      </w:r>
    </w:p>
  </w:endnote>
  <w:endnote w:type="continuationSeparator" w:id="0">
    <w:p w14:paraId="2A9D3A7E" w14:textId="77777777" w:rsidR="00281F60" w:rsidRDefault="00281F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TimesNewRomanPSMT">
    <w:altName w:val="Times New Roman"/>
    <w:panose1 w:val="020B0604020202020204"/>
    <w:charset w:val="00"/>
    <w:family w:val="roman"/>
    <w:notTrueType/>
    <w:pitch w:val="default"/>
    <w:sig w:usb0="00000203" w:usb1="00000000" w:usb2="00000000" w:usb3="00000000" w:csb0="00000005" w:csb1="00000000"/>
  </w:font>
  <w:font w:name="Special#Default Metrics Font">
    <w:altName w:val="Cambria"/>
    <w:panose1 w:val="020B0604020202020204"/>
    <w:charset w:val="00"/>
    <w:family w:val="roman"/>
    <w:notTrueType/>
    <w:pitch w:val="default"/>
    <w:sig w:usb0="00000003" w:usb1="00000000" w:usb2="00000000" w:usb3="00000000" w:csb0="00000001" w:csb1="00000000"/>
  </w:font>
  <w:font w:name="Antiqua">
    <w:altName w:val="Segoe UI"/>
    <w:panose1 w:val="020B0604020202020204"/>
    <w:charset w:val="00"/>
    <w:family w:val="auto"/>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 w:name="Raavi">
    <w:panose1 w:val="020B0502040204020203"/>
    <w:charset w:val="00"/>
    <w:family w:val="swiss"/>
    <w:notTrueType/>
    <w:pitch w:val="variable"/>
    <w:sig w:usb0="00020003" w:usb1="00000000" w:usb2="00000000" w:usb3="00000000" w:csb0="00000001" w:csb1="00000000"/>
  </w:font>
  <w:font w:name="MZGSBU+HeliosCond-Bold">
    <w:altName w:val="Arial"/>
    <w:panose1 w:val="020B0604020202020204"/>
    <w:charset w:val="00"/>
    <w:family w:val="swiss"/>
    <w:notTrueType/>
    <w:pitch w:val="default"/>
    <w:sig w:usb0="00000203" w:usb1="00000000" w:usb2="00000000" w:usb3="00000000" w:csb0="00000005" w:csb1="00000000"/>
  </w:font>
  <w:font w:name="BYTEDQ+HeliosCond">
    <w:altName w:val="Arial"/>
    <w:panose1 w:val="020B0604020202020204"/>
    <w:charset w:val="CC"/>
    <w:family w:val="swiss"/>
    <w:notTrueType/>
    <w:pitch w:val="default"/>
    <w:sig w:usb0="00000203" w:usb1="00000000" w:usb2="00000000" w:usb3="00000000" w:csb0="00000005" w:csb1="00000000"/>
  </w:font>
  <w:font w:name="Garamond">
    <w:panose1 w:val="02020404030301010803"/>
    <w:charset w:val="CC"/>
    <w:family w:val="roman"/>
    <w:pitch w:val="variable"/>
    <w:sig w:usb0="00000287" w:usb1="00000002" w:usb2="00000000" w:usb3="00000000" w:csb0="0000009F" w:csb1="00000000"/>
  </w:font>
  <w:font w:name="Constantia">
    <w:panose1 w:val="02030602050306030303"/>
    <w:charset w:val="CC"/>
    <w:family w:val="roman"/>
    <w:pitch w:val="variable"/>
    <w:sig w:usb0="A00002EF" w:usb1="4000204B" w:usb2="00000000" w:usb3="00000000" w:csb0="0000019F" w:csb1="00000000"/>
  </w:font>
  <w:font w:name="Minion Pro">
    <w:altName w:val="Cambria"/>
    <w:panose1 w:val="020B0604020202020204"/>
    <w:charset w:val="CC"/>
    <w:family w:val="roman"/>
    <w:notTrueType/>
    <w:pitch w:val="default"/>
    <w:sig w:usb0="00000201" w:usb1="00000000" w:usb2="00000000" w:usb3="00000000" w:csb0="00000004" w:csb1="00000000"/>
  </w:font>
  <w:font w:name="Droid Sans Fallback">
    <w:panose1 w:val="020B0604020202020204"/>
    <w:charset w:val="00"/>
    <w:family w:val="roman"/>
    <w:notTrueType/>
    <w:pitch w:val="default"/>
    <w:sig w:usb0="00000003" w:usb1="00000000" w:usb2="00000000" w:usb3="00000000" w:csb0="00000001" w:csb1="00000000"/>
  </w:font>
  <w:font w:name="Arial Black">
    <w:panose1 w:val="020B0A04020102020204"/>
    <w:charset w:val="CC"/>
    <w:family w:val="swiss"/>
    <w:pitch w:val="variable"/>
    <w:sig w:usb0="A00002AF" w:usb1="400078FB" w:usb2="00000000" w:usb3="00000000" w:csb0="0000009F" w:csb1="00000000"/>
  </w:font>
  <w:font w:name="Aptos">
    <w:panose1 w:val="020B0004020202020204"/>
    <w:charset w:val="00"/>
    <w:family w:val="swiss"/>
    <w:pitch w:val="variable"/>
    <w:sig w:usb0="20000287" w:usb1="00000003"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inherit">
    <w:altName w:val="Cambria"/>
    <w:panose1 w:val="020B0604020202020204"/>
    <w:charset w:val="00"/>
    <w:family w:val="roman"/>
    <w:notTrueType/>
    <w:pitch w:val="default"/>
    <w:sig w:usb0="00000003" w:usb1="00000000" w:usb2="00000000" w:usb3="00000000" w:csb0="00000001" w:csb1="00000000"/>
  </w:font>
  <w:font w:name="Consolas">
    <w:panose1 w:val="020B0609020204030204"/>
    <w:charset w:val="CC"/>
    <w:family w:val="modern"/>
    <w:pitch w:val="fixed"/>
    <w:sig w:usb0="E10006FF" w:usb1="4000FCFF" w:usb2="00000009" w:usb3="00000000" w:csb0="0000019F" w:csb1="00000000"/>
  </w:font>
  <w:font w:name="Segoe UI">
    <w:panose1 w:val="020B0502040204020203"/>
    <w:charset w:val="CC"/>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Noto Sans">
    <w:altName w:val="Arial"/>
    <w:panose1 w:val="020B0502040504020204"/>
    <w:charset w:val="00"/>
    <w:family w:val="swiss"/>
    <w:pitch w:val="variable"/>
    <w:sig w:usb0="E00082FF" w:usb1="400078FF" w:usb2="00000021"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3146657"/>
      <w:docPartObj>
        <w:docPartGallery w:val="Page Numbers (Bottom of Page)"/>
        <w:docPartUnique/>
      </w:docPartObj>
    </w:sdtPr>
    <w:sdtContent>
      <w:p w14:paraId="29202A09" w14:textId="65CFF5BA" w:rsidR="00F25FCF" w:rsidRDefault="00F25FCF">
        <w:pPr>
          <w:pStyle w:val="Footer"/>
          <w:jc w:val="center"/>
        </w:pPr>
        <w:r>
          <w:fldChar w:fldCharType="begin"/>
        </w:r>
        <w:r>
          <w:instrText>PAGE   \* MERGEFORMAT</w:instrText>
        </w:r>
        <w:r>
          <w:fldChar w:fldCharType="separate"/>
        </w:r>
        <w:r w:rsidR="00B15B58" w:rsidRPr="00B15B58">
          <w:rPr>
            <w:noProof/>
            <w:lang w:val="ru-RU"/>
          </w:rPr>
          <w:t>68</w:t>
        </w:r>
        <w:r>
          <w:fldChar w:fldCharType="end"/>
        </w:r>
      </w:p>
    </w:sdtContent>
  </w:sdt>
  <w:p w14:paraId="436D1355" w14:textId="77777777" w:rsidR="00F25FCF" w:rsidRDefault="00F25FC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C31F2D" w14:textId="77777777" w:rsidR="00F25FCF" w:rsidRDefault="00F25FCF">
    <w:pPr>
      <w:pStyle w:val="Footer"/>
      <w:jc w:val="center"/>
    </w:pPr>
    <w:r>
      <w:fldChar w:fldCharType="begin"/>
    </w:r>
    <w:r>
      <w:instrText>PAGE   \* MERGEFORMAT</w:instrText>
    </w:r>
    <w:r>
      <w:fldChar w:fldCharType="separate"/>
    </w:r>
    <w:r w:rsidR="00363C17" w:rsidRPr="00363C17">
      <w:rPr>
        <w:noProof/>
        <w:lang w:val="uk-UA"/>
      </w:rPr>
      <w:t>317</w:t>
    </w:r>
    <w:r>
      <w:fldChar w:fldCharType="end"/>
    </w:r>
  </w:p>
  <w:p w14:paraId="148FE754" w14:textId="77777777" w:rsidR="00F25FCF" w:rsidRDefault="00F25FC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BF7B7" w14:textId="77777777" w:rsidR="00F25FCF" w:rsidRDefault="00F25FCF">
    <w:pPr>
      <w:pStyle w:val="Footer"/>
      <w:jc w:val="center"/>
    </w:pPr>
    <w:r>
      <w:fldChar w:fldCharType="begin"/>
    </w:r>
    <w:r>
      <w:instrText>PAGE   \* MERGEFORMAT</w:instrText>
    </w:r>
    <w:r>
      <w:fldChar w:fldCharType="separate"/>
    </w:r>
    <w:r w:rsidR="00B15B58" w:rsidRPr="00B15B58">
      <w:rPr>
        <w:noProof/>
        <w:lang w:val="ru-RU"/>
      </w:rPr>
      <w:t>303</w:t>
    </w:r>
    <w:r>
      <w:fldChar w:fldCharType="end"/>
    </w:r>
  </w:p>
  <w:p w14:paraId="0D5B2E48" w14:textId="77777777" w:rsidR="00F25FCF" w:rsidRDefault="00F25FCF" w:rsidP="00F918EC">
    <w:pPr>
      <w:pStyle w:val="Footer"/>
      <w:tabs>
        <w:tab w:val="clear" w:pos="9639"/>
        <w:tab w:val="right" w:pos="9638"/>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B442C7" w14:textId="77777777" w:rsidR="00281F60" w:rsidRDefault="00281F60">
      <w:pPr>
        <w:spacing w:after="0" w:line="240" w:lineRule="auto"/>
      </w:pPr>
      <w:r>
        <w:separator/>
      </w:r>
    </w:p>
  </w:footnote>
  <w:footnote w:type="continuationSeparator" w:id="0">
    <w:p w14:paraId="02360029" w14:textId="77777777" w:rsidR="00281F60" w:rsidRDefault="00281F6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52BA3" w14:textId="00EE3758" w:rsidR="00F25FCF" w:rsidRPr="005C6658" w:rsidRDefault="00F25FCF" w:rsidP="005C6658">
    <w:pPr>
      <w:pStyle w:val="Header"/>
      <w:pBdr>
        <w:bottom w:val="thickThinSmallGap" w:sz="24" w:space="1" w:color="622423"/>
      </w:pBdr>
      <w:rPr>
        <w:sz w:val="32"/>
        <w:szCs w:val="32"/>
        <w:lang w:val="uk-UA"/>
      </w:rPr>
    </w:pPr>
    <w:r w:rsidRPr="006904B1">
      <w:rPr>
        <w:sz w:val="28"/>
        <w:szCs w:val="28"/>
        <w:lang w:val="uk-UA"/>
      </w:rPr>
      <w:t xml:space="preserve">Військова освіта                                                                             </w:t>
    </w:r>
    <w:r>
      <w:rPr>
        <w:sz w:val="28"/>
        <w:szCs w:val="28"/>
        <w:lang w:val="uk-UA"/>
      </w:rPr>
      <w:t xml:space="preserve">          1 (53), 2026</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106EFC" w14:textId="64AB21CA" w:rsidR="00F25FCF" w:rsidRPr="005C6658" w:rsidRDefault="00F25FCF" w:rsidP="00027226">
    <w:pPr>
      <w:pStyle w:val="Header"/>
      <w:pBdr>
        <w:bottom w:val="thickThinSmallGap" w:sz="24" w:space="1" w:color="622423"/>
      </w:pBdr>
      <w:rPr>
        <w:sz w:val="32"/>
        <w:szCs w:val="32"/>
        <w:lang w:val="uk-UA"/>
      </w:rPr>
    </w:pPr>
    <w:r w:rsidRPr="006904B1">
      <w:rPr>
        <w:sz w:val="28"/>
        <w:szCs w:val="28"/>
        <w:lang w:val="uk-UA"/>
      </w:rPr>
      <w:t xml:space="preserve">Військова освіта                                                                             </w:t>
    </w:r>
    <w:r>
      <w:rPr>
        <w:sz w:val="28"/>
        <w:szCs w:val="28"/>
        <w:lang w:val="uk-UA"/>
      </w:rPr>
      <w:t xml:space="preserve">          1 (53), 2026</w:t>
    </w:r>
  </w:p>
  <w:p w14:paraId="0408249E" w14:textId="466325BA" w:rsidR="00F25FCF" w:rsidRDefault="00F25FCF">
    <w:pPr>
      <w:pStyle w:val="Header"/>
    </w:pPr>
  </w:p>
  <w:p w14:paraId="2FBA4DCE" w14:textId="77777777" w:rsidR="00F25FCF" w:rsidRPr="00F42129" w:rsidRDefault="00F25FCF">
    <w:pPr>
      <w:pStyle w:val="Header"/>
      <w:rPr>
        <w:lang w:val="uk-U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F3ACBA46"/>
    <w:name w:val="WWNum8"/>
    <w:lvl w:ilvl="0">
      <w:start w:val="1"/>
      <w:numFmt w:val="decimal"/>
      <w:lvlText w:val="%1."/>
      <w:lvlJc w:val="left"/>
      <w:pPr>
        <w:tabs>
          <w:tab w:val="num" w:pos="0"/>
        </w:tabs>
        <w:ind w:left="720" w:hanging="360"/>
      </w:pPr>
      <w:rPr>
        <w:b w:val="0"/>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0" w:firstLine="0"/>
      </w:pPr>
      <w:rPr>
        <w:bCs/>
        <w:sz w:val="28"/>
        <w:szCs w:val="28"/>
      </w:r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34761E3"/>
    <w:multiLevelType w:val="hybridMultilevel"/>
    <w:tmpl w:val="0994B6DA"/>
    <w:lvl w:ilvl="0" w:tplc="20000001">
      <w:start w:val="1"/>
      <w:numFmt w:val="bullet"/>
      <w:lvlText w:val=""/>
      <w:lvlJc w:val="left"/>
      <w:pPr>
        <w:ind w:left="927" w:hanging="360"/>
      </w:pPr>
      <w:rPr>
        <w:rFonts w:ascii="Symbol" w:hAnsi="Symbol"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3" w15:restartNumberingAfterBreak="0">
    <w:nsid w:val="0FC23409"/>
    <w:multiLevelType w:val="hybridMultilevel"/>
    <w:tmpl w:val="DFA07AFA"/>
    <w:lvl w:ilvl="0" w:tplc="0419000D">
      <w:start w:val="1"/>
      <w:numFmt w:val="bullet"/>
      <w:lvlText w:val=""/>
      <w:lvlJc w:val="left"/>
      <w:pPr>
        <w:ind w:left="2062"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129630ED"/>
    <w:multiLevelType w:val="hybridMultilevel"/>
    <w:tmpl w:val="49247AE6"/>
    <w:lvl w:ilvl="0" w:tplc="ABA2D6BA">
      <w:start w:val="1"/>
      <w:numFmt w:val="decimal"/>
      <w:lvlText w:val="%1."/>
      <w:lvlJc w:val="left"/>
      <w:pPr>
        <w:ind w:left="1149" w:hanging="44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 w15:restartNumberingAfterBreak="0">
    <w:nsid w:val="1846689B"/>
    <w:multiLevelType w:val="multilevel"/>
    <w:tmpl w:val="9CDE7F92"/>
    <w:lvl w:ilvl="0">
      <w:start w:val="1"/>
      <w:numFmt w:val="decimal"/>
      <w:lvlText w:val="%1."/>
      <w:lvlJc w:val="left"/>
      <w:pPr>
        <w:tabs>
          <w:tab w:val="num" w:pos="786"/>
        </w:tabs>
        <w:ind w:left="786" w:hanging="360"/>
      </w:pPr>
      <w:rPr>
        <w:rFonts w:cs="Times New Roman"/>
      </w:rPr>
    </w:lvl>
    <w:lvl w:ilvl="1" w:tentative="1">
      <w:start w:val="1"/>
      <w:numFmt w:val="decimal"/>
      <w:lvlText w:val="%2."/>
      <w:lvlJc w:val="left"/>
      <w:pPr>
        <w:tabs>
          <w:tab w:val="num" w:pos="1506"/>
        </w:tabs>
        <w:ind w:left="1506" w:hanging="360"/>
      </w:pPr>
      <w:rPr>
        <w:rFonts w:cs="Times New Roman"/>
      </w:rPr>
    </w:lvl>
    <w:lvl w:ilvl="2" w:tentative="1">
      <w:start w:val="1"/>
      <w:numFmt w:val="decimal"/>
      <w:lvlText w:val="%3."/>
      <w:lvlJc w:val="left"/>
      <w:pPr>
        <w:tabs>
          <w:tab w:val="num" w:pos="2226"/>
        </w:tabs>
        <w:ind w:left="2226" w:hanging="360"/>
      </w:pPr>
      <w:rPr>
        <w:rFonts w:cs="Times New Roman"/>
      </w:rPr>
    </w:lvl>
    <w:lvl w:ilvl="3" w:tentative="1">
      <w:start w:val="1"/>
      <w:numFmt w:val="decimal"/>
      <w:lvlText w:val="%4."/>
      <w:lvlJc w:val="left"/>
      <w:pPr>
        <w:tabs>
          <w:tab w:val="num" w:pos="2946"/>
        </w:tabs>
        <w:ind w:left="2946" w:hanging="360"/>
      </w:pPr>
      <w:rPr>
        <w:rFonts w:cs="Times New Roman"/>
      </w:rPr>
    </w:lvl>
    <w:lvl w:ilvl="4" w:tentative="1">
      <w:start w:val="1"/>
      <w:numFmt w:val="decimal"/>
      <w:lvlText w:val="%5."/>
      <w:lvlJc w:val="left"/>
      <w:pPr>
        <w:tabs>
          <w:tab w:val="num" w:pos="3666"/>
        </w:tabs>
        <w:ind w:left="3666" w:hanging="360"/>
      </w:pPr>
      <w:rPr>
        <w:rFonts w:cs="Times New Roman"/>
      </w:rPr>
    </w:lvl>
    <w:lvl w:ilvl="5" w:tentative="1">
      <w:start w:val="1"/>
      <w:numFmt w:val="decimal"/>
      <w:lvlText w:val="%6."/>
      <w:lvlJc w:val="left"/>
      <w:pPr>
        <w:tabs>
          <w:tab w:val="num" w:pos="4386"/>
        </w:tabs>
        <w:ind w:left="4386" w:hanging="360"/>
      </w:pPr>
      <w:rPr>
        <w:rFonts w:cs="Times New Roman"/>
      </w:rPr>
    </w:lvl>
    <w:lvl w:ilvl="6" w:tentative="1">
      <w:start w:val="1"/>
      <w:numFmt w:val="decimal"/>
      <w:lvlText w:val="%7."/>
      <w:lvlJc w:val="left"/>
      <w:pPr>
        <w:tabs>
          <w:tab w:val="num" w:pos="5106"/>
        </w:tabs>
        <w:ind w:left="5106" w:hanging="360"/>
      </w:pPr>
      <w:rPr>
        <w:rFonts w:cs="Times New Roman"/>
      </w:rPr>
    </w:lvl>
    <w:lvl w:ilvl="7" w:tentative="1">
      <w:start w:val="1"/>
      <w:numFmt w:val="decimal"/>
      <w:lvlText w:val="%8."/>
      <w:lvlJc w:val="left"/>
      <w:pPr>
        <w:tabs>
          <w:tab w:val="num" w:pos="5826"/>
        </w:tabs>
        <w:ind w:left="5826" w:hanging="360"/>
      </w:pPr>
      <w:rPr>
        <w:rFonts w:cs="Times New Roman"/>
      </w:rPr>
    </w:lvl>
    <w:lvl w:ilvl="8" w:tentative="1">
      <w:start w:val="1"/>
      <w:numFmt w:val="decimal"/>
      <w:lvlText w:val="%9."/>
      <w:lvlJc w:val="left"/>
      <w:pPr>
        <w:tabs>
          <w:tab w:val="num" w:pos="6546"/>
        </w:tabs>
        <w:ind w:left="6546" w:hanging="360"/>
      </w:pPr>
      <w:rPr>
        <w:rFonts w:cs="Times New Roman"/>
      </w:rPr>
    </w:lvl>
  </w:abstractNum>
  <w:abstractNum w:abstractNumId="6" w15:restartNumberingAfterBreak="0">
    <w:nsid w:val="1C2E41F4"/>
    <w:multiLevelType w:val="hybridMultilevel"/>
    <w:tmpl w:val="61242E48"/>
    <w:lvl w:ilvl="0" w:tplc="78582936">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7" w15:restartNumberingAfterBreak="0">
    <w:nsid w:val="1C6E55C1"/>
    <w:multiLevelType w:val="multilevel"/>
    <w:tmpl w:val="563830A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2C5849"/>
    <w:multiLevelType w:val="hybridMultilevel"/>
    <w:tmpl w:val="A266D51A"/>
    <w:lvl w:ilvl="0" w:tplc="E8BC31AC">
      <w:start w:val="1"/>
      <w:numFmt w:val="decimal"/>
      <w:lvlText w:val="%1."/>
      <w:lvlJc w:val="left"/>
      <w:pPr>
        <w:ind w:left="1069" w:hanging="360"/>
      </w:pPr>
      <w:rPr>
        <w:rFonts w:ascii="Times New Roman" w:hAnsi="Times New Roman" w:cs="Times New Roman" w:hint="default"/>
        <w:color w:val="000000" w:themeColor="text1"/>
        <w:sz w:val="24"/>
        <w:szCs w:val="24"/>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abstractNum w:abstractNumId="9" w15:restartNumberingAfterBreak="0">
    <w:nsid w:val="1D417D0A"/>
    <w:multiLevelType w:val="hybridMultilevel"/>
    <w:tmpl w:val="7A1ABA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5D3942"/>
    <w:multiLevelType w:val="hybridMultilevel"/>
    <w:tmpl w:val="D0F86A5E"/>
    <w:lvl w:ilvl="0" w:tplc="0419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1DF16BCD"/>
    <w:multiLevelType w:val="hybridMultilevel"/>
    <w:tmpl w:val="AD9A60AA"/>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2" w15:restartNumberingAfterBreak="0">
    <w:nsid w:val="21FD0D55"/>
    <w:multiLevelType w:val="hybridMultilevel"/>
    <w:tmpl w:val="3A8EE0FE"/>
    <w:lvl w:ilvl="0" w:tplc="0422000F">
      <w:start w:val="1"/>
      <w:numFmt w:val="decimal"/>
      <w:lvlText w:val="%1."/>
      <w:lvlJc w:val="left"/>
      <w:pPr>
        <w:ind w:left="1003" w:hanging="360"/>
      </w:pPr>
    </w:lvl>
    <w:lvl w:ilvl="1" w:tplc="04220019" w:tentative="1">
      <w:start w:val="1"/>
      <w:numFmt w:val="lowerLetter"/>
      <w:lvlText w:val="%2."/>
      <w:lvlJc w:val="left"/>
      <w:pPr>
        <w:ind w:left="1723" w:hanging="360"/>
      </w:pPr>
    </w:lvl>
    <w:lvl w:ilvl="2" w:tplc="0422001B" w:tentative="1">
      <w:start w:val="1"/>
      <w:numFmt w:val="lowerRoman"/>
      <w:lvlText w:val="%3."/>
      <w:lvlJc w:val="right"/>
      <w:pPr>
        <w:ind w:left="2443" w:hanging="180"/>
      </w:pPr>
    </w:lvl>
    <w:lvl w:ilvl="3" w:tplc="0422000F" w:tentative="1">
      <w:start w:val="1"/>
      <w:numFmt w:val="decimal"/>
      <w:lvlText w:val="%4."/>
      <w:lvlJc w:val="left"/>
      <w:pPr>
        <w:ind w:left="3163" w:hanging="360"/>
      </w:pPr>
    </w:lvl>
    <w:lvl w:ilvl="4" w:tplc="04220019" w:tentative="1">
      <w:start w:val="1"/>
      <w:numFmt w:val="lowerLetter"/>
      <w:lvlText w:val="%5."/>
      <w:lvlJc w:val="left"/>
      <w:pPr>
        <w:ind w:left="3883" w:hanging="360"/>
      </w:pPr>
    </w:lvl>
    <w:lvl w:ilvl="5" w:tplc="0422001B" w:tentative="1">
      <w:start w:val="1"/>
      <w:numFmt w:val="lowerRoman"/>
      <w:lvlText w:val="%6."/>
      <w:lvlJc w:val="right"/>
      <w:pPr>
        <w:ind w:left="4603" w:hanging="180"/>
      </w:pPr>
    </w:lvl>
    <w:lvl w:ilvl="6" w:tplc="0422000F" w:tentative="1">
      <w:start w:val="1"/>
      <w:numFmt w:val="decimal"/>
      <w:lvlText w:val="%7."/>
      <w:lvlJc w:val="left"/>
      <w:pPr>
        <w:ind w:left="5323" w:hanging="360"/>
      </w:pPr>
    </w:lvl>
    <w:lvl w:ilvl="7" w:tplc="04220019" w:tentative="1">
      <w:start w:val="1"/>
      <w:numFmt w:val="lowerLetter"/>
      <w:lvlText w:val="%8."/>
      <w:lvlJc w:val="left"/>
      <w:pPr>
        <w:ind w:left="6043" w:hanging="360"/>
      </w:pPr>
    </w:lvl>
    <w:lvl w:ilvl="8" w:tplc="0422001B" w:tentative="1">
      <w:start w:val="1"/>
      <w:numFmt w:val="lowerRoman"/>
      <w:lvlText w:val="%9."/>
      <w:lvlJc w:val="right"/>
      <w:pPr>
        <w:ind w:left="6763" w:hanging="180"/>
      </w:pPr>
    </w:lvl>
  </w:abstractNum>
  <w:abstractNum w:abstractNumId="13" w15:restartNumberingAfterBreak="0">
    <w:nsid w:val="28A15A38"/>
    <w:multiLevelType w:val="multilevel"/>
    <w:tmpl w:val="D0C6DC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B26148B"/>
    <w:multiLevelType w:val="hybridMultilevel"/>
    <w:tmpl w:val="8DE03072"/>
    <w:lvl w:ilvl="0" w:tplc="CE50790E">
      <w:start w:val="1"/>
      <w:numFmt w:val="decimal"/>
      <w:lvlText w:val="%1."/>
      <w:lvlJc w:val="left"/>
      <w:pPr>
        <w:ind w:left="717" w:hanging="360"/>
      </w:pPr>
      <w:rPr>
        <w:rFonts w:hint="default"/>
      </w:rPr>
    </w:lvl>
    <w:lvl w:ilvl="1" w:tplc="20000019" w:tentative="1">
      <w:start w:val="1"/>
      <w:numFmt w:val="lowerLetter"/>
      <w:lvlText w:val="%2."/>
      <w:lvlJc w:val="left"/>
      <w:pPr>
        <w:ind w:left="1437" w:hanging="360"/>
      </w:pPr>
    </w:lvl>
    <w:lvl w:ilvl="2" w:tplc="2000001B" w:tentative="1">
      <w:start w:val="1"/>
      <w:numFmt w:val="lowerRoman"/>
      <w:lvlText w:val="%3."/>
      <w:lvlJc w:val="right"/>
      <w:pPr>
        <w:ind w:left="2157" w:hanging="180"/>
      </w:pPr>
    </w:lvl>
    <w:lvl w:ilvl="3" w:tplc="2000000F" w:tentative="1">
      <w:start w:val="1"/>
      <w:numFmt w:val="decimal"/>
      <w:lvlText w:val="%4."/>
      <w:lvlJc w:val="left"/>
      <w:pPr>
        <w:ind w:left="2877" w:hanging="360"/>
      </w:pPr>
    </w:lvl>
    <w:lvl w:ilvl="4" w:tplc="20000019" w:tentative="1">
      <w:start w:val="1"/>
      <w:numFmt w:val="lowerLetter"/>
      <w:lvlText w:val="%5."/>
      <w:lvlJc w:val="left"/>
      <w:pPr>
        <w:ind w:left="3597" w:hanging="360"/>
      </w:pPr>
    </w:lvl>
    <w:lvl w:ilvl="5" w:tplc="2000001B" w:tentative="1">
      <w:start w:val="1"/>
      <w:numFmt w:val="lowerRoman"/>
      <w:lvlText w:val="%6."/>
      <w:lvlJc w:val="right"/>
      <w:pPr>
        <w:ind w:left="4317" w:hanging="180"/>
      </w:pPr>
    </w:lvl>
    <w:lvl w:ilvl="6" w:tplc="2000000F" w:tentative="1">
      <w:start w:val="1"/>
      <w:numFmt w:val="decimal"/>
      <w:lvlText w:val="%7."/>
      <w:lvlJc w:val="left"/>
      <w:pPr>
        <w:ind w:left="5037" w:hanging="360"/>
      </w:pPr>
    </w:lvl>
    <w:lvl w:ilvl="7" w:tplc="20000019" w:tentative="1">
      <w:start w:val="1"/>
      <w:numFmt w:val="lowerLetter"/>
      <w:lvlText w:val="%8."/>
      <w:lvlJc w:val="left"/>
      <w:pPr>
        <w:ind w:left="5757" w:hanging="360"/>
      </w:pPr>
    </w:lvl>
    <w:lvl w:ilvl="8" w:tplc="2000001B" w:tentative="1">
      <w:start w:val="1"/>
      <w:numFmt w:val="lowerRoman"/>
      <w:lvlText w:val="%9."/>
      <w:lvlJc w:val="right"/>
      <w:pPr>
        <w:ind w:left="6477" w:hanging="180"/>
      </w:pPr>
    </w:lvl>
  </w:abstractNum>
  <w:abstractNum w:abstractNumId="15" w15:restartNumberingAfterBreak="0">
    <w:nsid w:val="309D2483"/>
    <w:multiLevelType w:val="multilevel"/>
    <w:tmpl w:val="F2680A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B0209C2"/>
    <w:multiLevelType w:val="multilevel"/>
    <w:tmpl w:val="0658BC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18255C0"/>
    <w:multiLevelType w:val="hybridMultilevel"/>
    <w:tmpl w:val="30267A1E"/>
    <w:lvl w:ilvl="0" w:tplc="5B262DA6">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8" w15:restartNumberingAfterBreak="0">
    <w:nsid w:val="4B0128F1"/>
    <w:multiLevelType w:val="multilevel"/>
    <w:tmpl w:val="9BF2FD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C79125F"/>
    <w:multiLevelType w:val="hybridMultilevel"/>
    <w:tmpl w:val="17DA85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2FC4489"/>
    <w:multiLevelType w:val="hybridMultilevel"/>
    <w:tmpl w:val="32B24F9C"/>
    <w:lvl w:ilvl="0" w:tplc="1AAEF5BA">
      <w:start w:val="1"/>
      <w:numFmt w:val="decimal"/>
      <w:pStyle w:val="a"/>
      <w:lvlText w:val="%1."/>
      <w:lvlJc w:val="left"/>
      <w:pPr>
        <w:tabs>
          <w:tab w:val="num" w:pos="843"/>
        </w:tabs>
        <w:ind w:left="276" w:firstLine="284"/>
      </w:pPr>
      <w:rPr>
        <w:rFonts w:ascii="Times New Roman" w:hAnsi="Times New Roman" w:cs="Times New Roman"/>
        <w:b w:val="0"/>
        <w:bCs w:val="0"/>
        <w:i w:val="0"/>
        <w:iCs w:val="0"/>
        <w:caps w:val="0"/>
        <w:smallCaps w:val="0"/>
        <w:strike w:val="0"/>
        <w:dstrike w:val="0"/>
        <w:noProof w:val="0"/>
        <w:vanish w:val="0"/>
        <w:kern w:val="0"/>
        <w:position w:val="0"/>
        <w:u w:val="none"/>
        <w:vertAlign w:val="baseline"/>
        <w:em w:val="none"/>
      </w:rPr>
    </w:lvl>
    <w:lvl w:ilvl="1" w:tplc="04190019" w:tentative="1">
      <w:start w:val="1"/>
      <w:numFmt w:val="lowerLetter"/>
      <w:lvlText w:val="%2."/>
      <w:lvlJc w:val="left"/>
      <w:pPr>
        <w:tabs>
          <w:tab w:val="num" w:pos="2000"/>
        </w:tabs>
        <w:ind w:left="2000" w:hanging="360"/>
      </w:pPr>
    </w:lvl>
    <w:lvl w:ilvl="2" w:tplc="0419001B" w:tentative="1">
      <w:start w:val="1"/>
      <w:numFmt w:val="lowerRoman"/>
      <w:lvlText w:val="%3."/>
      <w:lvlJc w:val="right"/>
      <w:pPr>
        <w:tabs>
          <w:tab w:val="num" w:pos="2720"/>
        </w:tabs>
        <w:ind w:left="2720" w:hanging="180"/>
      </w:pPr>
    </w:lvl>
    <w:lvl w:ilvl="3" w:tplc="0419000F" w:tentative="1">
      <w:start w:val="1"/>
      <w:numFmt w:val="decimal"/>
      <w:lvlText w:val="%4."/>
      <w:lvlJc w:val="left"/>
      <w:pPr>
        <w:tabs>
          <w:tab w:val="num" w:pos="3440"/>
        </w:tabs>
        <w:ind w:left="3440" w:hanging="360"/>
      </w:pPr>
    </w:lvl>
    <w:lvl w:ilvl="4" w:tplc="04190019" w:tentative="1">
      <w:start w:val="1"/>
      <w:numFmt w:val="lowerLetter"/>
      <w:lvlText w:val="%5."/>
      <w:lvlJc w:val="left"/>
      <w:pPr>
        <w:tabs>
          <w:tab w:val="num" w:pos="4160"/>
        </w:tabs>
        <w:ind w:left="4160" w:hanging="360"/>
      </w:pPr>
    </w:lvl>
    <w:lvl w:ilvl="5" w:tplc="0419001B" w:tentative="1">
      <w:start w:val="1"/>
      <w:numFmt w:val="lowerRoman"/>
      <w:lvlText w:val="%6."/>
      <w:lvlJc w:val="right"/>
      <w:pPr>
        <w:tabs>
          <w:tab w:val="num" w:pos="4880"/>
        </w:tabs>
        <w:ind w:left="4880" w:hanging="180"/>
      </w:pPr>
    </w:lvl>
    <w:lvl w:ilvl="6" w:tplc="0419000F" w:tentative="1">
      <w:start w:val="1"/>
      <w:numFmt w:val="decimal"/>
      <w:lvlText w:val="%7."/>
      <w:lvlJc w:val="left"/>
      <w:pPr>
        <w:tabs>
          <w:tab w:val="num" w:pos="5600"/>
        </w:tabs>
        <w:ind w:left="5600" w:hanging="360"/>
      </w:pPr>
    </w:lvl>
    <w:lvl w:ilvl="7" w:tplc="04190019" w:tentative="1">
      <w:start w:val="1"/>
      <w:numFmt w:val="lowerLetter"/>
      <w:lvlText w:val="%8."/>
      <w:lvlJc w:val="left"/>
      <w:pPr>
        <w:tabs>
          <w:tab w:val="num" w:pos="6320"/>
        </w:tabs>
        <w:ind w:left="6320" w:hanging="360"/>
      </w:pPr>
    </w:lvl>
    <w:lvl w:ilvl="8" w:tplc="0419001B" w:tentative="1">
      <w:start w:val="1"/>
      <w:numFmt w:val="lowerRoman"/>
      <w:lvlText w:val="%9."/>
      <w:lvlJc w:val="right"/>
      <w:pPr>
        <w:tabs>
          <w:tab w:val="num" w:pos="7040"/>
        </w:tabs>
        <w:ind w:left="7040" w:hanging="180"/>
      </w:pPr>
    </w:lvl>
  </w:abstractNum>
  <w:abstractNum w:abstractNumId="21" w15:restartNumberingAfterBreak="0">
    <w:nsid w:val="5B482EF5"/>
    <w:multiLevelType w:val="hybridMultilevel"/>
    <w:tmpl w:val="CD224E44"/>
    <w:lvl w:ilvl="0" w:tplc="99200F4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2" w15:restartNumberingAfterBreak="0">
    <w:nsid w:val="5CE50D84"/>
    <w:multiLevelType w:val="hybridMultilevel"/>
    <w:tmpl w:val="7A60592E"/>
    <w:lvl w:ilvl="0" w:tplc="C6C2AAF4">
      <w:start w:val="1"/>
      <w:numFmt w:val="decimal"/>
      <w:lvlText w:val="%1."/>
      <w:lvlJc w:val="left"/>
      <w:pPr>
        <w:ind w:left="360" w:hanging="360"/>
      </w:pPr>
      <w:rPr>
        <w:rFonts w:ascii="Times New Roman" w:hAnsi="Times New Roman" w:cs="Times New Roman" w:hint="default"/>
      </w:rPr>
    </w:lvl>
    <w:lvl w:ilvl="1" w:tplc="C8DC2B24">
      <w:start w:val="1"/>
      <w:numFmt w:val="decimal"/>
      <w:lvlText w:val="%2."/>
      <w:lvlJc w:val="left"/>
      <w:pPr>
        <w:ind w:left="1080" w:hanging="360"/>
      </w:pPr>
      <w:rPr>
        <w:rFonts w:hint="default"/>
      </w:r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15:restartNumberingAfterBreak="0">
    <w:nsid w:val="5D0439F0"/>
    <w:multiLevelType w:val="hybridMultilevel"/>
    <w:tmpl w:val="1A58182A"/>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4" w15:restartNumberingAfterBreak="0">
    <w:nsid w:val="644C0075"/>
    <w:multiLevelType w:val="multilevel"/>
    <w:tmpl w:val="7ACEBFA6"/>
    <w:lvl w:ilvl="0">
      <w:start w:val="1"/>
      <w:numFmt w:val="decimal"/>
      <w:lvlText w:val="%1."/>
      <w:lvlJc w:val="left"/>
      <w:pPr>
        <w:tabs>
          <w:tab w:val="num" w:pos="1070"/>
        </w:tabs>
        <w:ind w:left="1070" w:hanging="360"/>
      </w:pPr>
    </w:lvl>
    <w:lvl w:ilvl="1" w:tentative="1">
      <w:start w:val="1"/>
      <w:numFmt w:val="decimal"/>
      <w:lvlText w:val="%2."/>
      <w:lvlJc w:val="left"/>
      <w:pPr>
        <w:tabs>
          <w:tab w:val="num" w:pos="1790"/>
        </w:tabs>
        <w:ind w:left="1790" w:hanging="360"/>
      </w:pPr>
    </w:lvl>
    <w:lvl w:ilvl="2" w:tentative="1">
      <w:start w:val="1"/>
      <w:numFmt w:val="decimal"/>
      <w:lvlText w:val="%3."/>
      <w:lvlJc w:val="left"/>
      <w:pPr>
        <w:tabs>
          <w:tab w:val="num" w:pos="2510"/>
        </w:tabs>
        <w:ind w:left="2510" w:hanging="360"/>
      </w:pPr>
    </w:lvl>
    <w:lvl w:ilvl="3" w:tentative="1">
      <w:start w:val="1"/>
      <w:numFmt w:val="decimal"/>
      <w:lvlText w:val="%4."/>
      <w:lvlJc w:val="left"/>
      <w:pPr>
        <w:tabs>
          <w:tab w:val="num" w:pos="3230"/>
        </w:tabs>
        <w:ind w:left="3230" w:hanging="360"/>
      </w:pPr>
    </w:lvl>
    <w:lvl w:ilvl="4" w:tentative="1">
      <w:start w:val="1"/>
      <w:numFmt w:val="decimal"/>
      <w:lvlText w:val="%5."/>
      <w:lvlJc w:val="left"/>
      <w:pPr>
        <w:tabs>
          <w:tab w:val="num" w:pos="3950"/>
        </w:tabs>
        <w:ind w:left="3950" w:hanging="360"/>
      </w:pPr>
    </w:lvl>
    <w:lvl w:ilvl="5" w:tentative="1">
      <w:start w:val="1"/>
      <w:numFmt w:val="decimal"/>
      <w:lvlText w:val="%6."/>
      <w:lvlJc w:val="left"/>
      <w:pPr>
        <w:tabs>
          <w:tab w:val="num" w:pos="4670"/>
        </w:tabs>
        <w:ind w:left="4670" w:hanging="360"/>
      </w:pPr>
    </w:lvl>
    <w:lvl w:ilvl="6" w:tentative="1">
      <w:start w:val="1"/>
      <w:numFmt w:val="decimal"/>
      <w:lvlText w:val="%7."/>
      <w:lvlJc w:val="left"/>
      <w:pPr>
        <w:tabs>
          <w:tab w:val="num" w:pos="5390"/>
        </w:tabs>
        <w:ind w:left="5390" w:hanging="360"/>
      </w:pPr>
    </w:lvl>
    <w:lvl w:ilvl="7" w:tentative="1">
      <w:start w:val="1"/>
      <w:numFmt w:val="decimal"/>
      <w:lvlText w:val="%8."/>
      <w:lvlJc w:val="left"/>
      <w:pPr>
        <w:tabs>
          <w:tab w:val="num" w:pos="6110"/>
        </w:tabs>
        <w:ind w:left="6110" w:hanging="360"/>
      </w:pPr>
    </w:lvl>
    <w:lvl w:ilvl="8" w:tentative="1">
      <w:start w:val="1"/>
      <w:numFmt w:val="decimal"/>
      <w:lvlText w:val="%9."/>
      <w:lvlJc w:val="left"/>
      <w:pPr>
        <w:tabs>
          <w:tab w:val="num" w:pos="6830"/>
        </w:tabs>
        <w:ind w:left="6830" w:hanging="360"/>
      </w:pPr>
    </w:lvl>
  </w:abstractNum>
  <w:abstractNum w:abstractNumId="25" w15:restartNumberingAfterBreak="0">
    <w:nsid w:val="690775A1"/>
    <w:multiLevelType w:val="multilevel"/>
    <w:tmpl w:val="AE7E8F2E"/>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BBF5D8D"/>
    <w:multiLevelType w:val="hybridMultilevel"/>
    <w:tmpl w:val="3C54F6F2"/>
    <w:lvl w:ilvl="0" w:tplc="0419000F">
      <w:start w:val="1"/>
      <w:numFmt w:val="decimal"/>
      <w:lvlText w:val="%1."/>
      <w:lvlJc w:val="left"/>
      <w:pPr>
        <w:ind w:left="1778" w:hanging="360"/>
      </w:pPr>
      <w:rPr>
        <w:rFonts w:cs="Times New Roman"/>
      </w:rPr>
    </w:lvl>
    <w:lvl w:ilvl="1" w:tplc="04220019" w:tentative="1">
      <w:start w:val="1"/>
      <w:numFmt w:val="lowerLetter"/>
      <w:lvlText w:val="%2."/>
      <w:lvlJc w:val="left"/>
      <w:pPr>
        <w:ind w:left="2498" w:hanging="360"/>
      </w:pPr>
      <w:rPr>
        <w:rFonts w:cs="Times New Roman"/>
      </w:rPr>
    </w:lvl>
    <w:lvl w:ilvl="2" w:tplc="0422001B" w:tentative="1">
      <w:start w:val="1"/>
      <w:numFmt w:val="lowerRoman"/>
      <w:lvlText w:val="%3."/>
      <w:lvlJc w:val="right"/>
      <w:pPr>
        <w:ind w:left="3218" w:hanging="180"/>
      </w:pPr>
      <w:rPr>
        <w:rFonts w:cs="Times New Roman"/>
      </w:rPr>
    </w:lvl>
    <w:lvl w:ilvl="3" w:tplc="0422000F" w:tentative="1">
      <w:start w:val="1"/>
      <w:numFmt w:val="decimal"/>
      <w:lvlText w:val="%4."/>
      <w:lvlJc w:val="left"/>
      <w:pPr>
        <w:ind w:left="3938" w:hanging="360"/>
      </w:pPr>
      <w:rPr>
        <w:rFonts w:cs="Times New Roman"/>
      </w:rPr>
    </w:lvl>
    <w:lvl w:ilvl="4" w:tplc="04220019" w:tentative="1">
      <w:start w:val="1"/>
      <w:numFmt w:val="lowerLetter"/>
      <w:lvlText w:val="%5."/>
      <w:lvlJc w:val="left"/>
      <w:pPr>
        <w:ind w:left="4658" w:hanging="360"/>
      </w:pPr>
      <w:rPr>
        <w:rFonts w:cs="Times New Roman"/>
      </w:rPr>
    </w:lvl>
    <w:lvl w:ilvl="5" w:tplc="0422001B" w:tentative="1">
      <w:start w:val="1"/>
      <w:numFmt w:val="lowerRoman"/>
      <w:lvlText w:val="%6."/>
      <w:lvlJc w:val="right"/>
      <w:pPr>
        <w:ind w:left="5378" w:hanging="180"/>
      </w:pPr>
      <w:rPr>
        <w:rFonts w:cs="Times New Roman"/>
      </w:rPr>
    </w:lvl>
    <w:lvl w:ilvl="6" w:tplc="0422000F" w:tentative="1">
      <w:start w:val="1"/>
      <w:numFmt w:val="decimal"/>
      <w:lvlText w:val="%7."/>
      <w:lvlJc w:val="left"/>
      <w:pPr>
        <w:ind w:left="6098" w:hanging="360"/>
      </w:pPr>
      <w:rPr>
        <w:rFonts w:cs="Times New Roman"/>
      </w:rPr>
    </w:lvl>
    <w:lvl w:ilvl="7" w:tplc="04220019" w:tentative="1">
      <w:start w:val="1"/>
      <w:numFmt w:val="lowerLetter"/>
      <w:lvlText w:val="%8."/>
      <w:lvlJc w:val="left"/>
      <w:pPr>
        <w:ind w:left="6818" w:hanging="360"/>
      </w:pPr>
      <w:rPr>
        <w:rFonts w:cs="Times New Roman"/>
      </w:rPr>
    </w:lvl>
    <w:lvl w:ilvl="8" w:tplc="0422001B" w:tentative="1">
      <w:start w:val="1"/>
      <w:numFmt w:val="lowerRoman"/>
      <w:lvlText w:val="%9."/>
      <w:lvlJc w:val="right"/>
      <w:pPr>
        <w:ind w:left="7538" w:hanging="180"/>
      </w:pPr>
      <w:rPr>
        <w:rFonts w:cs="Times New Roman"/>
      </w:rPr>
    </w:lvl>
  </w:abstractNum>
  <w:abstractNum w:abstractNumId="27" w15:restartNumberingAfterBreak="0">
    <w:nsid w:val="6BE748D2"/>
    <w:multiLevelType w:val="multilevel"/>
    <w:tmpl w:val="A46EB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D71604A"/>
    <w:multiLevelType w:val="hybridMultilevel"/>
    <w:tmpl w:val="860011E6"/>
    <w:lvl w:ilvl="0" w:tplc="DAA0D476">
      <w:start w:val="1"/>
      <w:numFmt w:val="decimal"/>
      <w:lvlText w:val="%1."/>
      <w:lvlJc w:val="left"/>
      <w:pPr>
        <w:ind w:left="1495" w:hanging="360"/>
      </w:pPr>
      <w:rPr>
        <w:rFonts w:hint="default"/>
      </w:rPr>
    </w:lvl>
    <w:lvl w:ilvl="1" w:tplc="04220019" w:tentative="1">
      <w:start w:val="1"/>
      <w:numFmt w:val="lowerLetter"/>
      <w:lvlText w:val="%2."/>
      <w:lvlJc w:val="left"/>
      <w:pPr>
        <w:ind w:left="2215" w:hanging="360"/>
      </w:pPr>
    </w:lvl>
    <w:lvl w:ilvl="2" w:tplc="0422001B" w:tentative="1">
      <w:start w:val="1"/>
      <w:numFmt w:val="lowerRoman"/>
      <w:lvlText w:val="%3."/>
      <w:lvlJc w:val="right"/>
      <w:pPr>
        <w:ind w:left="2935" w:hanging="180"/>
      </w:pPr>
    </w:lvl>
    <w:lvl w:ilvl="3" w:tplc="0422000F" w:tentative="1">
      <w:start w:val="1"/>
      <w:numFmt w:val="decimal"/>
      <w:lvlText w:val="%4."/>
      <w:lvlJc w:val="left"/>
      <w:pPr>
        <w:ind w:left="3655" w:hanging="360"/>
      </w:pPr>
    </w:lvl>
    <w:lvl w:ilvl="4" w:tplc="04220019" w:tentative="1">
      <w:start w:val="1"/>
      <w:numFmt w:val="lowerLetter"/>
      <w:lvlText w:val="%5."/>
      <w:lvlJc w:val="left"/>
      <w:pPr>
        <w:ind w:left="4375" w:hanging="360"/>
      </w:pPr>
    </w:lvl>
    <w:lvl w:ilvl="5" w:tplc="0422001B" w:tentative="1">
      <w:start w:val="1"/>
      <w:numFmt w:val="lowerRoman"/>
      <w:lvlText w:val="%6."/>
      <w:lvlJc w:val="right"/>
      <w:pPr>
        <w:ind w:left="5095" w:hanging="180"/>
      </w:pPr>
    </w:lvl>
    <w:lvl w:ilvl="6" w:tplc="0422000F" w:tentative="1">
      <w:start w:val="1"/>
      <w:numFmt w:val="decimal"/>
      <w:lvlText w:val="%7."/>
      <w:lvlJc w:val="left"/>
      <w:pPr>
        <w:ind w:left="5815" w:hanging="360"/>
      </w:pPr>
    </w:lvl>
    <w:lvl w:ilvl="7" w:tplc="04220019" w:tentative="1">
      <w:start w:val="1"/>
      <w:numFmt w:val="lowerLetter"/>
      <w:lvlText w:val="%8."/>
      <w:lvlJc w:val="left"/>
      <w:pPr>
        <w:ind w:left="6535" w:hanging="360"/>
      </w:pPr>
    </w:lvl>
    <w:lvl w:ilvl="8" w:tplc="0422001B" w:tentative="1">
      <w:start w:val="1"/>
      <w:numFmt w:val="lowerRoman"/>
      <w:lvlText w:val="%9."/>
      <w:lvlJc w:val="right"/>
      <w:pPr>
        <w:ind w:left="7255" w:hanging="180"/>
      </w:pPr>
    </w:lvl>
  </w:abstractNum>
  <w:abstractNum w:abstractNumId="29" w15:restartNumberingAfterBreak="0">
    <w:nsid w:val="70897C65"/>
    <w:multiLevelType w:val="hybridMultilevel"/>
    <w:tmpl w:val="C2E43A4C"/>
    <w:lvl w:ilvl="0" w:tplc="DE48F2FE">
      <w:start w:val="1"/>
      <w:numFmt w:val="decimal"/>
      <w:lvlText w:val="%1."/>
      <w:lvlJc w:val="left"/>
      <w:pPr>
        <w:ind w:left="1069" w:hanging="360"/>
      </w:pPr>
      <w:rPr>
        <w:rFonts w:ascii="Times New Roman" w:hAnsi="Times New Roman" w:cs="Times New Roman" w:hint="default"/>
        <w:color w:val="000000" w:themeColor="text1"/>
        <w:sz w:val="24"/>
        <w:szCs w:val="24"/>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abstractNum w:abstractNumId="30" w15:restartNumberingAfterBreak="0">
    <w:nsid w:val="70EF5C0B"/>
    <w:multiLevelType w:val="hybridMultilevel"/>
    <w:tmpl w:val="3EBE5130"/>
    <w:lvl w:ilvl="0" w:tplc="CA944706">
      <w:start w:val="2"/>
      <w:numFmt w:val="bullet"/>
      <w:lvlText w:val="-"/>
      <w:lvlJc w:val="left"/>
      <w:pPr>
        <w:ind w:left="927" w:hanging="360"/>
      </w:pPr>
      <w:rPr>
        <w:rFonts w:ascii="Times New Roman" w:eastAsia="Times New Roman" w:hAnsi="Times New Roman" w:hint="default"/>
      </w:rPr>
    </w:lvl>
    <w:lvl w:ilvl="1" w:tplc="04220003" w:tentative="1">
      <w:start w:val="1"/>
      <w:numFmt w:val="bullet"/>
      <w:lvlText w:val="o"/>
      <w:lvlJc w:val="left"/>
      <w:pPr>
        <w:ind w:left="1647" w:hanging="360"/>
      </w:pPr>
      <w:rPr>
        <w:rFonts w:ascii="Courier New" w:hAnsi="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31" w15:restartNumberingAfterBreak="0">
    <w:nsid w:val="71BD2DB0"/>
    <w:multiLevelType w:val="hybridMultilevel"/>
    <w:tmpl w:val="2D2EC708"/>
    <w:lvl w:ilvl="0" w:tplc="5B262DA6">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2" w15:restartNumberingAfterBreak="0">
    <w:nsid w:val="73A01650"/>
    <w:multiLevelType w:val="hybridMultilevel"/>
    <w:tmpl w:val="43CEC150"/>
    <w:lvl w:ilvl="0" w:tplc="5B262DA6">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3" w15:restartNumberingAfterBreak="0">
    <w:nsid w:val="78E70D56"/>
    <w:multiLevelType w:val="hybridMultilevel"/>
    <w:tmpl w:val="B1A8EF3E"/>
    <w:lvl w:ilvl="0" w:tplc="65CA5784">
      <w:start w:val="6"/>
      <w:numFmt w:val="decimal"/>
      <w:lvlText w:val="%1."/>
      <w:lvlJc w:val="left"/>
      <w:pPr>
        <w:ind w:left="2062" w:hanging="360"/>
      </w:pPr>
      <w:rPr>
        <w:rFonts w:hint="default"/>
      </w:rPr>
    </w:lvl>
    <w:lvl w:ilvl="1" w:tplc="04220019" w:tentative="1">
      <w:start w:val="1"/>
      <w:numFmt w:val="lowerLetter"/>
      <w:lvlText w:val="%2."/>
      <w:lvlJc w:val="left"/>
      <w:pPr>
        <w:ind w:left="2575" w:hanging="360"/>
      </w:pPr>
    </w:lvl>
    <w:lvl w:ilvl="2" w:tplc="0422001B" w:tentative="1">
      <w:start w:val="1"/>
      <w:numFmt w:val="lowerRoman"/>
      <w:lvlText w:val="%3."/>
      <w:lvlJc w:val="right"/>
      <w:pPr>
        <w:ind w:left="3295" w:hanging="180"/>
      </w:pPr>
    </w:lvl>
    <w:lvl w:ilvl="3" w:tplc="0422000F" w:tentative="1">
      <w:start w:val="1"/>
      <w:numFmt w:val="decimal"/>
      <w:lvlText w:val="%4."/>
      <w:lvlJc w:val="left"/>
      <w:pPr>
        <w:ind w:left="4015" w:hanging="360"/>
      </w:pPr>
    </w:lvl>
    <w:lvl w:ilvl="4" w:tplc="04220019" w:tentative="1">
      <w:start w:val="1"/>
      <w:numFmt w:val="lowerLetter"/>
      <w:lvlText w:val="%5."/>
      <w:lvlJc w:val="left"/>
      <w:pPr>
        <w:ind w:left="4735" w:hanging="360"/>
      </w:pPr>
    </w:lvl>
    <w:lvl w:ilvl="5" w:tplc="0422001B" w:tentative="1">
      <w:start w:val="1"/>
      <w:numFmt w:val="lowerRoman"/>
      <w:lvlText w:val="%6."/>
      <w:lvlJc w:val="right"/>
      <w:pPr>
        <w:ind w:left="5455" w:hanging="180"/>
      </w:pPr>
    </w:lvl>
    <w:lvl w:ilvl="6" w:tplc="0422000F" w:tentative="1">
      <w:start w:val="1"/>
      <w:numFmt w:val="decimal"/>
      <w:lvlText w:val="%7."/>
      <w:lvlJc w:val="left"/>
      <w:pPr>
        <w:ind w:left="6175" w:hanging="360"/>
      </w:pPr>
    </w:lvl>
    <w:lvl w:ilvl="7" w:tplc="04220019" w:tentative="1">
      <w:start w:val="1"/>
      <w:numFmt w:val="lowerLetter"/>
      <w:lvlText w:val="%8."/>
      <w:lvlJc w:val="left"/>
      <w:pPr>
        <w:ind w:left="6895" w:hanging="360"/>
      </w:pPr>
    </w:lvl>
    <w:lvl w:ilvl="8" w:tplc="0422001B" w:tentative="1">
      <w:start w:val="1"/>
      <w:numFmt w:val="lowerRoman"/>
      <w:lvlText w:val="%9."/>
      <w:lvlJc w:val="right"/>
      <w:pPr>
        <w:ind w:left="7615" w:hanging="180"/>
      </w:pPr>
    </w:lvl>
  </w:abstractNum>
  <w:num w:numId="1" w16cid:durableId="401677021">
    <w:abstractNumId w:val="8"/>
  </w:num>
  <w:num w:numId="2" w16cid:durableId="412553294">
    <w:abstractNumId w:val="29"/>
  </w:num>
  <w:num w:numId="3" w16cid:durableId="1114329037">
    <w:abstractNumId w:val="26"/>
  </w:num>
  <w:num w:numId="4" w16cid:durableId="440757359">
    <w:abstractNumId w:val="5"/>
  </w:num>
  <w:num w:numId="5" w16cid:durableId="405418097">
    <w:abstractNumId w:val="25"/>
  </w:num>
  <w:num w:numId="6" w16cid:durableId="1545021233">
    <w:abstractNumId w:val="12"/>
  </w:num>
  <w:num w:numId="7" w16cid:durableId="1125656764">
    <w:abstractNumId w:val="22"/>
  </w:num>
  <w:num w:numId="8" w16cid:durableId="1699164142">
    <w:abstractNumId w:val="21"/>
  </w:num>
  <w:num w:numId="9" w16cid:durableId="972366449">
    <w:abstractNumId w:val="30"/>
  </w:num>
  <w:num w:numId="10" w16cid:durableId="1974167991">
    <w:abstractNumId w:val="3"/>
  </w:num>
  <w:num w:numId="11" w16cid:durableId="1021931986">
    <w:abstractNumId w:val="10"/>
  </w:num>
  <w:num w:numId="12" w16cid:durableId="1236471250">
    <w:abstractNumId w:val="2"/>
  </w:num>
  <w:num w:numId="13" w16cid:durableId="1165701437">
    <w:abstractNumId w:val="27"/>
  </w:num>
  <w:num w:numId="14" w16cid:durableId="1582372944">
    <w:abstractNumId w:val="23"/>
  </w:num>
  <w:num w:numId="15" w16cid:durableId="2098355986">
    <w:abstractNumId w:val="15"/>
  </w:num>
  <w:num w:numId="16" w16cid:durableId="1337996827">
    <w:abstractNumId w:val="14"/>
  </w:num>
  <w:num w:numId="17" w16cid:durableId="1233202287">
    <w:abstractNumId w:val="18"/>
  </w:num>
  <w:num w:numId="18" w16cid:durableId="2072461977">
    <w:abstractNumId w:val="28"/>
  </w:num>
  <w:num w:numId="19" w16cid:durableId="526452938">
    <w:abstractNumId w:val="33"/>
  </w:num>
  <w:num w:numId="20" w16cid:durableId="927276872">
    <w:abstractNumId w:val="19"/>
  </w:num>
  <w:num w:numId="21" w16cid:durableId="577400446">
    <w:abstractNumId w:val="20"/>
  </w:num>
  <w:num w:numId="22" w16cid:durableId="1682970957">
    <w:abstractNumId w:val="24"/>
  </w:num>
  <w:num w:numId="23" w16cid:durableId="1565799097">
    <w:abstractNumId w:val="13"/>
  </w:num>
  <w:num w:numId="24" w16cid:durableId="130485797">
    <w:abstractNumId w:val="16"/>
  </w:num>
  <w:num w:numId="25" w16cid:durableId="1186023564">
    <w:abstractNumId w:val="6"/>
  </w:num>
  <w:num w:numId="26" w16cid:durableId="172691348">
    <w:abstractNumId w:val="7"/>
  </w:num>
  <w:num w:numId="27" w16cid:durableId="875849428">
    <w:abstractNumId w:val="17"/>
  </w:num>
  <w:num w:numId="28" w16cid:durableId="987629527">
    <w:abstractNumId w:val="11"/>
  </w:num>
  <w:num w:numId="29" w16cid:durableId="1817261478">
    <w:abstractNumId w:val="32"/>
  </w:num>
  <w:num w:numId="30" w16cid:durableId="1051613673">
    <w:abstractNumId w:val="31"/>
  </w:num>
  <w:num w:numId="31" w16cid:durableId="1966278369">
    <w:abstractNumId w:val="4"/>
  </w:num>
  <w:num w:numId="32" w16cid:durableId="1139808511">
    <w:abstractNumId w:val="9"/>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7"/>
  <w:hideSpellingErrors/>
  <w:hideGrammaticalError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178A4"/>
    <w:rsid w:val="00015F9C"/>
    <w:rsid w:val="00017086"/>
    <w:rsid w:val="00023291"/>
    <w:rsid w:val="00023F32"/>
    <w:rsid w:val="00027226"/>
    <w:rsid w:val="00030145"/>
    <w:rsid w:val="00043F00"/>
    <w:rsid w:val="00044E03"/>
    <w:rsid w:val="00063105"/>
    <w:rsid w:val="00072140"/>
    <w:rsid w:val="00090386"/>
    <w:rsid w:val="00092F1B"/>
    <w:rsid w:val="00096C2E"/>
    <w:rsid w:val="000A38F3"/>
    <w:rsid w:val="000C456C"/>
    <w:rsid w:val="000D3136"/>
    <w:rsid w:val="000F5770"/>
    <w:rsid w:val="0010011E"/>
    <w:rsid w:val="00101C96"/>
    <w:rsid w:val="00102DE8"/>
    <w:rsid w:val="00107662"/>
    <w:rsid w:val="0011546D"/>
    <w:rsid w:val="00117DDD"/>
    <w:rsid w:val="001314C1"/>
    <w:rsid w:val="00137CC8"/>
    <w:rsid w:val="001433E9"/>
    <w:rsid w:val="0014634A"/>
    <w:rsid w:val="0015666D"/>
    <w:rsid w:val="00171341"/>
    <w:rsid w:val="00172A23"/>
    <w:rsid w:val="00191739"/>
    <w:rsid w:val="00197139"/>
    <w:rsid w:val="001B0296"/>
    <w:rsid w:val="001D565B"/>
    <w:rsid w:val="001D6A3C"/>
    <w:rsid w:val="001F540E"/>
    <w:rsid w:val="0023456B"/>
    <w:rsid w:val="00241E7A"/>
    <w:rsid w:val="00242D4D"/>
    <w:rsid w:val="00267FDA"/>
    <w:rsid w:val="00281F60"/>
    <w:rsid w:val="002A5031"/>
    <w:rsid w:val="00306B98"/>
    <w:rsid w:val="003127AA"/>
    <w:rsid w:val="00362576"/>
    <w:rsid w:val="00363C17"/>
    <w:rsid w:val="00383A80"/>
    <w:rsid w:val="00383B93"/>
    <w:rsid w:val="00385184"/>
    <w:rsid w:val="003854CD"/>
    <w:rsid w:val="00386D05"/>
    <w:rsid w:val="003B5892"/>
    <w:rsid w:val="003C3582"/>
    <w:rsid w:val="003D7651"/>
    <w:rsid w:val="003E7FD0"/>
    <w:rsid w:val="003F02E6"/>
    <w:rsid w:val="003F4260"/>
    <w:rsid w:val="00414E32"/>
    <w:rsid w:val="00422A49"/>
    <w:rsid w:val="004325C5"/>
    <w:rsid w:val="00443B42"/>
    <w:rsid w:val="00446297"/>
    <w:rsid w:val="00462322"/>
    <w:rsid w:val="00463231"/>
    <w:rsid w:val="00487A53"/>
    <w:rsid w:val="004A3571"/>
    <w:rsid w:val="004A444A"/>
    <w:rsid w:val="004B3996"/>
    <w:rsid w:val="004C16E5"/>
    <w:rsid w:val="004C5E80"/>
    <w:rsid w:val="004E1190"/>
    <w:rsid w:val="004F3263"/>
    <w:rsid w:val="00532F08"/>
    <w:rsid w:val="00545909"/>
    <w:rsid w:val="005542C1"/>
    <w:rsid w:val="005649F7"/>
    <w:rsid w:val="00572AD6"/>
    <w:rsid w:val="00583469"/>
    <w:rsid w:val="00591195"/>
    <w:rsid w:val="00595C61"/>
    <w:rsid w:val="005A647F"/>
    <w:rsid w:val="005B0FF4"/>
    <w:rsid w:val="005C6658"/>
    <w:rsid w:val="005E7583"/>
    <w:rsid w:val="005F1835"/>
    <w:rsid w:val="005F3363"/>
    <w:rsid w:val="006025B7"/>
    <w:rsid w:val="00635D73"/>
    <w:rsid w:val="00654D6D"/>
    <w:rsid w:val="0065752A"/>
    <w:rsid w:val="00664D90"/>
    <w:rsid w:val="006657D8"/>
    <w:rsid w:val="0066754E"/>
    <w:rsid w:val="00671BFF"/>
    <w:rsid w:val="00675E45"/>
    <w:rsid w:val="0067628A"/>
    <w:rsid w:val="00695CD6"/>
    <w:rsid w:val="006C23BB"/>
    <w:rsid w:val="006D3039"/>
    <w:rsid w:val="006D5E8E"/>
    <w:rsid w:val="006E1D8F"/>
    <w:rsid w:val="006E5513"/>
    <w:rsid w:val="006F0558"/>
    <w:rsid w:val="006F3E56"/>
    <w:rsid w:val="006F5634"/>
    <w:rsid w:val="007103B1"/>
    <w:rsid w:val="0071462E"/>
    <w:rsid w:val="007178A4"/>
    <w:rsid w:val="00727E46"/>
    <w:rsid w:val="00740AAF"/>
    <w:rsid w:val="007708EE"/>
    <w:rsid w:val="007741E5"/>
    <w:rsid w:val="0077770F"/>
    <w:rsid w:val="007946D6"/>
    <w:rsid w:val="007A2780"/>
    <w:rsid w:val="007A4D4A"/>
    <w:rsid w:val="007B09E7"/>
    <w:rsid w:val="007B6F8F"/>
    <w:rsid w:val="007C58FB"/>
    <w:rsid w:val="007D003D"/>
    <w:rsid w:val="007F460B"/>
    <w:rsid w:val="007F6AB4"/>
    <w:rsid w:val="00807C67"/>
    <w:rsid w:val="0081070D"/>
    <w:rsid w:val="00815545"/>
    <w:rsid w:val="00835182"/>
    <w:rsid w:val="008447BA"/>
    <w:rsid w:val="00845878"/>
    <w:rsid w:val="008604C3"/>
    <w:rsid w:val="008721F1"/>
    <w:rsid w:val="00875829"/>
    <w:rsid w:val="00891EE1"/>
    <w:rsid w:val="008B31E1"/>
    <w:rsid w:val="008B4F54"/>
    <w:rsid w:val="008D5CD5"/>
    <w:rsid w:val="008E3172"/>
    <w:rsid w:val="008F7109"/>
    <w:rsid w:val="00912982"/>
    <w:rsid w:val="00923BD7"/>
    <w:rsid w:val="00953008"/>
    <w:rsid w:val="00955F7A"/>
    <w:rsid w:val="00960787"/>
    <w:rsid w:val="009741C5"/>
    <w:rsid w:val="00985346"/>
    <w:rsid w:val="00987654"/>
    <w:rsid w:val="00992363"/>
    <w:rsid w:val="009B12E9"/>
    <w:rsid w:val="009B4B26"/>
    <w:rsid w:val="009C17EF"/>
    <w:rsid w:val="009D0D21"/>
    <w:rsid w:val="009F084E"/>
    <w:rsid w:val="009F6551"/>
    <w:rsid w:val="00A003D7"/>
    <w:rsid w:val="00A01F14"/>
    <w:rsid w:val="00A04FC9"/>
    <w:rsid w:val="00A0727F"/>
    <w:rsid w:val="00A1004E"/>
    <w:rsid w:val="00A11E66"/>
    <w:rsid w:val="00A30FB0"/>
    <w:rsid w:val="00A33FA5"/>
    <w:rsid w:val="00A347E6"/>
    <w:rsid w:val="00A50C0B"/>
    <w:rsid w:val="00A50F5C"/>
    <w:rsid w:val="00A74442"/>
    <w:rsid w:val="00A908CF"/>
    <w:rsid w:val="00A93E71"/>
    <w:rsid w:val="00AC5636"/>
    <w:rsid w:val="00AD7045"/>
    <w:rsid w:val="00B057B6"/>
    <w:rsid w:val="00B100AB"/>
    <w:rsid w:val="00B117D5"/>
    <w:rsid w:val="00B15B58"/>
    <w:rsid w:val="00B15EE5"/>
    <w:rsid w:val="00B26E27"/>
    <w:rsid w:val="00B44B71"/>
    <w:rsid w:val="00B50126"/>
    <w:rsid w:val="00B6038D"/>
    <w:rsid w:val="00B66A78"/>
    <w:rsid w:val="00B71868"/>
    <w:rsid w:val="00B834E0"/>
    <w:rsid w:val="00B8709F"/>
    <w:rsid w:val="00B9741F"/>
    <w:rsid w:val="00BA5FBD"/>
    <w:rsid w:val="00BE1E2D"/>
    <w:rsid w:val="00BE1F9E"/>
    <w:rsid w:val="00BE41F0"/>
    <w:rsid w:val="00BF1208"/>
    <w:rsid w:val="00C40986"/>
    <w:rsid w:val="00C41969"/>
    <w:rsid w:val="00C53033"/>
    <w:rsid w:val="00C55E63"/>
    <w:rsid w:val="00C578C0"/>
    <w:rsid w:val="00C653F9"/>
    <w:rsid w:val="00C81E97"/>
    <w:rsid w:val="00C9005A"/>
    <w:rsid w:val="00CA51A0"/>
    <w:rsid w:val="00D00269"/>
    <w:rsid w:val="00D0575C"/>
    <w:rsid w:val="00D179CD"/>
    <w:rsid w:val="00D17ABC"/>
    <w:rsid w:val="00D20060"/>
    <w:rsid w:val="00D37602"/>
    <w:rsid w:val="00D50089"/>
    <w:rsid w:val="00D975A3"/>
    <w:rsid w:val="00DB31EB"/>
    <w:rsid w:val="00DB3AB6"/>
    <w:rsid w:val="00DC159A"/>
    <w:rsid w:val="00DD0E8B"/>
    <w:rsid w:val="00DD2463"/>
    <w:rsid w:val="00DD4367"/>
    <w:rsid w:val="00E15310"/>
    <w:rsid w:val="00E2227E"/>
    <w:rsid w:val="00E4040F"/>
    <w:rsid w:val="00E8589B"/>
    <w:rsid w:val="00E92176"/>
    <w:rsid w:val="00E967C0"/>
    <w:rsid w:val="00EA0902"/>
    <w:rsid w:val="00EA2F7F"/>
    <w:rsid w:val="00EA7093"/>
    <w:rsid w:val="00EF0A28"/>
    <w:rsid w:val="00EF3CED"/>
    <w:rsid w:val="00F06025"/>
    <w:rsid w:val="00F14C3E"/>
    <w:rsid w:val="00F25FCF"/>
    <w:rsid w:val="00F306FA"/>
    <w:rsid w:val="00F30816"/>
    <w:rsid w:val="00F4442D"/>
    <w:rsid w:val="00F45807"/>
    <w:rsid w:val="00F516E7"/>
    <w:rsid w:val="00F579DF"/>
    <w:rsid w:val="00F859BD"/>
    <w:rsid w:val="00F86076"/>
    <w:rsid w:val="00F918EC"/>
    <w:rsid w:val="00F95D69"/>
    <w:rsid w:val="00F96118"/>
    <w:rsid w:val="00FB1BC6"/>
    <w:rsid w:val="00FC3F1F"/>
    <w:rsid w:val="00FC4DBB"/>
    <w:rsid w:val="00FD760F"/>
    <w:rsid w:val="00FD7A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FDB60D"/>
  <w15:docId w15:val="{AF0A9232-8561-8E43-AA22-1F2FFE3099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ЗАГ. 1,ЗАГ_1,h1"/>
    <w:basedOn w:val="Normal"/>
    <w:next w:val="Normal"/>
    <w:link w:val="Heading1Char1"/>
    <w:uiPriority w:val="9"/>
    <w:qFormat/>
    <w:rsid w:val="007178A4"/>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Heading2">
    <w:name w:val="heading 2"/>
    <w:aliases w:val="ЗАГ. 2,ЗАГ_2,Мой Заголовок 2"/>
    <w:basedOn w:val="Normal"/>
    <w:next w:val="Normal"/>
    <w:link w:val="Heading2Char"/>
    <w:unhideWhenUsed/>
    <w:qFormat/>
    <w:rsid w:val="007178A4"/>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Heading3">
    <w:name w:val="heading 3"/>
    <w:aliases w:val="ЗАГ_3"/>
    <w:basedOn w:val="Normal"/>
    <w:next w:val="Normal"/>
    <w:link w:val="Heading3Char"/>
    <w:unhideWhenUsed/>
    <w:qFormat/>
    <w:rsid w:val="007178A4"/>
    <w:pPr>
      <w:keepNext/>
      <w:keepLines/>
      <w:spacing w:before="160" w:after="80"/>
      <w:outlineLvl w:val="2"/>
    </w:pPr>
    <w:rPr>
      <w:rFonts w:eastAsiaTheme="majorEastAsia" w:cstheme="majorBidi"/>
      <w:color w:val="2E74B5" w:themeColor="accent1" w:themeShade="BF"/>
      <w:sz w:val="28"/>
      <w:szCs w:val="28"/>
    </w:rPr>
  </w:style>
  <w:style w:type="paragraph" w:styleId="Heading4">
    <w:name w:val="heading 4"/>
    <w:basedOn w:val="Normal"/>
    <w:next w:val="Normal"/>
    <w:link w:val="Heading4Char"/>
    <w:unhideWhenUsed/>
    <w:qFormat/>
    <w:rsid w:val="007178A4"/>
    <w:pPr>
      <w:keepNext/>
      <w:keepLines/>
      <w:spacing w:before="80" w:after="40"/>
      <w:outlineLvl w:val="3"/>
    </w:pPr>
    <w:rPr>
      <w:rFonts w:eastAsiaTheme="majorEastAsia" w:cstheme="majorBidi"/>
      <w:i/>
      <w:iCs/>
      <w:color w:val="2E74B5" w:themeColor="accent1" w:themeShade="BF"/>
    </w:rPr>
  </w:style>
  <w:style w:type="paragraph" w:styleId="Heading5">
    <w:name w:val="heading 5"/>
    <w:basedOn w:val="Normal"/>
    <w:next w:val="Normal"/>
    <w:link w:val="Heading5Char"/>
    <w:unhideWhenUsed/>
    <w:qFormat/>
    <w:rsid w:val="007178A4"/>
    <w:pPr>
      <w:keepNext/>
      <w:keepLines/>
      <w:spacing w:before="80" w:after="40"/>
      <w:outlineLvl w:val="4"/>
    </w:pPr>
    <w:rPr>
      <w:rFonts w:eastAsiaTheme="majorEastAsia" w:cstheme="majorBidi"/>
      <w:color w:val="2E74B5" w:themeColor="accent1" w:themeShade="BF"/>
    </w:rPr>
  </w:style>
  <w:style w:type="paragraph" w:styleId="Heading6">
    <w:name w:val="heading 6"/>
    <w:basedOn w:val="Normal"/>
    <w:next w:val="Normal"/>
    <w:link w:val="Heading6Char"/>
    <w:unhideWhenUsed/>
    <w:qFormat/>
    <w:rsid w:val="007178A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nhideWhenUsed/>
    <w:qFormat/>
    <w:rsid w:val="007178A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nhideWhenUsed/>
    <w:qFormat/>
    <w:rsid w:val="007178A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nhideWhenUsed/>
    <w:qFormat/>
    <w:rsid w:val="007178A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aliases w:val="ЗАГ. 1 Char,ЗАГ_1 Char,h1 Char"/>
    <w:basedOn w:val="DefaultParagraphFont"/>
    <w:link w:val="Heading1"/>
    <w:uiPriority w:val="9"/>
    <w:rsid w:val="007178A4"/>
    <w:rPr>
      <w:rFonts w:asciiTheme="majorHAnsi" w:eastAsiaTheme="majorEastAsia" w:hAnsiTheme="majorHAnsi" w:cstheme="majorBidi"/>
      <w:color w:val="2E74B5" w:themeColor="accent1" w:themeShade="BF"/>
      <w:sz w:val="40"/>
      <w:szCs w:val="40"/>
    </w:rPr>
  </w:style>
  <w:style w:type="character" w:customStyle="1" w:styleId="Heading2Char">
    <w:name w:val="Heading 2 Char"/>
    <w:aliases w:val="ЗАГ. 2 Char,ЗАГ_2 Char,Мой Заголовок 2 Char"/>
    <w:basedOn w:val="DefaultParagraphFont"/>
    <w:link w:val="Heading2"/>
    <w:rsid w:val="007178A4"/>
    <w:rPr>
      <w:rFonts w:asciiTheme="majorHAnsi" w:eastAsiaTheme="majorEastAsia" w:hAnsiTheme="majorHAnsi" w:cstheme="majorBidi"/>
      <w:color w:val="2E74B5" w:themeColor="accent1" w:themeShade="BF"/>
      <w:sz w:val="32"/>
      <w:szCs w:val="32"/>
    </w:rPr>
  </w:style>
  <w:style w:type="character" w:customStyle="1" w:styleId="Heading3Char">
    <w:name w:val="Heading 3 Char"/>
    <w:aliases w:val="ЗАГ_3 Char"/>
    <w:basedOn w:val="DefaultParagraphFont"/>
    <w:link w:val="Heading3"/>
    <w:rsid w:val="007178A4"/>
    <w:rPr>
      <w:rFonts w:eastAsiaTheme="majorEastAsia" w:cstheme="majorBidi"/>
      <w:color w:val="2E74B5" w:themeColor="accent1" w:themeShade="BF"/>
      <w:sz w:val="28"/>
      <w:szCs w:val="28"/>
    </w:rPr>
  </w:style>
  <w:style w:type="character" w:customStyle="1" w:styleId="Heading4Char">
    <w:name w:val="Heading 4 Char"/>
    <w:basedOn w:val="DefaultParagraphFont"/>
    <w:link w:val="Heading4"/>
    <w:rsid w:val="007178A4"/>
    <w:rPr>
      <w:rFonts w:eastAsiaTheme="majorEastAsia" w:cstheme="majorBidi"/>
      <w:i/>
      <w:iCs/>
      <w:color w:val="2E74B5" w:themeColor="accent1" w:themeShade="BF"/>
    </w:rPr>
  </w:style>
  <w:style w:type="character" w:customStyle="1" w:styleId="Heading5Char">
    <w:name w:val="Heading 5 Char"/>
    <w:basedOn w:val="DefaultParagraphFont"/>
    <w:link w:val="Heading5"/>
    <w:rsid w:val="007178A4"/>
    <w:rPr>
      <w:rFonts w:eastAsiaTheme="majorEastAsia" w:cstheme="majorBidi"/>
      <w:color w:val="2E74B5" w:themeColor="accent1" w:themeShade="BF"/>
    </w:rPr>
  </w:style>
  <w:style w:type="character" w:customStyle="1" w:styleId="Heading6Char">
    <w:name w:val="Heading 6 Char"/>
    <w:basedOn w:val="DefaultParagraphFont"/>
    <w:link w:val="Heading6"/>
    <w:rsid w:val="007178A4"/>
    <w:rPr>
      <w:rFonts w:eastAsiaTheme="majorEastAsia" w:cstheme="majorBidi"/>
      <w:i/>
      <w:iCs/>
      <w:color w:val="595959" w:themeColor="text1" w:themeTint="A6"/>
    </w:rPr>
  </w:style>
  <w:style w:type="character" w:customStyle="1" w:styleId="Heading7Char">
    <w:name w:val="Heading 7 Char"/>
    <w:basedOn w:val="DefaultParagraphFont"/>
    <w:link w:val="Heading7"/>
    <w:rsid w:val="007178A4"/>
    <w:rPr>
      <w:rFonts w:eastAsiaTheme="majorEastAsia" w:cstheme="majorBidi"/>
      <w:color w:val="595959" w:themeColor="text1" w:themeTint="A6"/>
    </w:rPr>
  </w:style>
  <w:style w:type="character" w:customStyle="1" w:styleId="Heading8Char">
    <w:name w:val="Heading 8 Char"/>
    <w:basedOn w:val="DefaultParagraphFont"/>
    <w:link w:val="Heading8"/>
    <w:rsid w:val="007178A4"/>
    <w:rPr>
      <w:rFonts w:eastAsiaTheme="majorEastAsia" w:cstheme="majorBidi"/>
      <w:i/>
      <w:iCs/>
      <w:color w:val="272727" w:themeColor="text1" w:themeTint="D8"/>
    </w:rPr>
  </w:style>
  <w:style w:type="character" w:customStyle="1" w:styleId="Heading9Char">
    <w:name w:val="Heading 9 Char"/>
    <w:basedOn w:val="DefaultParagraphFont"/>
    <w:link w:val="Heading9"/>
    <w:rsid w:val="007178A4"/>
    <w:rPr>
      <w:rFonts w:eastAsiaTheme="majorEastAsia" w:cstheme="majorBidi"/>
      <w:color w:val="272727" w:themeColor="text1" w:themeTint="D8"/>
    </w:rPr>
  </w:style>
  <w:style w:type="paragraph" w:styleId="Title">
    <w:name w:val="Title"/>
    <w:basedOn w:val="Normal"/>
    <w:next w:val="Normal"/>
    <w:link w:val="TitleChar"/>
    <w:uiPriority w:val="99"/>
    <w:qFormat/>
    <w:rsid w:val="007178A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99"/>
    <w:rsid w:val="007178A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qFormat/>
    <w:rsid w:val="007178A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rsid w:val="007178A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178A4"/>
    <w:pPr>
      <w:spacing w:before="160"/>
      <w:jc w:val="center"/>
    </w:pPr>
    <w:rPr>
      <w:i/>
      <w:iCs/>
      <w:color w:val="404040" w:themeColor="text1" w:themeTint="BF"/>
    </w:rPr>
  </w:style>
  <w:style w:type="character" w:customStyle="1" w:styleId="QuoteChar">
    <w:name w:val="Quote Char"/>
    <w:basedOn w:val="DefaultParagraphFont"/>
    <w:link w:val="Quote"/>
    <w:uiPriority w:val="29"/>
    <w:rsid w:val="007178A4"/>
    <w:rPr>
      <w:i/>
      <w:iCs/>
      <w:color w:val="404040" w:themeColor="text1" w:themeTint="BF"/>
    </w:rPr>
  </w:style>
  <w:style w:type="paragraph" w:styleId="ListParagraph">
    <w:name w:val="List Paragraph"/>
    <w:aliases w:val="Bullet Number,Recommendatio,Párrafo de lista,OBC Bullet,List Paragraph Char Char Char,Indicator Text,Colorful List - Accent 11,Numbered Para 1,Bullet 1,L,3,Абзац списка111,List Paragraph11,просто,List Paragraph1,Абзац списка2"/>
    <w:basedOn w:val="Normal"/>
    <w:link w:val="ListParagraphChar1"/>
    <w:qFormat/>
    <w:rsid w:val="007178A4"/>
    <w:pPr>
      <w:ind w:left="720"/>
      <w:contextualSpacing/>
    </w:pPr>
  </w:style>
  <w:style w:type="character" w:styleId="IntenseEmphasis">
    <w:name w:val="Intense Emphasis"/>
    <w:basedOn w:val="DefaultParagraphFont"/>
    <w:uiPriority w:val="21"/>
    <w:qFormat/>
    <w:rsid w:val="007178A4"/>
    <w:rPr>
      <w:i/>
      <w:iCs/>
      <w:color w:val="2E74B5" w:themeColor="accent1" w:themeShade="BF"/>
    </w:rPr>
  </w:style>
  <w:style w:type="paragraph" w:styleId="IntenseQuote">
    <w:name w:val="Intense Quote"/>
    <w:basedOn w:val="Normal"/>
    <w:next w:val="Normal"/>
    <w:link w:val="IntenseQuoteChar"/>
    <w:uiPriority w:val="30"/>
    <w:qFormat/>
    <w:rsid w:val="007178A4"/>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IntenseQuoteChar">
    <w:name w:val="Intense Quote Char"/>
    <w:basedOn w:val="DefaultParagraphFont"/>
    <w:link w:val="IntenseQuote"/>
    <w:uiPriority w:val="30"/>
    <w:rsid w:val="007178A4"/>
    <w:rPr>
      <w:i/>
      <w:iCs/>
      <w:color w:val="2E74B5" w:themeColor="accent1" w:themeShade="BF"/>
    </w:rPr>
  </w:style>
  <w:style w:type="character" w:styleId="IntenseReference">
    <w:name w:val="Intense Reference"/>
    <w:basedOn w:val="DefaultParagraphFont"/>
    <w:uiPriority w:val="32"/>
    <w:qFormat/>
    <w:rsid w:val="007178A4"/>
    <w:rPr>
      <w:b/>
      <w:bCs/>
      <w:smallCaps/>
      <w:color w:val="2E74B5" w:themeColor="accent1" w:themeShade="BF"/>
      <w:spacing w:val="5"/>
    </w:rPr>
  </w:style>
  <w:style w:type="numbering" w:customStyle="1" w:styleId="1">
    <w:name w:val="Немає списку1"/>
    <w:next w:val="NoList"/>
    <w:uiPriority w:val="99"/>
    <w:semiHidden/>
    <w:unhideWhenUsed/>
    <w:rsid w:val="00B44B71"/>
  </w:style>
  <w:style w:type="paragraph" w:styleId="NoSpacing">
    <w:name w:val="No Spacing"/>
    <w:uiPriority w:val="1"/>
    <w:qFormat/>
    <w:rsid w:val="00B44B71"/>
    <w:pPr>
      <w:spacing w:after="0" w:line="240" w:lineRule="auto"/>
    </w:pPr>
    <w:rPr>
      <w:kern w:val="0"/>
      <w:lang w:val="uk-UA"/>
      <w14:ligatures w14:val="none"/>
    </w:rPr>
  </w:style>
  <w:style w:type="numbering" w:customStyle="1" w:styleId="10">
    <w:name w:val="Нет списка1"/>
    <w:next w:val="NoList"/>
    <w:uiPriority w:val="99"/>
    <w:semiHidden/>
    <w:unhideWhenUsed/>
    <w:rsid w:val="00B44B71"/>
  </w:style>
  <w:style w:type="character" w:customStyle="1" w:styleId="apple-converted-space">
    <w:name w:val="apple-converted-space"/>
    <w:rsid w:val="00B44B71"/>
  </w:style>
  <w:style w:type="character" w:styleId="Hyperlink">
    <w:name w:val="Hyperlink"/>
    <w:basedOn w:val="DefaultParagraphFont"/>
    <w:uiPriority w:val="99"/>
    <w:rsid w:val="00B44B71"/>
    <w:rPr>
      <w:rFonts w:cs="Times New Roman"/>
      <w:color w:val="0563C1"/>
      <w:u w:val="single"/>
    </w:rPr>
  </w:style>
  <w:style w:type="character" w:styleId="Strong">
    <w:name w:val="Strong"/>
    <w:basedOn w:val="DefaultParagraphFont"/>
    <w:uiPriority w:val="22"/>
    <w:qFormat/>
    <w:rsid w:val="00B44B71"/>
    <w:rPr>
      <w:rFonts w:cs="Times New Roman"/>
      <w:b/>
    </w:rPr>
  </w:style>
  <w:style w:type="character" w:styleId="Emphasis">
    <w:name w:val="Emphasis"/>
    <w:basedOn w:val="DefaultParagraphFont"/>
    <w:qFormat/>
    <w:rsid w:val="00B44B71"/>
    <w:rPr>
      <w:rFonts w:cs="Times New Roman"/>
      <w:i/>
    </w:rPr>
  </w:style>
  <w:style w:type="character" w:customStyle="1" w:styleId="a0">
    <w:name w:val="Немає"/>
    <w:rsid w:val="00B44B71"/>
  </w:style>
  <w:style w:type="character" w:customStyle="1" w:styleId="FontStyle24">
    <w:name w:val="Font Style24"/>
    <w:rsid w:val="00B44B71"/>
    <w:rPr>
      <w:rFonts w:ascii="Trebuchet MS" w:hAnsi="Trebuchet MS"/>
      <w:sz w:val="18"/>
    </w:rPr>
  </w:style>
  <w:style w:type="character" w:customStyle="1" w:styleId="ListLabel320">
    <w:name w:val="ListLabel 320"/>
    <w:rsid w:val="00B44B71"/>
    <w:rPr>
      <w:sz w:val="34"/>
      <w:lang w:val="x-none" w:eastAsia="en-US"/>
    </w:rPr>
  </w:style>
  <w:style w:type="character" w:customStyle="1" w:styleId="ListLabel323">
    <w:name w:val="ListLabel 323"/>
    <w:rsid w:val="00B44B71"/>
  </w:style>
  <w:style w:type="paragraph" w:styleId="BodyText2">
    <w:name w:val="Body Text 2"/>
    <w:aliases w:val="Основной текст 2 Знак Знак Знак Знак,Основной текст 2 Знак Знак Знак,Основной текст 2 Знак Знак"/>
    <w:basedOn w:val="Normal"/>
    <w:link w:val="BodyText2Char"/>
    <w:rsid w:val="00B44B71"/>
    <w:pPr>
      <w:widowControl w:val="0"/>
      <w:suppressAutoHyphens/>
      <w:spacing w:after="120" w:line="480" w:lineRule="auto"/>
      <w:ind w:firstLine="740"/>
    </w:pPr>
    <w:rPr>
      <w:rFonts w:ascii="Times New Roman" w:eastAsia="Times New Roman" w:hAnsi="Times New Roman" w:cs="Times New Roman"/>
      <w:kern w:val="0"/>
      <w:sz w:val="24"/>
      <w:szCs w:val="20"/>
      <w:lang w:val="uk-UA" w:eastAsia="ru-RU"/>
      <w14:ligatures w14:val="none"/>
    </w:rPr>
  </w:style>
  <w:style w:type="character" w:customStyle="1" w:styleId="BodyText2Char">
    <w:name w:val="Body Text 2 Char"/>
    <w:aliases w:val="Основной текст 2 Знак Знак Знак Знак Char,Основной текст 2 Знак Знак Знак Char,Основной текст 2 Знак Знак Char"/>
    <w:basedOn w:val="DefaultParagraphFont"/>
    <w:link w:val="BodyText2"/>
    <w:rsid w:val="00B44B71"/>
    <w:rPr>
      <w:rFonts w:ascii="Times New Roman" w:eastAsia="Times New Roman" w:hAnsi="Times New Roman" w:cs="Times New Roman"/>
      <w:kern w:val="0"/>
      <w:sz w:val="24"/>
      <w:szCs w:val="20"/>
      <w:lang w:val="uk-UA" w:eastAsia="ru-RU"/>
      <w14:ligatures w14:val="none"/>
    </w:rPr>
  </w:style>
  <w:style w:type="character" w:customStyle="1" w:styleId="11">
    <w:name w:val="Посилання1"/>
    <w:aliases w:val="Абзац списку2,Абз сп"/>
    <w:rsid w:val="00B44B71"/>
    <w:rPr>
      <w:rFonts w:ascii="Calibri" w:hAnsi="Calibri"/>
      <w:sz w:val="22"/>
      <w:lang w:val="x-none" w:eastAsia="en-US"/>
    </w:rPr>
  </w:style>
  <w:style w:type="paragraph" w:styleId="BodyTextIndent2">
    <w:name w:val="Body Text Indent 2"/>
    <w:basedOn w:val="Normal"/>
    <w:link w:val="BodyTextIndent2Char"/>
    <w:rsid w:val="00B44B71"/>
    <w:pPr>
      <w:widowControl w:val="0"/>
      <w:suppressAutoHyphens/>
      <w:spacing w:after="120" w:line="480" w:lineRule="auto"/>
      <w:ind w:left="283" w:firstLine="740"/>
    </w:pPr>
    <w:rPr>
      <w:rFonts w:ascii="Times New Roman" w:eastAsia="Times New Roman" w:hAnsi="Times New Roman" w:cs="Times New Roman"/>
      <w:kern w:val="0"/>
      <w:sz w:val="24"/>
      <w:szCs w:val="20"/>
      <w:lang w:val="uk-UA" w:eastAsia="ru-RU"/>
      <w14:ligatures w14:val="none"/>
    </w:rPr>
  </w:style>
  <w:style w:type="character" w:customStyle="1" w:styleId="BodyTextIndent2Char">
    <w:name w:val="Body Text Indent 2 Char"/>
    <w:basedOn w:val="DefaultParagraphFont"/>
    <w:link w:val="BodyTextIndent2"/>
    <w:rsid w:val="00B44B71"/>
    <w:rPr>
      <w:rFonts w:ascii="Times New Roman" w:eastAsia="Times New Roman" w:hAnsi="Times New Roman" w:cs="Times New Roman"/>
      <w:kern w:val="0"/>
      <w:sz w:val="24"/>
      <w:szCs w:val="20"/>
      <w:lang w:val="uk-UA" w:eastAsia="ru-RU"/>
      <w14:ligatures w14:val="none"/>
    </w:rPr>
  </w:style>
  <w:style w:type="paragraph" w:styleId="BlockText">
    <w:name w:val="Block Text"/>
    <w:basedOn w:val="Normal"/>
    <w:rsid w:val="00B44B71"/>
    <w:pPr>
      <w:widowControl w:val="0"/>
      <w:shd w:val="clear" w:color="auto" w:fill="FFFFFF"/>
      <w:autoSpaceDE w:val="0"/>
      <w:autoSpaceDN w:val="0"/>
      <w:spacing w:before="283" w:after="0" w:line="300" w:lineRule="auto"/>
      <w:ind w:left="14" w:right="5" w:firstLine="813"/>
      <w:jc w:val="both"/>
    </w:pPr>
    <w:rPr>
      <w:rFonts w:ascii="Times New Roman" w:eastAsia="Times New Roman" w:hAnsi="Times New Roman" w:cs="Times New Roman"/>
      <w:color w:val="000000"/>
      <w:spacing w:val="-5"/>
      <w:kern w:val="0"/>
      <w:sz w:val="28"/>
      <w:szCs w:val="28"/>
      <w:lang w:val="uk-UA" w:eastAsia="ru-RU"/>
      <w14:ligatures w14:val="none"/>
    </w:rPr>
  </w:style>
  <w:style w:type="paragraph" w:styleId="NormalWeb">
    <w:name w:val="Normal (Web)"/>
    <w:aliases w:val="webb1,Обычный (веб) Знак Знак,Обычный (веб) Знак Знак Знак Знак Знак Знак,Обычный (веб) Знак Знак Знак Знак Знак,Знак Знак6,Normal (Web) Char Знак Знак Знак,Normal (Web) Char Знак Знак,Normal (Web) Char Знак Знак Знак Знак Знак Знак Знак"/>
    <w:basedOn w:val="Normal"/>
    <w:link w:val="NormalWebChar"/>
    <w:uiPriority w:val="99"/>
    <w:qFormat/>
    <w:rsid w:val="00B44B71"/>
    <w:pPr>
      <w:widowControl w:val="0"/>
      <w:suppressAutoHyphens/>
      <w:spacing w:before="280" w:after="280" w:line="480" w:lineRule="auto"/>
      <w:ind w:firstLine="740"/>
    </w:pPr>
    <w:rPr>
      <w:rFonts w:ascii="Times New Roman" w:eastAsia="Times New Roman" w:hAnsi="Times New Roman" w:cs="Times New Roman"/>
      <w:kern w:val="0"/>
      <w:sz w:val="24"/>
      <w:szCs w:val="24"/>
      <w:lang w:val="uk-UA" w:eastAsia="ru-RU"/>
      <w14:ligatures w14:val="none"/>
    </w:rPr>
  </w:style>
  <w:style w:type="character" w:customStyle="1" w:styleId="NormalWebChar">
    <w:name w:val="Normal (Web) Char"/>
    <w:aliases w:val="webb1 Char,Обычный (веб) Знак Знак Char,Обычный (веб) Знак Знак Знак Знак Знак Знак Char,Обычный (веб) Знак Знак Знак Знак Знак Char,Знак Знак6 Char,Normal (Web) Char Знак Знак Знак Char,Normal (Web) Char Знак Знак Char"/>
    <w:link w:val="NormalWeb"/>
    <w:uiPriority w:val="99"/>
    <w:locked/>
    <w:rsid w:val="00B44B71"/>
    <w:rPr>
      <w:rFonts w:ascii="Times New Roman" w:eastAsia="Times New Roman" w:hAnsi="Times New Roman" w:cs="Times New Roman"/>
      <w:kern w:val="0"/>
      <w:sz w:val="24"/>
      <w:szCs w:val="24"/>
      <w:lang w:val="uk-UA" w:eastAsia="ru-RU"/>
      <w14:ligatures w14:val="none"/>
    </w:rPr>
  </w:style>
  <w:style w:type="paragraph" w:customStyle="1" w:styleId="12">
    <w:name w:val="Абзац списку1"/>
    <w:aliases w:val="List Paragraph,Абзац списка5"/>
    <w:basedOn w:val="Normal"/>
    <w:qFormat/>
    <w:rsid w:val="00B44B71"/>
    <w:pPr>
      <w:suppressAutoHyphens/>
      <w:spacing w:after="0" w:line="240" w:lineRule="auto"/>
      <w:ind w:left="720"/>
      <w:contextualSpacing/>
    </w:pPr>
    <w:rPr>
      <w:rFonts w:ascii="Times New Roman" w:eastAsia="Times New Roman" w:hAnsi="Times New Roman" w:cs="Times New Roman"/>
      <w:kern w:val="0"/>
      <w:sz w:val="24"/>
      <w:szCs w:val="24"/>
      <w:lang w:val="uk-UA" w:eastAsia="ru-RU"/>
      <w14:ligatures w14:val="none"/>
    </w:rPr>
  </w:style>
  <w:style w:type="paragraph" w:customStyle="1" w:styleId="a1">
    <w:name w:val="СВЛ"/>
    <w:basedOn w:val="Normal"/>
    <w:link w:val="a2"/>
    <w:rsid w:val="00B44B71"/>
    <w:pPr>
      <w:widowControl w:val="0"/>
      <w:suppressAutoHyphens/>
      <w:spacing w:after="0" w:line="480" w:lineRule="auto"/>
      <w:ind w:left="426" w:firstLine="284"/>
    </w:pPr>
    <w:rPr>
      <w:rFonts w:ascii="Times New Roman" w:eastAsia="Times New Roman" w:hAnsi="Times New Roman" w:cs="Times New Roman"/>
      <w:kern w:val="0"/>
      <w:sz w:val="24"/>
      <w:szCs w:val="20"/>
      <w:lang w:val="uk-UA" w:eastAsia="ru-RU"/>
      <w14:ligatures w14:val="none"/>
    </w:rPr>
  </w:style>
  <w:style w:type="character" w:customStyle="1" w:styleId="a2">
    <w:name w:val="СВЛ Знак"/>
    <w:link w:val="a1"/>
    <w:locked/>
    <w:rsid w:val="00B44B71"/>
    <w:rPr>
      <w:rFonts w:ascii="Times New Roman" w:eastAsia="Times New Roman" w:hAnsi="Times New Roman" w:cs="Times New Roman"/>
      <w:kern w:val="0"/>
      <w:sz w:val="24"/>
      <w:szCs w:val="20"/>
      <w:lang w:val="uk-UA" w:eastAsia="ru-RU"/>
      <w14:ligatures w14:val="none"/>
    </w:rPr>
  </w:style>
  <w:style w:type="character" w:customStyle="1" w:styleId="ListLabel340">
    <w:name w:val="ListLabel 340"/>
    <w:rsid w:val="00B44B71"/>
    <w:rPr>
      <w:sz w:val="28"/>
    </w:rPr>
  </w:style>
  <w:style w:type="paragraph" w:styleId="HTMLPreformatted">
    <w:name w:val="HTML Preformatted"/>
    <w:basedOn w:val="Normal"/>
    <w:link w:val="HTMLPreformattedChar"/>
    <w:uiPriority w:val="99"/>
    <w:rsid w:val="00B44B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kern w:val="0"/>
      <w:sz w:val="20"/>
      <w:szCs w:val="20"/>
      <w:lang w:val="ru-RU" w:eastAsia="ru-RU"/>
      <w14:ligatures w14:val="none"/>
    </w:rPr>
  </w:style>
  <w:style w:type="character" w:customStyle="1" w:styleId="HTMLPreformattedChar">
    <w:name w:val="HTML Preformatted Char"/>
    <w:basedOn w:val="DefaultParagraphFont"/>
    <w:link w:val="HTMLPreformatted"/>
    <w:uiPriority w:val="99"/>
    <w:rsid w:val="00B44B71"/>
    <w:rPr>
      <w:rFonts w:ascii="Courier New" w:eastAsia="Times New Roman" w:hAnsi="Courier New" w:cs="Times New Roman"/>
      <w:kern w:val="0"/>
      <w:sz w:val="20"/>
      <w:szCs w:val="20"/>
      <w:lang w:val="ru-RU" w:eastAsia="ru-RU"/>
      <w14:ligatures w14:val="none"/>
    </w:rPr>
  </w:style>
  <w:style w:type="paragraph" w:styleId="FootnoteText">
    <w:name w:val="footnote text"/>
    <w:basedOn w:val="Normal"/>
    <w:link w:val="FootnoteTextChar"/>
    <w:unhideWhenUsed/>
    <w:rsid w:val="00B44B71"/>
    <w:pPr>
      <w:spacing w:after="0" w:line="240" w:lineRule="auto"/>
    </w:pPr>
    <w:rPr>
      <w:rFonts w:ascii="Calibri" w:eastAsia="Times New Roman" w:hAnsi="Calibri" w:cs="Times New Roman"/>
      <w:kern w:val="0"/>
      <w:sz w:val="20"/>
      <w:szCs w:val="20"/>
      <w:lang w:val="uk-UA" w:eastAsia="uk-UA"/>
      <w14:ligatures w14:val="none"/>
    </w:rPr>
  </w:style>
  <w:style w:type="character" w:customStyle="1" w:styleId="FootnoteTextChar">
    <w:name w:val="Footnote Text Char"/>
    <w:basedOn w:val="DefaultParagraphFont"/>
    <w:link w:val="FootnoteText"/>
    <w:rsid w:val="00B44B71"/>
    <w:rPr>
      <w:rFonts w:ascii="Calibri" w:eastAsia="Times New Roman" w:hAnsi="Calibri" w:cs="Times New Roman"/>
      <w:kern w:val="0"/>
      <w:sz w:val="20"/>
      <w:szCs w:val="20"/>
      <w:lang w:val="uk-UA" w:eastAsia="uk-UA"/>
      <w14:ligatures w14:val="none"/>
    </w:rPr>
  </w:style>
  <w:style w:type="paragraph" w:customStyle="1" w:styleId="Default">
    <w:name w:val="Default"/>
    <w:rsid w:val="00B44B71"/>
    <w:pPr>
      <w:autoSpaceDE w:val="0"/>
      <w:autoSpaceDN w:val="0"/>
      <w:adjustRightInd w:val="0"/>
      <w:spacing w:after="0" w:line="240" w:lineRule="auto"/>
    </w:pPr>
    <w:rPr>
      <w:rFonts w:ascii="Times New Roman" w:eastAsia="Times New Roman" w:hAnsi="Times New Roman" w:cs="Times New Roman"/>
      <w:color w:val="000000"/>
      <w:kern w:val="0"/>
      <w:sz w:val="24"/>
      <w:szCs w:val="24"/>
      <w:lang w:val="ru-RU" w:eastAsia="ru-RU"/>
      <w14:ligatures w14:val="none"/>
    </w:rPr>
  </w:style>
  <w:style w:type="character" w:styleId="FootnoteReference">
    <w:name w:val="footnote reference"/>
    <w:basedOn w:val="DefaultParagraphFont"/>
    <w:unhideWhenUsed/>
    <w:rsid w:val="00B44B71"/>
    <w:rPr>
      <w:rFonts w:cs="Times New Roman"/>
      <w:vertAlign w:val="superscript"/>
    </w:rPr>
  </w:style>
  <w:style w:type="character" w:customStyle="1" w:styleId="13">
    <w:name w:val="Незакрита згадка1"/>
    <w:uiPriority w:val="99"/>
    <w:semiHidden/>
    <w:unhideWhenUsed/>
    <w:rsid w:val="00B44B71"/>
    <w:rPr>
      <w:color w:val="605E5C"/>
      <w:shd w:val="clear" w:color="auto" w:fill="E1DFDD"/>
    </w:rPr>
  </w:style>
  <w:style w:type="character" w:customStyle="1" w:styleId="value">
    <w:name w:val="value"/>
    <w:rsid w:val="00B44B71"/>
  </w:style>
  <w:style w:type="paragraph" w:customStyle="1" w:styleId="110">
    <w:name w:val="Заголовок 11"/>
    <w:basedOn w:val="Normal"/>
    <w:uiPriority w:val="1"/>
    <w:qFormat/>
    <w:rsid w:val="00B44B71"/>
    <w:pPr>
      <w:widowControl w:val="0"/>
      <w:autoSpaceDE w:val="0"/>
      <w:autoSpaceDN w:val="0"/>
      <w:spacing w:before="110" w:after="0" w:line="240" w:lineRule="auto"/>
      <w:ind w:left="360" w:right="358"/>
      <w:jc w:val="center"/>
      <w:outlineLvl w:val="1"/>
    </w:pPr>
    <w:rPr>
      <w:rFonts w:ascii="Times New Roman" w:eastAsia="Times New Roman" w:hAnsi="Times New Roman" w:cs="Times New Roman"/>
      <w:b/>
      <w:bCs/>
      <w:kern w:val="0"/>
      <w:sz w:val="24"/>
      <w:szCs w:val="24"/>
      <w:lang w:val="uk-UA"/>
      <w14:ligatures w14:val="none"/>
    </w:rPr>
  </w:style>
  <w:style w:type="character" w:styleId="FollowedHyperlink">
    <w:name w:val="FollowedHyperlink"/>
    <w:basedOn w:val="DefaultParagraphFont"/>
    <w:unhideWhenUsed/>
    <w:rsid w:val="00B44B71"/>
    <w:rPr>
      <w:rFonts w:cs="Times New Roman"/>
      <w:color w:val="954F72"/>
      <w:u w:val="single"/>
    </w:rPr>
  </w:style>
  <w:style w:type="paragraph" w:customStyle="1" w:styleId="21">
    <w:name w:val="Заголовок 21"/>
    <w:basedOn w:val="Normal"/>
    <w:uiPriority w:val="1"/>
    <w:qFormat/>
    <w:rsid w:val="00B44B71"/>
    <w:pPr>
      <w:widowControl w:val="0"/>
      <w:autoSpaceDE w:val="0"/>
      <w:autoSpaceDN w:val="0"/>
      <w:spacing w:after="0" w:line="240" w:lineRule="auto"/>
      <w:ind w:left="232" w:firstLine="283"/>
      <w:outlineLvl w:val="2"/>
    </w:pPr>
    <w:rPr>
      <w:rFonts w:ascii="Times New Roman" w:eastAsia="Times New Roman" w:hAnsi="Times New Roman" w:cs="Times New Roman"/>
      <w:b/>
      <w:bCs/>
      <w:kern w:val="0"/>
      <w:sz w:val="28"/>
      <w:szCs w:val="28"/>
      <w:lang w:val="uk-UA"/>
      <w14:ligatures w14:val="none"/>
    </w:rPr>
  </w:style>
  <w:style w:type="paragraph" w:styleId="BodyText">
    <w:name w:val="Body Text"/>
    <w:aliases w:val=" Знак Знак Знак Знак Знак Знак Знак Знак Знак"/>
    <w:basedOn w:val="Normal"/>
    <w:link w:val="BodyTextChar"/>
    <w:unhideWhenUsed/>
    <w:qFormat/>
    <w:rsid w:val="00B44B71"/>
    <w:pPr>
      <w:spacing w:after="120"/>
    </w:pPr>
    <w:rPr>
      <w:rFonts w:ascii="Calibri" w:eastAsia="Times New Roman" w:hAnsi="Calibri" w:cs="Times New Roman"/>
      <w:kern w:val="0"/>
      <w:sz w:val="20"/>
      <w:szCs w:val="20"/>
      <w:lang w:val="uk-UA" w:eastAsia="uk-UA"/>
      <w14:ligatures w14:val="none"/>
    </w:rPr>
  </w:style>
  <w:style w:type="character" w:customStyle="1" w:styleId="BodyTextChar">
    <w:name w:val="Body Text Char"/>
    <w:aliases w:val=" Знак Знак Знак Знак Знак Знак Знак Знак Знак Char"/>
    <w:basedOn w:val="DefaultParagraphFont"/>
    <w:link w:val="BodyText"/>
    <w:rsid w:val="00B44B71"/>
    <w:rPr>
      <w:rFonts w:ascii="Calibri" w:eastAsia="Times New Roman" w:hAnsi="Calibri" w:cs="Times New Roman"/>
      <w:kern w:val="0"/>
      <w:sz w:val="20"/>
      <w:szCs w:val="20"/>
      <w:lang w:val="uk-UA" w:eastAsia="uk-UA"/>
      <w14:ligatures w14:val="none"/>
    </w:rPr>
  </w:style>
  <w:style w:type="paragraph" w:styleId="Header">
    <w:name w:val="header"/>
    <w:basedOn w:val="Normal"/>
    <w:link w:val="HeaderChar"/>
    <w:uiPriority w:val="99"/>
    <w:rsid w:val="00B44B71"/>
    <w:pPr>
      <w:tabs>
        <w:tab w:val="center" w:pos="4819"/>
        <w:tab w:val="right" w:pos="9639"/>
      </w:tabs>
      <w:spacing w:after="0" w:line="240" w:lineRule="auto"/>
    </w:pPr>
    <w:rPr>
      <w:rFonts w:ascii="Times New Roman" w:eastAsia="Times New Roman" w:hAnsi="Times New Roman" w:cs="Times New Roman"/>
      <w:kern w:val="0"/>
      <w:sz w:val="24"/>
      <w:szCs w:val="24"/>
      <w:lang w:val="en-GB" w:eastAsia="ru-RU"/>
      <w14:ligatures w14:val="none"/>
    </w:rPr>
  </w:style>
  <w:style w:type="character" w:customStyle="1" w:styleId="HeaderChar">
    <w:name w:val="Header Char"/>
    <w:basedOn w:val="DefaultParagraphFont"/>
    <w:link w:val="Header"/>
    <w:uiPriority w:val="99"/>
    <w:rsid w:val="00B44B71"/>
    <w:rPr>
      <w:rFonts w:ascii="Times New Roman" w:eastAsia="Times New Roman" w:hAnsi="Times New Roman" w:cs="Times New Roman"/>
      <w:kern w:val="0"/>
      <w:sz w:val="24"/>
      <w:szCs w:val="24"/>
      <w:lang w:val="en-GB" w:eastAsia="ru-RU"/>
      <w14:ligatures w14:val="none"/>
    </w:rPr>
  </w:style>
  <w:style w:type="character" w:customStyle="1" w:styleId="docdata">
    <w:name w:val="docdata"/>
    <w:aliases w:val="docy,v5,1711,baiaagaaboqcaaadpqqaaawzbaaaaaaaaaaaaaaaaaaaaaaaaaaaaaaaaaaaaaaaaaaaaaaaaaaaaaaaaaaaaaaaaaaaaaaaaaaaaaaaaaaaaaaaaaaaaaaaaaaaaaaaaaaaaaaaaaaaaaaaaaaaaaaaaaaaaaaaaaaaaaaaaaaaaaaaaaaaaaaaaaaaaaaaaaaaaaaaaaaaaaaaaaaaaaaaaaaaaaaaaaaaaaa"/>
    <w:rsid w:val="00B44B71"/>
  </w:style>
  <w:style w:type="table" w:styleId="TableGrid">
    <w:name w:val="Table Grid"/>
    <w:basedOn w:val="TableNormal"/>
    <w:uiPriority w:val="39"/>
    <w:rsid w:val="00B44B71"/>
    <w:pPr>
      <w:spacing w:after="0" w:line="240" w:lineRule="auto"/>
    </w:pPr>
    <w:rPr>
      <w:rFonts w:ascii="Calibri" w:eastAsia="Times New Roman" w:hAnsi="Calibri" w:cs="Times New Roman"/>
      <w:kern w:val="0"/>
      <w:sz w:val="20"/>
      <w:szCs w:val="20"/>
      <w:lang w:val="uk-UA" w:eastAsia="uk-U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B44B71"/>
    <w:pPr>
      <w:tabs>
        <w:tab w:val="center" w:pos="4819"/>
        <w:tab w:val="right" w:pos="9639"/>
      </w:tabs>
      <w:spacing w:after="0" w:line="240" w:lineRule="auto"/>
    </w:pPr>
    <w:rPr>
      <w:rFonts w:ascii="Times New Roman" w:eastAsia="Times New Roman" w:hAnsi="Times New Roman" w:cs="Times New Roman"/>
      <w:kern w:val="0"/>
      <w:sz w:val="24"/>
      <w:szCs w:val="24"/>
      <w:lang w:val="en-GB" w:eastAsia="ru-RU"/>
      <w14:ligatures w14:val="none"/>
    </w:rPr>
  </w:style>
  <w:style w:type="character" w:customStyle="1" w:styleId="FooterChar">
    <w:name w:val="Footer Char"/>
    <w:basedOn w:val="DefaultParagraphFont"/>
    <w:link w:val="Footer"/>
    <w:uiPriority w:val="99"/>
    <w:rsid w:val="00B44B71"/>
    <w:rPr>
      <w:rFonts w:ascii="Times New Roman" w:eastAsia="Times New Roman" w:hAnsi="Times New Roman" w:cs="Times New Roman"/>
      <w:kern w:val="0"/>
      <w:sz w:val="24"/>
      <w:szCs w:val="24"/>
      <w:lang w:val="en-GB" w:eastAsia="ru-RU"/>
      <w14:ligatures w14:val="none"/>
    </w:rPr>
  </w:style>
  <w:style w:type="character" w:customStyle="1" w:styleId="y2iqfc">
    <w:name w:val="y2iqfc"/>
    <w:rsid w:val="00B44B71"/>
  </w:style>
  <w:style w:type="character" w:customStyle="1" w:styleId="volumeissue">
    <w:name w:val="volume_issue"/>
    <w:rsid w:val="00B44B71"/>
  </w:style>
  <w:style w:type="character" w:customStyle="1" w:styleId="pagerange">
    <w:name w:val="page_range"/>
    <w:rsid w:val="00B44B71"/>
  </w:style>
  <w:style w:type="character" w:customStyle="1" w:styleId="doilink">
    <w:name w:val="doi_link"/>
    <w:rsid w:val="00B44B71"/>
  </w:style>
  <w:style w:type="paragraph" w:customStyle="1" w:styleId="dx-doi">
    <w:name w:val="dx-doi"/>
    <w:basedOn w:val="Normal"/>
    <w:rsid w:val="00B44B71"/>
    <w:pPr>
      <w:spacing w:before="100" w:beforeAutospacing="1" w:after="100" w:afterAutospacing="1" w:line="240" w:lineRule="auto"/>
    </w:pPr>
    <w:rPr>
      <w:rFonts w:ascii="Times New Roman" w:eastAsia="Times New Roman" w:hAnsi="Times New Roman" w:cs="Times New Roman"/>
      <w:kern w:val="0"/>
      <w:sz w:val="24"/>
      <w:szCs w:val="24"/>
      <w:lang w:val="uk-UA" w:eastAsia="uk-UA"/>
      <w14:ligatures w14:val="none"/>
    </w:rPr>
  </w:style>
  <w:style w:type="paragraph" w:customStyle="1" w:styleId="resourcelink">
    <w:name w:val="resource_link"/>
    <w:basedOn w:val="Normal"/>
    <w:rsid w:val="00B44B71"/>
    <w:pPr>
      <w:spacing w:before="100" w:beforeAutospacing="1" w:after="100" w:afterAutospacing="1" w:line="240" w:lineRule="auto"/>
    </w:pPr>
    <w:rPr>
      <w:rFonts w:ascii="Times New Roman" w:eastAsia="Times New Roman" w:hAnsi="Times New Roman" w:cs="Times New Roman"/>
      <w:kern w:val="0"/>
      <w:sz w:val="24"/>
      <w:szCs w:val="24"/>
      <w:lang w:val="uk-UA" w:eastAsia="uk-UA"/>
      <w14:ligatures w14:val="none"/>
    </w:rPr>
  </w:style>
  <w:style w:type="character" w:customStyle="1" w:styleId="authors">
    <w:name w:val="authors"/>
    <w:rsid w:val="00B44B71"/>
  </w:style>
  <w:style w:type="character" w:customStyle="1" w:styleId="14">
    <w:name w:val="Дата1"/>
    <w:rsid w:val="00B44B71"/>
  </w:style>
  <w:style w:type="character" w:customStyle="1" w:styleId="arttitle">
    <w:name w:val="art_title"/>
    <w:rsid w:val="00B44B71"/>
  </w:style>
  <w:style w:type="character" w:customStyle="1" w:styleId="serialtitle">
    <w:name w:val="serial_title"/>
    <w:rsid w:val="00B44B71"/>
  </w:style>
  <w:style w:type="character" w:customStyle="1" w:styleId="delimiter">
    <w:name w:val="delimiter"/>
    <w:rsid w:val="00B44B71"/>
  </w:style>
  <w:style w:type="character" w:customStyle="1" w:styleId="rvts9">
    <w:name w:val="rvts9"/>
    <w:rsid w:val="00B44B71"/>
  </w:style>
  <w:style w:type="character" w:customStyle="1" w:styleId="15">
    <w:name w:val="Неразрешенное упоминание1"/>
    <w:uiPriority w:val="99"/>
    <w:semiHidden/>
    <w:unhideWhenUsed/>
    <w:rsid w:val="00B44B71"/>
    <w:rPr>
      <w:color w:val="605E5C"/>
      <w:shd w:val="clear" w:color="auto" w:fill="E1DFDD"/>
    </w:rPr>
  </w:style>
  <w:style w:type="paragraph" w:customStyle="1" w:styleId="a3">
    <w:name w:val="a"/>
    <w:basedOn w:val="Normal"/>
    <w:rsid w:val="00B44B71"/>
    <w:pPr>
      <w:spacing w:before="100" w:beforeAutospacing="1" w:after="100" w:afterAutospacing="1" w:line="240" w:lineRule="auto"/>
    </w:pPr>
    <w:rPr>
      <w:rFonts w:ascii="Times New Roman" w:eastAsia="Times New Roman" w:hAnsi="Times New Roman" w:cs="Times New Roman"/>
      <w:kern w:val="0"/>
      <w:sz w:val="24"/>
      <w:szCs w:val="24"/>
      <w:lang w:val="ru-RU" w:eastAsia="ru-RU"/>
      <w14:ligatures w14:val="none"/>
    </w:rPr>
  </w:style>
  <w:style w:type="character" w:customStyle="1" w:styleId="511">
    <w:name w:val="Основной текст (5)11"/>
    <w:rsid w:val="00B44B71"/>
    <w:rPr>
      <w:sz w:val="27"/>
      <w:shd w:val="clear" w:color="auto" w:fill="FFFFFF"/>
    </w:rPr>
  </w:style>
  <w:style w:type="character" w:customStyle="1" w:styleId="personname">
    <w:name w:val="person_name"/>
    <w:rsid w:val="00B44B71"/>
  </w:style>
  <w:style w:type="paragraph" w:customStyle="1" w:styleId="16">
    <w:name w:val="Текст выноски1"/>
    <w:basedOn w:val="Normal"/>
    <w:next w:val="BalloonText"/>
    <w:link w:val="a4"/>
    <w:uiPriority w:val="99"/>
    <w:semiHidden/>
    <w:unhideWhenUsed/>
    <w:rsid w:val="00B44B71"/>
    <w:pPr>
      <w:spacing w:after="0" w:line="240" w:lineRule="auto"/>
    </w:pPr>
    <w:rPr>
      <w:rFonts w:ascii="Tahoma" w:eastAsia="Times New Roman" w:hAnsi="Tahoma" w:cs="Times New Roman"/>
      <w:kern w:val="0"/>
      <w:sz w:val="16"/>
      <w:szCs w:val="16"/>
      <w:lang w:val="uk-UA" w:eastAsia="uk-UA"/>
      <w14:ligatures w14:val="none"/>
    </w:rPr>
  </w:style>
  <w:style w:type="character" w:customStyle="1" w:styleId="a4">
    <w:name w:val="Текст выноски Знак"/>
    <w:link w:val="16"/>
    <w:uiPriority w:val="99"/>
    <w:semiHidden/>
    <w:locked/>
    <w:rsid w:val="00B44B71"/>
    <w:rPr>
      <w:rFonts w:ascii="Tahoma" w:eastAsia="Times New Roman" w:hAnsi="Tahoma" w:cs="Times New Roman"/>
      <w:kern w:val="0"/>
      <w:sz w:val="16"/>
      <w:szCs w:val="16"/>
      <w:lang w:val="uk-UA" w:eastAsia="uk-UA"/>
      <w14:ligatures w14:val="none"/>
    </w:rPr>
  </w:style>
  <w:style w:type="paragraph" w:styleId="BalloonText">
    <w:name w:val="Balloon Text"/>
    <w:basedOn w:val="Normal"/>
    <w:link w:val="BalloonTextChar"/>
    <w:rsid w:val="00B44B71"/>
    <w:pPr>
      <w:spacing w:after="0" w:line="240" w:lineRule="auto"/>
    </w:pPr>
    <w:rPr>
      <w:rFonts w:ascii="Tahoma" w:eastAsia="Times New Roman" w:hAnsi="Tahoma" w:cs="Times New Roman"/>
      <w:kern w:val="0"/>
      <w:sz w:val="16"/>
      <w:szCs w:val="16"/>
      <w:lang w:val="en-GB" w:eastAsia="ru-RU"/>
      <w14:ligatures w14:val="none"/>
    </w:rPr>
  </w:style>
  <w:style w:type="character" w:customStyle="1" w:styleId="BalloonTextChar">
    <w:name w:val="Balloon Text Char"/>
    <w:basedOn w:val="DefaultParagraphFont"/>
    <w:link w:val="BalloonText"/>
    <w:rsid w:val="00B44B71"/>
    <w:rPr>
      <w:rFonts w:ascii="Tahoma" w:eastAsia="Times New Roman" w:hAnsi="Tahoma" w:cs="Times New Roman"/>
      <w:kern w:val="0"/>
      <w:sz w:val="16"/>
      <w:szCs w:val="16"/>
      <w:lang w:val="en-GB" w:eastAsia="ru-RU"/>
      <w14:ligatures w14:val="none"/>
    </w:rPr>
  </w:style>
  <w:style w:type="character" w:customStyle="1" w:styleId="ListParagraphChar">
    <w:name w:val="List Paragraph Char"/>
    <w:link w:val="17"/>
    <w:uiPriority w:val="99"/>
    <w:locked/>
    <w:rsid w:val="00B44B71"/>
    <w:rPr>
      <w:rFonts w:ascii="Times New Roman" w:hAnsi="Times New Roman"/>
      <w:sz w:val="24"/>
      <w:lang w:val="ru-RU" w:eastAsia="ru-RU"/>
    </w:rPr>
  </w:style>
  <w:style w:type="paragraph" w:customStyle="1" w:styleId="17">
    <w:name w:val="Абзац списка1"/>
    <w:basedOn w:val="Normal"/>
    <w:link w:val="ListParagraphChar"/>
    <w:qFormat/>
    <w:rsid w:val="00B44B71"/>
    <w:pPr>
      <w:widowControl w:val="0"/>
      <w:autoSpaceDE w:val="0"/>
      <w:autoSpaceDN w:val="0"/>
      <w:adjustRightInd w:val="0"/>
      <w:spacing w:after="0" w:line="240" w:lineRule="auto"/>
      <w:ind w:left="141"/>
      <w:jc w:val="both"/>
    </w:pPr>
    <w:rPr>
      <w:rFonts w:ascii="Times New Roman" w:hAnsi="Times New Roman"/>
      <w:sz w:val="24"/>
      <w:lang w:val="ru-RU" w:eastAsia="ru-RU"/>
    </w:rPr>
  </w:style>
  <w:style w:type="paragraph" w:customStyle="1" w:styleId="rvps2">
    <w:name w:val="rvps2"/>
    <w:basedOn w:val="Normal"/>
    <w:qFormat/>
    <w:rsid w:val="00B44B71"/>
    <w:pPr>
      <w:spacing w:before="100" w:beforeAutospacing="1" w:after="100" w:afterAutospacing="1" w:line="240" w:lineRule="auto"/>
    </w:pPr>
    <w:rPr>
      <w:rFonts w:ascii="Times New Roman" w:eastAsia="Times New Roman" w:hAnsi="Times New Roman" w:cs="Times New Roman"/>
      <w:kern w:val="0"/>
      <w:sz w:val="24"/>
      <w:szCs w:val="24"/>
      <w:lang w:val="ru-RU" w:eastAsia="ru-RU"/>
      <w14:ligatures w14:val="none"/>
    </w:rPr>
  </w:style>
  <w:style w:type="character" w:customStyle="1" w:styleId="2">
    <w:name w:val="Основний текст (2)_"/>
    <w:link w:val="20"/>
    <w:locked/>
    <w:rsid w:val="00B44B71"/>
    <w:rPr>
      <w:sz w:val="19"/>
      <w:shd w:val="clear" w:color="auto" w:fill="FFFFFF"/>
    </w:rPr>
  </w:style>
  <w:style w:type="paragraph" w:customStyle="1" w:styleId="20">
    <w:name w:val="Основний текст (2)"/>
    <w:basedOn w:val="Normal"/>
    <w:link w:val="2"/>
    <w:rsid w:val="00B44B71"/>
    <w:pPr>
      <w:widowControl w:val="0"/>
      <w:shd w:val="clear" w:color="auto" w:fill="FFFFFF"/>
      <w:spacing w:after="300" w:line="326" w:lineRule="exact"/>
      <w:jc w:val="both"/>
    </w:pPr>
    <w:rPr>
      <w:sz w:val="19"/>
    </w:rPr>
  </w:style>
  <w:style w:type="character" w:customStyle="1" w:styleId="orcid-id-https">
    <w:name w:val="orcid-id-https"/>
    <w:uiPriority w:val="99"/>
    <w:rsid w:val="00B44B71"/>
  </w:style>
  <w:style w:type="character" w:customStyle="1" w:styleId="a5">
    <w:name w:val="Основний текст_"/>
    <w:link w:val="18"/>
    <w:locked/>
    <w:rsid w:val="00B44B71"/>
    <w:rPr>
      <w:spacing w:val="-10"/>
      <w:shd w:val="clear" w:color="auto" w:fill="FFFFFF"/>
    </w:rPr>
  </w:style>
  <w:style w:type="paragraph" w:customStyle="1" w:styleId="18">
    <w:name w:val="Основний текст1"/>
    <w:basedOn w:val="Normal"/>
    <w:link w:val="a5"/>
    <w:rsid w:val="00B44B71"/>
    <w:pPr>
      <w:shd w:val="clear" w:color="auto" w:fill="FFFFFF"/>
      <w:spacing w:after="0" w:line="240" w:lineRule="exact"/>
      <w:jc w:val="both"/>
    </w:pPr>
    <w:rPr>
      <w:spacing w:val="-10"/>
      <w:shd w:val="clear" w:color="auto" w:fill="FFFFFF"/>
    </w:rPr>
  </w:style>
  <w:style w:type="paragraph" w:customStyle="1" w:styleId="19">
    <w:name w:val="Без интервала1"/>
    <w:uiPriority w:val="99"/>
    <w:qFormat/>
    <w:rsid w:val="00B44B71"/>
    <w:pPr>
      <w:spacing w:after="0" w:line="240" w:lineRule="auto"/>
    </w:pPr>
    <w:rPr>
      <w:rFonts w:ascii="Calibri" w:eastAsia="Times New Roman" w:hAnsi="Calibri" w:cs="Times New Roman"/>
      <w:kern w:val="0"/>
      <w:lang w:val="uk-UA"/>
      <w14:ligatures w14:val="none"/>
    </w:rPr>
  </w:style>
  <w:style w:type="table" w:customStyle="1" w:styleId="TableNormal1">
    <w:name w:val="Table Normal1"/>
    <w:uiPriority w:val="2"/>
    <w:semiHidden/>
    <w:unhideWhenUsed/>
    <w:qFormat/>
    <w:rsid w:val="00B44B71"/>
    <w:pPr>
      <w:widowControl w:val="0"/>
      <w:spacing w:after="0" w:line="240" w:lineRule="auto"/>
    </w:pPr>
    <w:rPr>
      <w:rFonts w:ascii="Calibri" w:eastAsia="Times New Roman" w:hAnsi="Calibri" w:cs="Times New Roman"/>
      <w:kern w:val="0"/>
      <w14:ligatures w14:val="none"/>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B44B71"/>
    <w:pPr>
      <w:widowControl w:val="0"/>
      <w:spacing w:after="0" w:line="240" w:lineRule="auto"/>
    </w:pPr>
    <w:rPr>
      <w:rFonts w:ascii="Calibri" w:eastAsia="Times New Roman" w:hAnsi="Calibri" w:cs="Times New Roman"/>
      <w:kern w:val="0"/>
      <w14:ligatures w14:val="none"/>
    </w:rPr>
  </w:style>
  <w:style w:type="table" w:customStyle="1" w:styleId="1a">
    <w:name w:val="Сітка таблиці1"/>
    <w:basedOn w:val="TableNormal1"/>
    <w:next w:val="TableGrid"/>
    <w:uiPriority w:val="59"/>
    <w:rsid w:val="00B44B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fmc2">
    <w:name w:val="xfmc2"/>
    <w:rsid w:val="00B44B71"/>
  </w:style>
  <w:style w:type="paragraph" w:styleId="BodyTextIndent">
    <w:name w:val="Body Text Indent"/>
    <w:aliases w:val="Основной текст без отступа,Основной текст без отступа Знак Знак,Основной текст без отступа Знак Знак Знак Зн Знак Знак,Основной текст без отступа Знак Знак Знак Зн Знак Знак ,Основной текст 1,текст"/>
    <w:basedOn w:val="Normal"/>
    <w:link w:val="BodyTextIndentChar"/>
    <w:unhideWhenUsed/>
    <w:rsid w:val="00B44B71"/>
    <w:pPr>
      <w:spacing w:after="120" w:line="276" w:lineRule="auto"/>
      <w:ind w:left="283"/>
    </w:pPr>
    <w:rPr>
      <w:rFonts w:ascii="Calibri" w:eastAsia="Times New Roman" w:hAnsi="Calibri" w:cs="Times New Roman"/>
      <w:kern w:val="0"/>
      <w:lang w:val="uk-UA"/>
      <w14:ligatures w14:val="none"/>
    </w:rPr>
  </w:style>
  <w:style w:type="character" w:customStyle="1" w:styleId="BodyTextIndentChar">
    <w:name w:val="Body Text Indent Char"/>
    <w:aliases w:val="Основной текст без отступа Char,Основной текст без отступа Знак Знак Char,Основной текст без отступа Знак Знак Знак Зн Знак Знак Char,Основной текст без отступа Знак Знак Знак Зн Знак Знак  Char,Основной текст 1 Char,текст Char"/>
    <w:basedOn w:val="DefaultParagraphFont"/>
    <w:link w:val="BodyTextIndent"/>
    <w:rsid w:val="00B44B71"/>
    <w:rPr>
      <w:rFonts w:ascii="Calibri" w:eastAsia="Times New Roman" w:hAnsi="Calibri" w:cs="Times New Roman"/>
      <w:kern w:val="0"/>
      <w:lang w:val="uk-UA"/>
      <w14:ligatures w14:val="none"/>
    </w:rPr>
  </w:style>
  <w:style w:type="paragraph" w:styleId="CommentText">
    <w:name w:val="annotation text"/>
    <w:basedOn w:val="Normal"/>
    <w:link w:val="CommentTextChar"/>
    <w:unhideWhenUsed/>
    <w:rsid w:val="00B44B71"/>
    <w:pPr>
      <w:spacing w:after="200" w:line="240" w:lineRule="auto"/>
    </w:pPr>
    <w:rPr>
      <w:rFonts w:ascii="Calibri" w:eastAsia="Times New Roman" w:hAnsi="Calibri" w:cs="Times New Roman"/>
      <w:kern w:val="0"/>
      <w:sz w:val="20"/>
      <w:szCs w:val="20"/>
      <w:lang w:val="uk-UA" w:eastAsia="uk-UA"/>
      <w14:ligatures w14:val="none"/>
    </w:rPr>
  </w:style>
  <w:style w:type="character" w:customStyle="1" w:styleId="CommentTextChar">
    <w:name w:val="Comment Text Char"/>
    <w:basedOn w:val="DefaultParagraphFont"/>
    <w:link w:val="CommentText"/>
    <w:rsid w:val="00B44B71"/>
    <w:rPr>
      <w:rFonts w:ascii="Calibri" w:eastAsia="Times New Roman" w:hAnsi="Calibri" w:cs="Times New Roman"/>
      <w:kern w:val="0"/>
      <w:sz w:val="20"/>
      <w:szCs w:val="20"/>
      <w:lang w:val="uk-UA" w:eastAsia="uk-UA"/>
      <w14:ligatures w14:val="none"/>
    </w:rPr>
  </w:style>
  <w:style w:type="character" w:styleId="CommentReference">
    <w:name w:val="annotation reference"/>
    <w:basedOn w:val="DefaultParagraphFont"/>
    <w:semiHidden/>
    <w:unhideWhenUsed/>
    <w:rsid w:val="00B44B71"/>
    <w:rPr>
      <w:rFonts w:cs="Times New Roman"/>
      <w:sz w:val="16"/>
    </w:rPr>
  </w:style>
  <w:style w:type="character" w:customStyle="1" w:styleId="line-clamp-1">
    <w:name w:val="line-clamp-1"/>
    <w:rsid w:val="00B44B71"/>
  </w:style>
  <w:style w:type="paragraph" w:styleId="CommentSubject">
    <w:name w:val="annotation subject"/>
    <w:basedOn w:val="CommentText"/>
    <w:next w:val="CommentText"/>
    <w:link w:val="CommentSubjectChar"/>
    <w:semiHidden/>
    <w:unhideWhenUsed/>
    <w:rsid w:val="00B44B71"/>
    <w:rPr>
      <w:b/>
      <w:bCs/>
    </w:rPr>
  </w:style>
  <w:style w:type="character" w:customStyle="1" w:styleId="CommentSubjectChar">
    <w:name w:val="Comment Subject Char"/>
    <w:basedOn w:val="CommentTextChar"/>
    <w:link w:val="CommentSubject"/>
    <w:semiHidden/>
    <w:rsid w:val="00B44B71"/>
    <w:rPr>
      <w:rFonts w:ascii="Calibri" w:eastAsia="Times New Roman" w:hAnsi="Calibri" w:cs="Times New Roman"/>
      <w:b/>
      <w:bCs/>
      <w:kern w:val="0"/>
      <w:sz w:val="20"/>
      <w:szCs w:val="20"/>
      <w:lang w:val="uk-UA" w:eastAsia="uk-UA"/>
      <w14:ligatures w14:val="none"/>
    </w:rPr>
  </w:style>
  <w:style w:type="table" w:customStyle="1" w:styleId="1b">
    <w:name w:val="Сетка таблицы1"/>
    <w:basedOn w:val="TableNormal"/>
    <w:next w:val="TableGrid"/>
    <w:uiPriority w:val="39"/>
    <w:rsid w:val="00B44B71"/>
    <w:pPr>
      <w:spacing w:after="0" w:line="240" w:lineRule="auto"/>
    </w:pPr>
    <w:rPr>
      <w:rFonts w:ascii="Calibri" w:eastAsia="Times New Roman" w:hAnsi="Calibri" w:cs="Times New Roman"/>
      <w:kern w:val="0"/>
      <w:lang w:val="uk-U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Незакрита згадка2"/>
    <w:basedOn w:val="DefaultParagraphFont"/>
    <w:uiPriority w:val="99"/>
    <w:semiHidden/>
    <w:unhideWhenUsed/>
    <w:rsid w:val="00B44B71"/>
    <w:rPr>
      <w:rFonts w:cs="Times New Roman"/>
      <w:color w:val="605E5C"/>
      <w:shd w:val="clear" w:color="auto" w:fill="E1DFDD"/>
    </w:rPr>
  </w:style>
  <w:style w:type="paragraph" w:customStyle="1" w:styleId="a6">
    <w:name w:val="Знак Знак"/>
    <w:basedOn w:val="Normal"/>
    <w:rsid w:val="00B44B71"/>
    <w:pPr>
      <w:spacing w:after="0" w:line="240" w:lineRule="auto"/>
    </w:pPr>
    <w:rPr>
      <w:rFonts w:ascii="Calibri" w:eastAsia="Times New Roman" w:hAnsi="Calibri" w:cs="Times New Roman"/>
      <w:kern w:val="0"/>
      <w:sz w:val="20"/>
      <w:szCs w:val="20"/>
      <w14:ligatures w14:val="none"/>
    </w:rPr>
  </w:style>
  <w:style w:type="table" w:customStyle="1" w:styleId="23">
    <w:name w:val="Сетка таблицы2"/>
    <w:basedOn w:val="TableNormal"/>
    <w:next w:val="TableGrid"/>
    <w:uiPriority w:val="59"/>
    <w:rsid w:val="00B44B71"/>
    <w:pPr>
      <w:spacing w:after="0" w:line="240" w:lineRule="auto"/>
    </w:pPr>
    <w:rPr>
      <w:rFonts w:ascii="Calibri" w:eastAsia="Times New Roman" w:hAnsi="Calibri" w:cs="Times New Roman"/>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c">
    <w:name w:val="Знак Знак1"/>
    <w:basedOn w:val="Normal"/>
    <w:rsid w:val="00B44B71"/>
    <w:pPr>
      <w:spacing w:line="240" w:lineRule="exact"/>
    </w:pPr>
    <w:rPr>
      <w:rFonts w:ascii="Verdana" w:eastAsia="Times New Roman" w:hAnsi="Verdana" w:cs="Times New Roman"/>
      <w:kern w:val="0"/>
      <w:sz w:val="20"/>
      <w:szCs w:val="20"/>
      <w14:ligatures w14:val="none"/>
    </w:rPr>
  </w:style>
  <w:style w:type="character" w:customStyle="1" w:styleId="aounit1">
    <w:name w:val="ao_unit1"/>
    <w:rsid w:val="00B44B71"/>
  </w:style>
  <w:style w:type="character" w:customStyle="1" w:styleId="typography-modulelvnit">
    <w:name w:val="typography-module__lvnit"/>
    <w:rsid w:val="00B44B71"/>
  </w:style>
  <w:style w:type="character" w:customStyle="1" w:styleId="ListParagraphChar1">
    <w:name w:val="List Paragraph Char1"/>
    <w:aliases w:val="Bullet Number Char,Recommendatio Char,Párrafo de lista Char,OBC Bullet Char,List Paragraph Char Char Char Char,Indicator Text Char,Colorful List - Accent 11 Char,Numbered Para 1 Char,Bullet 1 Char,L Char,3 Char,Абзац списка111 Char"/>
    <w:link w:val="ListParagraph"/>
    <w:uiPriority w:val="34"/>
    <w:locked/>
    <w:rsid w:val="00B44B71"/>
  </w:style>
  <w:style w:type="paragraph" w:customStyle="1" w:styleId="a7">
    <w:name w:val="Îáû÷íûé"/>
    <w:rsid w:val="00B44B71"/>
    <w:pPr>
      <w:spacing w:after="0" w:line="240" w:lineRule="auto"/>
    </w:pPr>
    <w:rPr>
      <w:rFonts w:ascii="Times New Roman" w:eastAsia="Times New Roman" w:hAnsi="Times New Roman" w:cs="Times New Roman"/>
      <w:kern w:val="0"/>
      <w:sz w:val="20"/>
      <w:szCs w:val="20"/>
      <w:lang w:val="ru-RU" w:eastAsia="ru-RU"/>
      <w14:ligatures w14:val="none"/>
    </w:rPr>
  </w:style>
  <w:style w:type="paragraph" w:customStyle="1" w:styleId="rvps7">
    <w:name w:val="rvps7"/>
    <w:basedOn w:val="Normal"/>
    <w:rsid w:val="00B44B71"/>
    <w:pPr>
      <w:spacing w:before="100" w:beforeAutospacing="1" w:after="100" w:afterAutospacing="1" w:line="240" w:lineRule="auto"/>
    </w:pPr>
    <w:rPr>
      <w:rFonts w:ascii="Times New Roman" w:eastAsia="Times New Roman" w:hAnsi="Times New Roman" w:cs="Times New Roman"/>
      <w:kern w:val="0"/>
      <w:sz w:val="24"/>
      <w:szCs w:val="24"/>
      <w:lang w:val="uk-UA" w:eastAsia="uk-UA"/>
      <w14:ligatures w14:val="none"/>
    </w:rPr>
  </w:style>
  <w:style w:type="character" w:customStyle="1" w:styleId="fontstyle01">
    <w:name w:val="fontstyle01"/>
    <w:rsid w:val="00B44B71"/>
    <w:rPr>
      <w:rFonts w:ascii="TimesNewRomanPSMT" w:eastAsia="Times New Roman"/>
      <w:color w:val="000000"/>
      <w:sz w:val="28"/>
    </w:rPr>
  </w:style>
  <w:style w:type="character" w:customStyle="1" w:styleId="rvts15">
    <w:name w:val="rvts15"/>
    <w:rsid w:val="00B44B71"/>
  </w:style>
  <w:style w:type="character" w:customStyle="1" w:styleId="spanrvts0">
    <w:name w:val="span_rvts0"/>
    <w:qFormat/>
    <w:rsid w:val="00B44B71"/>
    <w:rPr>
      <w:rFonts w:ascii="Times New Roman" w:hAnsi="Times New Roman"/>
      <w:sz w:val="24"/>
    </w:rPr>
  </w:style>
  <w:style w:type="paragraph" w:customStyle="1" w:styleId="Abstract">
    <w:name w:val="Abstract"/>
    <w:qFormat/>
    <w:rsid w:val="00B44B71"/>
    <w:pPr>
      <w:spacing w:after="0" w:line="240" w:lineRule="auto"/>
      <w:jc w:val="both"/>
    </w:pPr>
    <w:rPr>
      <w:rFonts w:ascii="Calibri" w:eastAsia="Times New Roman" w:hAnsi="Calibri" w:cs="Calibri"/>
      <w:kern w:val="0"/>
      <w:sz w:val="18"/>
      <w:szCs w:val="24"/>
      <w14:ligatures w14:val="none"/>
    </w:rPr>
  </w:style>
  <w:style w:type="character" w:customStyle="1" w:styleId="atn">
    <w:name w:val="atn"/>
    <w:rsid w:val="00B44B71"/>
  </w:style>
  <w:style w:type="character" w:customStyle="1" w:styleId="Bodytext20">
    <w:name w:val="Body text (2)_"/>
    <w:link w:val="Bodytext21"/>
    <w:locked/>
    <w:rsid w:val="00B44B71"/>
    <w:rPr>
      <w:rFonts w:ascii="Special#Default Metrics Font" w:hAnsi="Special#Default Metrics Font"/>
      <w:sz w:val="18"/>
      <w:shd w:val="clear" w:color="auto" w:fill="FFFFFF"/>
    </w:rPr>
  </w:style>
  <w:style w:type="paragraph" w:customStyle="1" w:styleId="Bodytext21">
    <w:name w:val="Body text (2)"/>
    <w:basedOn w:val="Normal"/>
    <w:link w:val="Bodytext20"/>
    <w:rsid w:val="00B44B71"/>
    <w:pPr>
      <w:widowControl w:val="0"/>
      <w:shd w:val="clear" w:color="auto" w:fill="FFFFFF"/>
      <w:spacing w:after="0" w:line="240" w:lineRule="atLeast"/>
      <w:ind w:hanging="291"/>
    </w:pPr>
    <w:rPr>
      <w:rFonts w:ascii="Special#Default Metrics Font" w:hAnsi="Special#Default Metrics Font"/>
      <w:sz w:val="18"/>
    </w:rPr>
  </w:style>
  <w:style w:type="character" w:customStyle="1" w:styleId="Bodytext2085ptExact">
    <w:name w:val="Body text (20) + 8.5 pt Exact"/>
    <w:rsid w:val="00B44B71"/>
    <w:rPr>
      <w:rFonts w:ascii="Special#Default Metrics Font" w:hAnsi="Special#Default Metrics Font"/>
      <w:color w:val="000000"/>
      <w:w w:val="100"/>
      <w:position w:val="0"/>
      <w:sz w:val="17"/>
      <w:shd w:val="clear" w:color="auto" w:fill="FFFFFF"/>
      <w:lang w:val="uk-UA" w:eastAsia="uk-UA"/>
    </w:rPr>
  </w:style>
  <w:style w:type="character" w:styleId="PlaceholderText">
    <w:name w:val="Placeholder Text"/>
    <w:basedOn w:val="DefaultParagraphFont"/>
    <w:uiPriority w:val="99"/>
    <w:semiHidden/>
    <w:rsid w:val="00B44B71"/>
    <w:rPr>
      <w:rFonts w:cs="Times New Roman"/>
      <w:color w:val="808080"/>
    </w:rPr>
  </w:style>
  <w:style w:type="table" w:customStyle="1" w:styleId="3">
    <w:name w:val="Сетка таблицы3"/>
    <w:basedOn w:val="TableNormal"/>
    <w:next w:val="TableGrid"/>
    <w:uiPriority w:val="39"/>
    <w:rsid w:val="00B44B71"/>
    <w:pPr>
      <w:spacing w:after="0" w:line="240" w:lineRule="auto"/>
    </w:pPr>
    <w:rPr>
      <w:rFonts w:ascii="Calibri" w:eastAsia="Times New Roman" w:hAnsi="Calibri" w:cs="Times New Roman"/>
      <w:kern w:val="0"/>
      <w:lang w:val="uk-U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elected">
    <w:name w:val="selected"/>
    <w:rsid w:val="00B44B71"/>
  </w:style>
  <w:style w:type="table" w:customStyle="1" w:styleId="articletable">
    <w:name w:val="article_table"/>
    <w:basedOn w:val="TableNormal"/>
    <w:rsid w:val="00B44B71"/>
    <w:pPr>
      <w:spacing w:after="0" w:line="240" w:lineRule="auto"/>
    </w:pPr>
    <w:rPr>
      <w:rFonts w:ascii="Times New Roman" w:eastAsia="Times New Roman" w:hAnsi="Times New Roman" w:cs="Times New Roman"/>
      <w:kern w:val="0"/>
      <w:sz w:val="20"/>
      <w:szCs w:val="20"/>
      <w14:ligatures w14:val="none"/>
    </w:rPr>
    <w:tblPr/>
  </w:style>
  <w:style w:type="paragraph" w:customStyle="1" w:styleId="a8">
    <w:name w:val="Нормальний текст"/>
    <w:basedOn w:val="Normal"/>
    <w:link w:val="a9"/>
    <w:rsid w:val="00B44B71"/>
    <w:pPr>
      <w:spacing w:before="120" w:after="0" w:line="240" w:lineRule="auto"/>
      <w:ind w:firstLine="567"/>
    </w:pPr>
    <w:rPr>
      <w:rFonts w:ascii="Antiqua" w:eastAsia="Times New Roman" w:hAnsi="Antiqua" w:cs="Times New Roman"/>
      <w:kern w:val="0"/>
      <w:sz w:val="26"/>
      <w:szCs w:val="20"/>
      <w:lang w:val="uk-UA" w:eastAsia="ru-RU"/>
      <w14:ligatures w14:val="none"/>
    </w:rPr>
  </w:style>
  <w:style w:type="character" w:customStyle="1" w:styleId="rvts44">
    <w:name w:val="rvts44"/>
    <w:rsid w:val="00B44B71"/>
  </w:style>
  <w:style w:type="paragraph" w:styleId="Caption">
    <w:name w:val="caption"/>
    <w:basedOn w:val="Normal"/>
    <w:next w:val="Normal"/>
    <w:uiPriority w:val="35"/>
    <w:unhideWhenUsed/>
    <w:qFormat/>
    <w:rsid w:val="00B44B71"/>
    <w:pPr>
      <w:spacing w:after="200" w:line="276" w:lineRule="auto"/>
    </w:pPr>
    <w:rPr>
      <w:rFonts w:ascii="Calibri" w:eastAsia="Times New Roman" w:hAnsi="Calibri" w:cs="Times New Roman"/>
      <w:b/>
      <w:bCs/>
      <w:kern w:val="0"/>
      <w:sz w:val="20"/>
      <w:szCs w:val="20"/>
      <w:lang w:val="uk-UA"/>
      <w14:ligatures w14:val="none"/>
    </w:rPr>
  </w:style>
  <w:style w:type="character" w:customStyle="1" w:styleId="citationsource-journal">
    <w:name w:val="citation_source-journal"/>
    <w:rsid w:val="00B44B71"/>
  </w:style>
  <w:style w:type="character" w:customStyle="1" w:styleId="off-screen">
    <w:name w:val="off-screen"/>
    <w:rsid w:val="00B44B71"/>
  </w:style>
  <w:style w:type="character" w:customStyle="1" w:styleId="given-name">
    <w:name w:val="given-name"/>
    <w:rsid w:val="00B44B71"/>
  </w:style>
  <w:style w:type="character" w:customStyle="1" w:styleId="text">
    <w:name w:val="text"/>
    <w:rsid w:val="00B44B71"/>
  </w:style>
  <w:style w:type="character" w:customStyle="1" w:styleId="underline">
    <w:name w:val="underline"/>
    <w:rsid w:val="00B44B71"/>
  </w:style>
  <w:style w:type="character" w:customStyle="1" w:styleId="ml-1px">
    <w:name w:val="ml-[1px]"/>
    <w:rsid w:val="00B44B71"/>
  </w:style>
  <w:style w:type="paragraph" w:customStyle="1" w:styleId="rvps17">
    <w:name w:val="rvps17"/>
    <w:basedOn w:val="Normal"/>
    <w:rsid w:val="00B44B71"/>
    <w:pPr>
      <w:spacing w:before="100" w:beforeAutospacing="1" w:after="100" w:afterAutospacing="1" w:line="240" w:lineRule="auto"/>
    </w:pPr>
    <w:rPr>
      <w:rFonts w:ascii="Times New Roman" w:eastAsia="Times New Roman" w:hAnsi="Times New Roman" w:cs="Times New Roman"/>
      <w:kern w:val="0"/>
      <w:sz w:val="24"/>
      <w:szCs w:val="24"/>
      <w:lang w:val="uk-UA" w:eastAsia="uk-UA"/>
      <w14:ligatures w14:val="none"/>
    </w:rPr>
  </w:style>
  <w:style w:type="character" w:customStyle="1" w:styleId="rvts64">
    <w:name w:val="rvts64"/>
    <w:rsid w:val="00B44B71"/>
  </w:style>
  <w:style w:type="paragraph" w:customStyle="1" w:styleId="rvps6">
    <w:name w:val="rvps6"/>
    <w:basedOn w:val="Normal"/>
    <w:qFormat/>
    <w:rsid w:val="00B44B71"/>
    <w:pPr>
      <w:spacing w:before="100" w:beforeAutospacing="1" w:after="100" w:afterAutospacing="1" w:line="240" w:lineRule="auto"/>
    </w:pPr>
    <w:rPr>
      <w:rFonts w:ascii="Times New Roman" w:eastAsia="Times New Roman" w:hAnsi="Times New Roman" w:cs="Times New Roman"/>
      <w:kern w:val="0"/>
      <w:sz w:val="24"/>
      <w:szCs w:val="24"/>
      <w:lang w:val="uk-UA" w:eastAsia="uk-UA"/>
      <w14:ligatures w14:val="none"/>
    </w:rPr>
  </w:style>
  <w:style w:type="character" w:customStyle="1" w:styleId="rvts23">
    <w:name w:val="rvts23"/>
    <w:rsid w:val="00B44B71"/>
  </w:style>
  <w:style w:type="character" w:customStyle="1" w:styleId="name">
    <w:name w:val="name"/>
    <w:rsid w:val="00B44B71"/>
  </w:style>
  <w:style w:type="character" w:customStyle="1" w:styleId="affiliation">
    <w:name w:val="affiliation"/>
    <w:rsid w:val="00B44B71"/>
  </w:style>
  <w:style w:type="paragraph" w:customStyle="1" w:styleId="c-article-author-affiliationauthors-list">
    <w:name w:val="c-article-author-affiliation__authors-list"/>
    <w:basedOn w:val="Normal"/>
    <w:rsid w:val="00B44B71"/>
    <w:pPr>
      <w:spacing w:before="100" w:beforeAutospacing="1" w:after="100" w:afterAutospacing="1" w:line="240" w:lineRule="auto"/>
    </w:pPr>
    <w:rPr>
      <w:rFonts w:ascii="Times New Roman" w:eastAsia="Times New Roman" w:hAnsi="Times New Roman" w:cs="Times New Roman"/>
      <w:kern w:val="0"/>
      <w:sz w:val="24"/>
      <w:szCs w:val="24"/>
      <w:lang w:val="uk-UA" w:eastAsia="uk-UA"/>
      <w14:ligatures w14:val="none"/>
    </w:rPr>
  </w:style>
  <w:style w:type="paragraph" w:customStyle="1" w:styleId="c-article-author-affiliationaddress">
    <w:name w:val="c-article-author-affiliation__address"/>
    <w:basedOn w:val="Normal"/>
    <w:rsid w:val="00B44B71"/>
    <w:pPr>
      <w:spacing w:before="100" w:beforeAutospacing="1" w:after="100" w:afterAutospacing="1" w:line="240" w:lineRule="auto"/>
    </w:pPr>
    <w:rPr>
      <w:rFonts w:ascii="Times New Roman" w:eastAsia="Times New Roman" w:hAnsi="Times New Roman" w:cs="Times New Roman"/>
      <w:kern w:val="0"/>
      <w:sz w:val="24"/>
      <w:szCs w:val="24"/>
      <w:lang w:val="uk-UA" w:eastAsia="uk-UA"/>
      <w14:ligatures w14:val="none"/>
    </w:rPr>
  </w:style>
  <w:style w:type="paragraph" w:customStyle="1" w:styleId="nvrgn">
    <w:name w:val="nvrgn"/>
    <w:basedOn w:val="Normal"/>
    <w:rsid w:val="00B44B71"/>
    <w:pPr>
      <w:spacing w:before="100" w:beforeAutospacing="1" w:after="100" w:afterAutospacing="1" w:line="240" w:lineRule="auto"/>
    </w:pPr>
    <w:rPr>
      <w:rFonts w:ascii="Times New Roman" w:eastAsia="Times New Roman" w:hAnsi="Times New Roman" w:cs="Times New Roman"/>
      <w:kern w:val="0"/>
      <w:sz w:val="24"/>
      <w:szCs w:val="24"/>
      <w:lang w:val="uk-UA"/>
      <w14:ligatures w14:val="none"/>
    </w:rPr>
  </w:style>
  <w:style w:type="table" w:customStyle="1" w:styleId="4">
    <w:name w:val="Сетка таблицы4"/>
    <w:basedOn w:val="TableNormal"/>
    <w:next w:val="TableGrid"/>
    <w:uiPriority w:val="39"/>
    <w:rsid w:val="00B44B71"/>
    <w:pPr>
      <w:suppressAutoHyphens/>
      <w:spacing w:after="0" w:line="240" w:lineRule="auto"/>
    </w:pPr>
    <w:rPr>
      <w:rFonts w:ascii="Times New Roman" w:eastAsia="Times New Roman" w:hAnsi="Times New Roman" w:cs="Times New Roman"/>
      <w:kern w:val="0"/>
      <w:sz w:val="28"/>
      <w:szCs w:val="28"/>
      <w:lang w:val="uk-UA" w:eastAsia="uk-U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TableNormal"/>
    <w:next w:val="TableGrid"/>
    <w:uiPriority w:val="39"/>
    <w:rsid w:val="00B44B71"/>
    <w:pPr>
      <w:spacing w:after="0" w:line="240" w:lineRule="auto"/>
    </w:pPr>
    <w:rPr>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TableNormal"/>
    <w:next w:val="TableGrid"/>
    <w:uiPriority w:val="59"/>
    <w:rsid w:val="00B44B71"/>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Незакрита згадка3"/>
    <w:basedOn w:val="DefaultParagraphFont"/>
    <w:uiPriority w:val="99"/>
    <w:semiHidden/>
    <w:unhideWhenUsed/>
    <w:rsid w:val="00B44B71"/>
    <w:rPr>
      <w:color w:val="605E5C"/>
      <w:shd w:val="clear" w:color="auto" w:fill="E1DFDD"/>
    </w:rPr>
  </w:style>
  <w:style w:type="numbering" w:customStyle="1" w:styleId="111">
    <w:name w:val="Немає списку11"/>
    <w:next w:val="NoList"/>
    <w:uiPriority w:val="99"/>
    <w:semiHidden/>
    <w:unhideWhenUsed/>
    <w:rsid w:val="00B44B71"/>
  </w:style>
  <w:style w:type="table" w:customStyle="1" w:styleId="24">
    <w:name w:val="Сітка таблиці2"/>
    <w:basedOn w:val="TableNormal"/>
    <w:next w:val="TableGrid"/>
    <w:uiPriority w:val="59"/>
    <w:rsid w:val="00B44B71"/>
    <w:pPr>
      <w:spacing w:after="0" w:line="240" w:lineRule="auto"/>
    </w:pPr>
    <w:rPr>
      <w:rFonts w:ascii="Times New Roman" w:eastAsia="Times New Roman" w:hAnsi="Times New Roman" w:cs="Times New Roman"/>
      <w:kern w:val="0"/>
      <w:sz w:val="20"/>
      <w:szCs w:val="20"/>
      <w:lang w:val="uk-UA" w:eastAsia="uk-U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basedOn w:val="DefaultParagraphFont"/>
    <w:unhideWhenUsed/>
    <w:rsid w:val="00B44B71"/>
    <w:rPr>
      <w:i/>
      <w:iCs/>
    </w:rPr>
  </w:style>
  <w:style w:type="character" w:customStyle="1" w:styleId="reference-accessdate">
    <w:name w:val="reference-accessdate"/>
    <w:basedOn w:val="DefaultParagraphFont"/>
    <w:rsid w:val="00B44B71"/>
  </w:style>
  <w:style w:type="character" w:customStyle="1" w:styleId="cs1-format">
    <w:name w:val="cs1-format"/>
    <w:basedOn w:val="DefaultParagraphFont"/>
    <w:rsid w:val="00B44B71"/>
  </w:style>
  <w:style w:type="character" w:customStyle="1" w:styleId="markedcontent">
    <w:name w:val="markedcontent"/>
    <w:basedOn w:val="DefaultParagraphFont"/>
    <w:rsid w:val="00B44B71"/>
  </w:style>
  <w:style w:type="table" w:customStyle="1" w:styleId="7">
    <w:name w:val="Сетка таблицы7"/>
    <w:basedOn w:val="TableNormal"/>
    <w:next w:val="TableGrid"/>
    <w:uiPriority w:val="39"/>
    <w:rsid w:val="00B44B71"/>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
    <w:name w:val="Нет списка2"/>
    <w:next w:val="NoList"/>
    <w:semiHidden/>
    <w:rsid w:val="00B44B71"/>
  </w:style>
  <w:style w:type="paragraph" w:customStyle="1" w:styleId="31">
    <w:name w:val="заголовок 3"/>
    <w:basedOn w:val="Normal"/>
    <w:next w:val="Normal"/>
    <w:rsid w:val="00B44B71"/>
    <w:pPr>
      <w:keepNext/>
      <w:spacing w:after="0" w:line="240" w:lineRule="auto"/>
      <w:jc w:val="both"/>
    </w:pPr>
    <w:rPr>
      <w:rFonts w:ascii="Times New Roman" w:eastAsia="Times New Roman" w:hAnsi="Times New Roman" w:cs="Times New Roman"/>
      <w:kern w:val="0"/>
      <w:sz w:val="28"/>
      <w:szCs w:val="20"/>
      <w:lang w:val="uk-UA" w:eastAsia="ru-RU"/>
      <w14:ligatures w14:val="none"/>
    </w:rPr>
  </w:style>
  <w:style w:type="paragraph" w:customStyle="1" w:styleId="50">
    <w:name w:val="заголовок 5"/>
    <w:basedOn w:val="Normal"/>
    <w:next w:val="Normal"/>
    <w:rsid w:val="00B44B71"/>
    <w:pPr>
      <w:keepNext/>
      <w:spacing w:after="0" w:line="240" w:lineRule="auto"/>
      <w:jc w:val="center"/>
    </w:pPr>
    <w:rPr>
      <w:rFonts w:ascii="Times New Roman" w:eastAsia="Times New Roman" w:hAnsi="Times New Roman" w:cs="Times New Roman"/>
      <w:b/>
      <w:i/>
      <w:kern w:val="0"/>
      <w:sz w:val="28"/>
      <w:szCs w:val="20"/>
      <w:lang w:val="uk-UA" w:eastAsia="ru-RU"/>
      <w14:ligatures w14:val="none"/>
    </w:rPr>
  </w:style>
  <w:style w:type="paragraph" w:customStyle="1" w:styleId="26">
    <w:name w:val="заголовок 2"/>
    <w:basedOn w:val="Normal"/>
    <w:next w:val="Normal"/>
    <w:rsid w:val="00B44B71"/>
    <w:pPr>
      <w:keepNext/>
      <w:spacing w:after="0" w:line="240" w:lineRule="auto"/>
      <w:jc w:val="center"/>
    </w:pPr>
    <w:rPr>
      <w:rFonts w:ascii="Times New Roman" w:eastAsia="Times New Roman" w:hAnsi="Times New Roman" w:cs="Times New Roman"/>
      <w:b/>
      <w:kern w:val="0"/>
      <w:sz w:val="28"/>
      <w:szCs w:val="20"/>
      <w:lang w:val="uk-UA" w:eastAsia="ru-RU"/>
      <w14:ligatures w14:val="none"/>
    </w:rPr>
  </w:style>
  <w:style w:type="paragraph" w:customStyle="1" w:styleId="60">
    <w:name w:val="заголовок 6"/>
    <w:basedOn w:val="Normal"/>
    <w:next w:val="Normal"/>
    <w:rsid w:val="00B44B71"/>
    <w:pPr>
      <w:keepNext/>
      <w:spacing w:after="0" w:line="240" w:lineRule="auto"/>
    </w:pPr>
    <w:rPr>
      <w:rFonts w:ascii="Times New Roman" w:eastAsia="Times New Roman" w:hAnsi="Times New Roman" w:cs="Times New Roman"/>
      <w:kern w:val="0"/>
      <w:sz w:val="28"/>
      <w:szCs w:val="20"/>
      <w:lang w:val="uk-UA" w:eastAsia="ru-RU"/>
      <w14:ligatures w14:val="none"/>
    </w:rPr>
  </w:style>
  <w:style w:type="paragraph" w:styleId="BodyTextIndent3">
    <w:name w:val="Body Text Indent 3"/>
    <w:basedOn w:val="Normal"/>
    <w:link w:val="BodyTextIndent3Char"/>
    <w:rsid w:val="00B44B71"/>
    <w:pPr>
      <w:spacing w:after="0" w:line="240" w:lineRule="auto"/>
      <w:ind w:left="1418"/>
      <w:jc w:val="both"/>
    </w:pPr>
    <w:rPr>
      <w:rFonts w:ascii="Times New Roman" w:eastAsia="Times New Roman" w:hAnsi="Times New Roman" w:cs="Times New Roman"/>
      <w:kern w:val="0"/>
      <w:sz w:val="28"/>
      <w:szCs w:val="20"/>
      <w:lang w:val="uk-UA" w:eastAsia="ru-RU"/>
      <w14:ligatures w14:val="none"/>
    </w:rPr>
  </w:style>
  <w:style w:type="character" w:customStyle="1" w:styleId="BodyTextIndent3Char">
    <w:name w:val="Body Text Indent 3 Char"/>
    <w:basedOn w:val="DefaultParagraphFont"/>
    <w:link w:val="BodyTextIndent3"/>
    <w:rsid w:val="00B44B71"/>
    <w:rPr>
      <w:rFonts w:ascii="Times New Roman" w:eastAsia="Times New Roman" w:hAnsi="Times New Roman" w:cs="Times New Roman"/>
      <w:kern w:val="0"/>
      <w:sz w:val="28"/>
      <w:szCs w:val="20"/>
      <w:lang w:val="uk-UA" w:eastAsia="ru-RU"/>
      <w14:ligatures w14:val="none"/>
    </w:rPr>
  </w:style>
  <w:style w:type="paragraph" w:customStyle="1" w:styleId="1d">
    <w:name w:val="заголовок 1"/>
    <w:basedOn w:val="Normal"/>
    <w:next w:val="Normal"/>
    <w:rsid w:val="00B44B71"/>
    <w:pPr>
      <w:keepNext/>
      <w:spacing w:after="0" w:line="240" w:lineRule="auto"/>
      <w:jc w:val="center"/>
    </w:pPr>
    <w:rPr>
      <w:rFonts w:ascii="Times New Roman" w:eastAsia="Times New Roman" w:hAnsi="Times New Roman" w:cs="Times New Roman"/>
      <w:kern w:val="0"/>
      <w:sz w:val="28"/>
      <w:szCs w:val="20"/>
      <w:lang w:val="uk-UA" w:eastAsia="ru-RU"/>
      <w14:ligatures w14:val="none"/>
    </w:rPr>
  </w:style>
  <w:style w:type="paragraph" w:customStyle="1" w:styleId="70">
    <w:name w:val="заголовок 7"/>
    <w:basedOn w:val="Normal"/>
    <w:next w:val="Normal"/>
    <w:rsid w:val="00B44B71"/>
    <w:pPr>
      <w:keepNext/>
      <w:spacing w:after="0" w:line="240" w:lineRule="auto"/>
    </w:pPr>
    <w:rPr>
      <w:rFonts w:ascii="Times New Roman" w:eastAsia="Times New Roman" w:hAnsi="Times New Roman" w:cs="Times New Roman"/>
      <w:b/>
      <w:kern w:val="0"/>
      <w:sz w:val="28"/>
      <w:szCs w:val="20"/>
      <w:lang w:val="uk-UA" w:eastAsia="ru-RU"/>
      <w14:ligatures w14:val="none"/>
    </w:rPr>
  </w:style>
  <w:style w:type="paragraph" w:customStyle="1" w:styleId="40">
    <w:name w:val="заголовок 4"/>
    <w:basedOn w:val="Normal"/>
    <w:next w:val="Normal"/>
    <w:rsid w:val="00B44B71"/>
    <w:pPr>
      <w:keepNext/>
      <w:spacing w:after="0" w:line="240" w:lineRule="auto"/>
      <w:jc w:val="both"/>
    </w:pPr>
    <w:rPr>
      <w:rFonts w:ascii="Times New Roman" w:eastAsia="Times New Roman" w:hAnsi="Times New Roman" w:cs="Times New Roman"/>
      <w:b/>
      <w:kern w:val="0"/>
      <w:sz w:val="28"/>
      <w:szCs w:val="20"/>
      <w:lang w:val="uk-UA" w:eastAsia="ru-RU"/>
      <w14:ligatures w14:val="none"/>
    </w:rPr>
  </w:style>
  <w:style w:type="character" w:customStyle="1" w:styleId="aa">
    <w:name w:val="номер страницы"/>
    <w:basedOn w:val="DefaultParagraphFont"/>
    <w:rsid w:val="00B44B71"/>
  </w:style>
  <w:style w:type="paragraph" w:customStyle="1" w:styleId="8">
    <w:name w:val="заголовок 8"/>
    <w:basedOn w:val="Normal"/>
    <w:next w:val="Normal"/>
    <w:rsid w:val="00B44B71"/>
    <w:pPr>
      <w:keepNext/>
      <w:spacing w:after="0" w:line="240" w:lineRule="auto"/>
      <w:jc w:val="center"/>
    </w:pPr>
    <w:rPr>
      <w:rFonts w:ascii="Times New Roman" w:eastAsia="Times New Roman" w:hAnsi="Times New Roman" w:cs="Times New Roman"/>
      <w:b/>
      <w:kern w:val="0"/>
      <w:sz w:val="32"/>
      <w:szCs w:val="20"/>
      <w:lang w:val="uk-UA" w:eastAsia="ru-RU"/>
      <w14:ligatures w14:val="none"/>
    </w:rPr>
  </w:style>
  <w:style w:type="table" w:customStyle="1" w:styleId="80">
    <w:name w:val="Сетка таблицы8"/>
    <w:basedOn w:val="TableNormal"/>
    <w:next w:val="TableGrid"/>
    <w:uiPriority w:val="39"/>
    <w:rsid w:val="00B44B71"/>
    <w:pPr>
      <w:spacing w:after="0" w:line="240" w:lineRule="auto"/>
    </w:pPr>
    <w:rPr>
      <w:rFonts w:ascii="Times New Roman" w:eastAsia="Times New Roman" w:hAnsi="Times New Roman" w:cs="Times New Roman"/>
      <w:kern w:val="0"/>
      <w:sz w:val="20"/>
      <w:szCs w:val="20"/>
      <w:lang w:val="uk-UA" w:eastAsia="uk-U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Основной текст 21"/>
    <w:basedOn w:val="Normal"/>
    <w:rsid w:val="00B44B71"/>
    <w:pPr>
      <w:widowControl w:val="0"/>
      <w:spacing w:after="0" w:line="240" w:lineRule="auto"/>
      <w:ind w:firstLine="1134"/>
      <w:jc w:val="center"/>
    </w:pPr>
    <w:rPr>
      <w:rFonts w:ascii="Times New Roman" w:eastAsia="Times New Roman" w:hAnsi="Times New Roman" w:cs="Times New Roman"/>
      <w:b/>
      <w:kern w:val="0"/>
      <w:sz w:val="32"/>
      <w:szCs w:val="20"/>
      <w:lang w:val="uk-UA" w:eastAsia="ru-RU"/>
      <w14:ligatures w14:val="none"/>
    </w:rPr>
  </w:style>
  <w:style w:type="character" w:customStyle="1" w:styleId="ab">
    <w:name w:val="Основной текст_"/>
    <w:link w:val="140"/>
    <w:rsid w:val="00B44B71"/>
    <w:rPr>
      <w:rFonts w:ascii="Bookman Old Style" w:eastAsia="Bookman Old Style" w:hAnsi="Bookman Old Style" w:cs="Bookman Old Style"/>
      <w:shd w:val="clear" w:color="auto" w:fill="FFFFFF"/>
    </w:rPr>
  </w:style>
  <w:style w:type="paragraph" w:customStyle="1" w:styleId="140">
    <w:name w:val="Основной текст14"/>
    <w:basedOn w:val="Normal"/>
    <w:link w:val="ab"/>
    <w:rsid w:val="00B44B71"/>
    <w:pPr>
      <w:widowControl w:val="0"/>
      <w:shd w:val="clear" w:color="auto" w:fill="FFFFFF"/>
      <w:spacing w:after="240" w:line="230" w:lineRule="exact"/>
      <w:ind w:hanging="420"/>
    </w:pPr>
    <w:rPr>
      <w:rFonts w:ascii="Bookman Old Style" w:eastAsia="Bookman Old Style" w:hAnsi="Bookman Old Style" w:cs="Bookman Old Style"/>
    </w:rPr>
  </w:style>
  <w:style w:type="paragraph" w:styleId="BodyText3">
    <w:name w:val="Body Text 3"/>
    <w:basedOn w:val="Normal"/>
    <w:link w:val="BodyText3Char"/>
    <w:rsid w:val="00B44B71"/>
    <w:pPr>
      <w:spacing w:after="120" w:line="240" w:lineRule="auto"/>
    </w:pPr>
    <w:rPr>
      <w:rFonts w:ascii="Times New Roman" w:eastAsia="Times New Roman" w:hAnsi="Times New Roman" w:cs="Times New Roman"/>
      <w:kern w:val="0"/>
      <w:sz w:val="16"/>
      <w:szCs w:val="16"/>
      <w:lang w:val="uk-UA" w:eastAsia="ru-RU"/>
      <w14:ligatures w14:val="none"/>
    </w:rPr>
  </w:style>
  <w:style w:type="character" w:customStyle="1" w:styleId="BodyText3Char">
    <w:name w:val="Body Text 3 Char"/>
    <w:basedOn w:val="DefaultParagraphFont"/>
    <w:link w:val="BodyText3"/>
    <w:rsid w:val="00B44B71"/>
    <w:rPr>
      <w:rFonts w:ascii="Times New Roman" w:eastAsia="Times New Roman" w:hAnsi="Times New Roman" w:cs="Times New Roman"/>
      <w:kern w:val="0"/>
      <w:sz w:val="16"/>
      <w:szCs w:val="16"/>
      <w:lang w:val="uk-UA" w:eastAsia="ru-RU"/>
      <w14:ligatures w14:val="none"/>
    </w:rPr>
  </w:style>
  <w:style w:type="paragraph" w:customStyle="1" w:styleId="1e">
    <w:name w:val="Обычный1"/>
    <w:rsid w:val="00B44B71"/>
    <w:pPr>
      <w:widowControl w:val="0"/>
      <w:spacing w:after="0" w:line="240" w:lineRule="auto"/>
    </w:pPr>
    <w:rPr>
      <w:rFonts w:ascii="Times New Roman" w:eastAsia="Times New Roman" w:hAnsi="Times New Roman" w:cs="Times New Roman"/>
      <w:snapToGrid w:val="0"/>
      <w:kern w:val="0"/>
      <w:sz w:val="20"/>
      <w:szCs w:val="20"/>
      <w:lang w:val="uk-UA" w:eastAsia="ru-RU"/>
      <w14:ligatures w14:val="none"/>
    </w:rPr>
  </w:style>
  <w:style w:type="paragraph" w:customStyle="1" w:styleId="220">
    <w:name w:val="Основной текст 22"/>
    <w:basedOn w:val="Normal"/>
    <w:rsid w:val="00B44B71"/>
    <w:pPr>
      <w:spacing w:after="120" w:line="240" w:lineRule="auto"/>
      <w:ind w:left="360"/>
    </w:pPr>
    <w:rPr>
      <w:rFonts w:ascii="Times New Roman" w:eastAsia="Times New Roman" w:hAnsi="Times New Roman" w:cs="Times New Roman"/>
      <w:kern w:val="0"/>
      <w:sz w:val="20"/>
      <w:szCs w:val="20"/>
      <w:lang w:val="uk-UA" w:eastAsia="ru-RU"/>
      <w14:ligatures w14:val="none"/>
    </w:rPr>
  </w:style>
  <w:style w:type="paragraph" w:customStyle="1" w:styleId="9">
    <w:name w:val="заголовок 9"/>
    <w:basedOn w:val="Normal"/>
    <w:next w:val="Normal"/>
    <w:rsid w:val="00B44B71"/>
    <w:pPr>
      <w:keepNext/>
      <w:widowControl w:val="0"/>
      <w:spacing w:after="0" w:line="240" w:lineRule="auto"/>
      <w:jc w:val="both"/>
    </w:pPr>
    <w:rPr>
      <w:rFonts w:ascii="Times New Roman" w:eastAsia="Times New Roman" w:hAnsi="Times New Roman" w:cs="Times New Roman"/>
      <w:kern w:val="0"/>
      <w:sz w:val="28"/>
      <w:szCs w:val="20"/>
      <w:lang w:val="uk-UA" w:eastAsia="zh-CN"/>
      <w14:ligatures w14:val="none"/>
    </w:rPr>
  </w:style>
  <w:style w:type="paragraph" w:customStyle="1" w:styleId="1f">
    <w:name w:val="Основной текст1"/>
    <w:basedOn w:val="Normal"/>
    <w:rsid w:val="00B44B71"/>
    <w:pPr>
      <w:spacing w:after="120" w:line="240" w:lineRule="auto"/>
    </w:pPr>
    <w:rPr>
      <w:rFonts w:ascii="Times New Roman" w:eastAsia="Times New Roman" w:hAnsi="Times New Roman" w:cs="Times New Roman"/>
      <w:snapToGrid w:val="0"/>
      <w:kern w:val="0"/>
      <w:sz w:val="20"/>
      <w:szCs w:val="20"/>
      <w:lang w:val="uk-UA" w:eastAsia="ru-RU"/>
      <w14:ligatures w14:val="none"/>
    </w:rPr>
  </w:style>
  <w:style w:type="character" w:customStyle="1" w:styleId="rvts0">
    <w:name w:val="rvts0"/>
    <w:rsid w:val="00B44B71"/>
  </w:style>
  <w:style w:type="character" w:customStyle="1" w:styleId="citation-95">
    <w:name w:val="citation-95"/>
    <w:rsid w:val="00B44B71"/>
  </w:style>
  <w:style w:type="character" w:customStyle="1" w:styleId="citation-94">
    <w:name w:val="citation-94"/>
    <w:rsid w:val="00B44B71"/>
  </w:style>
  <w:style w:type="character" w:customStyle="1" w:styleId="spanrvts15">
    <w:name w:val="span_rvts15"/>
    <w:rsid w:val="00B44B71"/>
    <w:rPr>
      <w:rFonts w:ascii="Times New Roman" w:eastAsia="Times New Roman" w:hAnsi="Times New Roman" w:cs="Times New Roman"/>
      <w:b/>
      <w:bCs/>
      <w:i w:val="0"/>
      <w:iCs w:val="0"/>
      <w:sz w:val="28"/>
      <w:szCs w:val="28"/>
    </w:rPr>
  </w:style>
  <w:style w:type="character" w:customStyle="1" w:styleId="citation-20">
    <w:name w:val="citation-20"/>
    <w:rsid w:val="00B44B71"/>
  </w:style>
  <w:style w:type="character" w:customStyle="1" w:styleId="citation-68">
    <w:name w:val="citation-68"/>
    <w:rsid w:val="00B44B71"/>
  </w:style>
  <w:style w:type="character" w:customStyle="1" w:styleId="citation-67">
    <w:name w:val="citation-67"/>
    <w:rsid w:val="00B44B71"/>
  </w:style>
  <w:style w:type="character" w:customStyle="1" w:styleId="citation-66">
    <w:name w:val="citation-66"/>
    <w:rsid w:val="00B44B71"/>
  </w:style>
  <w:style w:type="character" w:customStyle="1" w:styleId="citation-65">
    <w:name w:val="citation-65"/>
    <w:rsid w:val="00B44B71"/>
  </w:style>
  <w:style w:type="character" w:customStyle="1" w:styleId="citation-64">
    <w:name w:val="citation-64"/>
    <w:rsid w:val="00B44B71"/>
  </w:style>
  <w:style w:type="character" w:customStyle="1" w:styleId="citation-104">
    <w:name w:val="citation-104"/>
    <w:rsid w:val="00B44B71"/>
  </w:style>
  <w:style w:type="character" w:customStyle="1" w:styleId="citation-103">
    <w:name w:val="citation-103"/>
    <w:rsid w:val="00B44B71"/>
  </w:style>
  <w:style w:type="character" w:customStyle="1" w:styleId="citation-102">
    <w:name w:val="citation-102"/>
    <w:rsid w:val="00B44B71"/>
  </w:style>
  <w:style w:type="character" w:customStyle="1" w:styleId="citation-101">
    <w:name w:val="citation-101"/>
    <w:rsid w:val="00B44B71"/>
  </w:style>
  <w:style w:type="character" w:customStyle="1" w:styleId="citation-100">
    <w:name w:val="citation-100"/>
    <w:rsid w:val="00B44B71"/>
  </w:style>
  <w:style w:type="character" w:customStyle="1" w:styleId="citation-99">
    <w:name w:val="citation-99"/>
    <w:rsid w:val="00B44B71"/>
  </w:style>
  <w:style w:type="character" w:customStyle="1" w:styleId="citation-98">
    <w:name w:val="citation-98"/>
    <w:rsid w:val="00B44B71"/>
  </w:style>
  <w:style w:type="character" w:customStyle="1" w:styleId="citation-97">
    <w:name w:val="citation-97"/>
    <w:rsid w:val="00B44B71"/>
  </w:style>
  <w:style w:type="character" w:customStyle="1" w:styleId="citation-96">
    <w:name w:val="citation-96"/>
    <w:rsid w:val="00B44B71"/>
  </w:style>
  <w:style w:type="character" w:customStyle="1" w:styleId="citation-93">
    <w:name w:val="citation-93"/>
    <w:rsid w:val="00B44B71"/>
  </w:style>
  <w:style w:type="table" w:customStyle="1" w:styleId="112">
    <w:name w:val="Сетка таблицы11"/>
    <w:basedOn w:val="TableNormal"/>
    <w:next w:val="TableGrid"/>
    <w:uiPriority w:val="39"/>
    <w:rsid w:val="00B44B71"/>
    <w:pPr>
      <w:spacing w:after="0" w:line="240" w:lineRule="auto"/>
    </w:pPr>
    <w:rPr>
      <w:rFonts w:ascii="Calibri" w:eastAsia="Calibri" w:hAnsi="Calibri" w:cs="Times New Roman"/>
      <w:kern w:val="0"/>
      <w:lang w:val="uk-U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TableNormal"/>
    <w:next w:val="TableGrid"/>
    <w:uiPriority w:val="39"/>
    <w:rsid w:val="00B44B71"/>
    <w:pPr>
      <w:spacing w:after="0" w:line="240" w:lineRule="auto"/>
    </w:pPr>
    <w:rPr>
      <w:rFonts w:ascii="Calibri" w:eastAsia="Calibri" w:hAnsi="Calibri" w:cs="Times New Roman"/>
      <w:kern w:val="0"/>
      <w:lang w:val="uk-U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ation-162">
    <w:name w:val="citation-162"/>
    <w:rsid w:val="00B44B71"/>
  </w:style>
  <w:style w:type="character" w:customStyle="1" w:styleId="citation-161">
    <w:name w:val="citation-161"/>
    <w:rsid w:val="00B44B71"/>
  </w:style>
  <w:style w:type="character" w:customStyle="1" w:styleId="citation-160">
    <w:name w:val="citation-160"/>
    <w:rsid w:val="00B44B71"/>
  </w:style>
  <w:style w:type="character" w:customStyle="1" w:styleId="citation-159">
    <w:name w:val="citation-159"/>
    <w:rsid w:val="00B44B71"/>
  </w:style>
  <w:style w:type="character" w:customStyle="1" w:styleId="citation-122">
    <w:name w:val="citation-122"/>
    <w:rsid w:val="00B44B71"/>
  </w:style>
  <w:style w:type="character" w:customStyle="1" w:styleId="citation-121">
    <w:name w:val="citation-121"/>
    <w:rsid w:val="00B44B71"/>
  </w:style>
  <w:style w:type="character" w:customStyle="1" w:styleId="citation-120">
    <w:name w:val="citation-120"/>
    <w:rsid w:val="00B44B71"/>
  </w:style>
  <w:style w:type="character" w:customStyle="1" w:styleId="citation-119">
    <w:name w:val="citation-119"/>
    <w:rsid w:val="00B44B71"/>
  </w:style>
  <w:style w:type="character" w:customStyle="1" w:styleId="citation-118">
    <w:name w:val="citation-118"/>
    <w:rsid w:val="00B44B71"/>
  </w:style>
  <w:style w:type="character" w:customStyle="1" w:styleId="citation-204">
    <w:name w:val="citation-204"/>
    <w:rsid w:val="00B44B71"/>
  </w:style>
  <w:style w:type="character" w:customStyle="1" w:styleId="citation-203">
    <w:name w:val="citation-203"/>
    <w:rsid w:val="00B44B71"/>
  </w:style>
  <w:style w:type="character" w:customStyle="1" w:styleId="citation-202">
    <w:name w:val="citation-202"/>
    <w:rsid w:val="00B44B71"/>
  </w:style>
  <w:style w:type="character" w:customStyle="1" w:styleId="citation-201">
    <w:name w:val="citation-201"/>
    <w:rsid w:val="00B44B71"/>
  </w:style>
  <w:style w:type="character" w:customStyle="1" w:styleId="citation-200">
    <w:name w:val="citation-200"/>
    <w:rsid w:val="00B44B71"/>
  </w:style>
  <w:style w:type="character" w:customStyle="1" w:styleId="citation-199">
    <w:name w:val="citation-199"/>
    <w:rsid w:val="00B44B71"/>
  </w:style>
  <w:style w:type="character" w:customStyle="1" w:styleId="citation-198">
    <w:name w:val="citation-198"/>
    <w:rsid w:val="00B44B71"/>
  </w:style>
  <w:style w:type="character" w:customStyle="1" w:styleId="citation-197">
    <w:name w:val="citation-197"/>
    <w:rsid w:val="00B44B71"/>
  </w:style>
  <w:style w:type="character" w:customStyle="1" w:styleId="citation-196">
    <w:name w:val="citation-196"/>
    <w:rsid w:val="00B44B71"/>
  </w:style>
  <w:style w:type="character" w:customStyle="1" w:styleId="citation-172">
    <w:name w:val="citation-172"/>
    <w:rsid w:val="00B44B71"/>
  </w:style>
  <w:style w:type="character" w:customStyle="1" w:styleId="citation-171">
    <w:name w:val="citation-171"/>
    <w:rsid w:val="00B44B71"/>
  </w:style>
  <w:style w:type="character" w:customStyle="1" w:styleId="citation-170">
    <w:name w:val="citation-170"/>
    <w:rsid w:val="00B44B71"/>
  </w:style>
  <w:style w:type="character" w:customStyle="1" w:styleId="citation-194">
    <w:name w:val="citation-194"/>
    <w:rsid w:val="00B44B71"/>
  </w:style>
  <w:style w:type="character" w:customStyle="1" w:styleId="citation-193">
    <w:name w:val="citation-193"/>
    <w:rsid w:val="00B44B71"/>
  </w:style>
  <w:style w:type="character" w:customStyle="1" w:styleId="citation-192">
    <w:name w:val="citation-192"/>
    <w:rsid w:val="00B44B71"/>
  </w:style>
  <w:style w:type="character" w:customStyle="1" w:styleId="citation-191">
    <w:name w:val="citation-191"/>
    <w:rsid w:val="00B44B71"/>
  </w:style>
  <w:style w:type="character" w:customStyle="1" w:styleId="citation-190">
    <w:name w:val="citation-190"/>
    <w:rsid w:val="00B44B71"/>
  </w:style>
  <w:style w:type="character" w:customStyle="1" w:styleId="citation-158">
    <w:name w:val="citation-158"/>
    <w:rsid w:val="00B44B71"/>
  </w:style>
  <w:style w:type="character" w:customStyle="1" w:styleId="citation-157">
    <w:name w:val="citation-157"/>
    <w:rsid w:val="00B44B71"/>
  </w:style>
  <w:style w:type="character" w:customStyle="1" w:styleId="citation-128">
    <w:name w:val="citation-128"/>
    <w:rsid w:val="00B44B71"/>
  </w:style>
  <w:style w:type="character" w:customStyle="1" w:styleId="citation-127">
    <w:name w:val="citation-127"/>
    <w:rsid w:val="00B44B71"/>
  </w:style>
  <w:style w:type="character" w:customStyle="1" w:styleId="citation-126">
    <w:name w:val="citation-126"/>
    <w:rsid w:val="00B44B71"/>
  </w:style>
  <w:style w:type="character" w:customStyle="1" w:styleId="citation-125">
    <w:name w:val="citation-125"/>
    <w:rsid w:val="00B44B71"/>
  </w:style>
  <w:style w:type="character" w:customStyle="1" w:styleId="citation-124">
    <w:name w:val="citation-124"/>
    <w:rsid w:val="00B44B71"/>
  </w:style>
  <w:style w:type="character" w:customStyle="1" w:styleId="citation-123">
    <w:name w:val="citation-123"/>
    <w:rsid w:val="00B44B71"/>
  </w:style>
  <w:style w:type="character" w:customStyle="1" w:styleId="citation-289">
    <w:name w:val="citation-289"/>
    <w:rsid w:val="00B44B71"/>
  </w:style>
  <w:style w:type="character" w:customStyle="1" w:styleId="citation-288">
    <w:name w:val="citation-288"/>
    <w:rsid w:val="00B44B71"/>
  </w:style>
  <w:style w:type="character" w:customStyle="1" w:styleId="citation-287">
    <w:name w:val="citation-287"/>
    <w:rsid w:val="00B44B71"/>
  </w:style>
  <w:style w:type="character" w:customStyle="1" w:styleId="citation-286">
    <w:name w:val="citation-286"/>
    <w:rsid w:val="00B44B71"/>
  </w:style>
  <w:style w:type="character" w:customStyle="1" w:styleId="citation-285">
    <w:name w:val="citation-285"/>
    <w:rsid w:val="00B44B71"/>
  </w:style>
  <w:style w:type="character" w:customStyle="1" w:styleId="citation-284">
    <w:name w:val="citation-284"/>
    <w:rsid w:val="00B44B71"/>
  </w:style>
  <w:style w:type="character" w:customStyle="1" w:styleId="citation-283">
    <w:name w:val="citation-283"/>
    <w:rsid w:val="00B44B71"/>
  </w:style>
  <w:style w:type="character" w:customStyle="1" w:styleId="citation-282">
    <w:name w:val="citation-282"/>
    <w:rsid w:val="00B44B71"/>
  </w:style>
  <w:style w:type="character" w:customStyle="1" w:styleId="citation-281">
    <w:name w:val="citation-281"/>
    <w:rsid w:val="00B44B71"/>
  </w:style>
  <w:style w:type="table" w:customStyle="1" w:styleId="90">
    <w:name w:val="Сетка таблицы9"/>
    <w:basedOn w:val="TableNormal"/>
    <w:next w:val="TableGrid"/>
    <w:uiPriority w:val="39"/>
    <w:rsid w:val="00B44B71"/>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Нет списка3"/>
    <w:next w:val="NoList"/>
    <w:uiPriority w:val="99"/>
    <w:semiHidden/>
    <w:unhideWhenUsed/>
    <w:rsid w:val="00B44B71"/>
  </w:style>
  <w:style w:type="table" w:customStyle="1" w:styleId="100">
    <w:name w:val="Сетка таблицы10"/>
    <w:basedOn w:val="TableNormal"/>
    <w:next w:val="TableGrid"/>
    <w:uiPriority w:val="59"/>
    <w:rsid w:val="00B44B71"/>
    <w:pPr>
      <w:spacing w:after="0" w:line="240" w:lineRule="auto"/>
    </w:pPr>
    <w:rPr>
      <w:rFonts w:eastAsia="Times New Roman"/>
      <w:kern w:val="0"/>
      <w:lang w:val="ru-RU"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TableNormal"/>
    <w:next w:val="TableGrid"/>
    <w:uiPriority w:val="59"/>
    <w:rsid w:val="00B44B71"/>
    <w:pPr>
      <w:spacing w:after="0" w:line="240" w:lineRule="auto"/>
    </w:pPr>
    <w:rPr>
      <w:rFonts w:eastAsia="MS Mincho"/>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1">
    <w:name w:val="Незакрита згадка4"/>
    <w:basedOn w:val="DefaultParagraphFont"/>
    <w:uiPriority w:val="99"/>
    <w:semiHidden/>
    <w:unhideWhenUsed/>
    <w:rsid w:val="00B44B71"/>
    <w:rPr>
      <w:color w:val="605E5C"/>
      <w:shd w:val="clear" w:color="auto" w:fill="E1DFDD"/>
    </w:rPr>
  </w:style>
  <w:style w:type="numbering" w:customStyle="1" w:styleId="27">
    <w:name w:val="Немає списку2"/>
    <w:next w:val="NoList"/>
    <w:uiPriority w:val="99"/>
    <w:semiHidden/>
    <w:unhideWhenUsed/>
    <w:rsid w:val="003B5892"/>
  </w:style>
  <w:style w:type="numbering" w:customStyle="1" w:styleId="113">
    <w:name w:val="Нет списка11"/>
    <w:next w:val="NoList"/>
    <w:uiPriority w:val="99"/>
    <w:semiHidden/>
    <w:unhideWhenUsed/>
    <w:rsid w:val="003B5892"/>
  </w:style>
  <w:style w:type="character" w:styleId="PageNumber">
    <w:name w:val="page number"/>
    <w:basedOn w:val="DefaultParagraphFont"/>
    <w:rsid w:val="003B5892"/>
  </w:style>
  <w:style w:type="character" w:customStyle="1" w:styleId="FontStyle93">
    <w:name w:val="Font Style93"/>
    <w:rsid w:val="003B5892"/>
    <w:rPr>
      <w:rFonts w:ascii="Times New Roman" w:hAnsi="Times New Roman"/>
      <w:sz w:val="20"/>
    </w:rPr>
  </w:style>
  <w:style w:type="paragraph" w:styleId="DocumentMap">
    <w:name w:val="Document Map"/>
    <w:basedOn w:val="Normal"/>
    <w:link w:val="DocumentMapChar"/>
    <w:rsid w:val="003B5892"/>
    <w:pPr>
      <w:shd w:val="clear" w:color="auto" w:fill="000080"/>
      <w:spacing w:after="0" w:line="240" w:lineRule="auto"/>
    </w:pPr>
    <w:rPr>
      <w:rFonts w:ascii="Tahoma" w:eastAsia="Times New Roman" w:hAnsi="Tahoma" w:cs="Tahoma"/>
      <w:kern w:val="0"/>
      <w:sz w:val="20"/>
      <w:szCs w:val="20"/>
      <w:lang w:val="uk-UA" w:eastAsia="uk-UA"/>
      <w14:ligatures w14:val="none"/>
    </w:rPr>
  </w:style>
  <w:style w:type="character" w:customStyle="1" w:styleId="DocumentMapChar">
    <w:name w:val="Document Map Char"/>
    <w:basedOn w:val="DefaultParagraphFont"/>
    <w:link w:val="DocumentMap"/>
    <w:rsid w:val="003B5892"/>
    <w:rPr>
      <w:rFonts w:ascii="Tahoma" w:eastAsia="Times New Roman" w:hAnsi="Tahoma" w:cs="Tahoma"/>
      <w:kern w:val="0"/>
      <w:sz w:val="20"/>
      <w:szCs w:val="20"/>
      <w:shd w:val="clear" w:color="auto" w:fill="000080"/>
      <w:lang w:val="uk-UA" w:eastAsia="uk-UA"/>
      <w14:ligatures w14:val="none"/>
    </w:rPr>
  </w:style>
  <w:style w:type="table" w:customStyle="1" w:styleId="33">
    <w:name w:val="Сітка таблиці3"/>
    <w:basedOn w:val="TableNormal"/>
    <w:next w:val="TableGrid"/>
    <w:uiPriority w:val="39"/>
    <w:rsid w:val="003B5892"/>
    <w:pPr>
      <w:spacing w:after="0" w:line="240" w:lineRule="auto"/>
    </w:pPr>
    <w:rPr>
      <w:rFonts w:ascii="Times New Roman" w:eastAsia="Times New Roman" w:hAnsi="Times New Roman" w:cs="Times New Roman"/>
      <w:kern w:val="0"/>
      <w:sz w:val="20"/>
      <w:szCs w:val="20"/>
      <w:lang w:val="ru-RU"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
    <w:name w:val="Знак"/>
    <w:basedOn w:val="Normal"/>
    <w:rsid w:val="003B5892"/>
    <w:pPr>
      <w:spacing w:after="0" w:line="240" w:lineRule="auto"/>
    </w:pPr>
    <w:rPr>
      <w:rFonts w:ascii="Verdana" w:eastAsia="Times New Roman" w:hAnsi="Verdana" w:cs="Verdana"/>
      <w:kern w:val="0"/>
      <w:sz w:val="20"/>
      <w:szCs w:val="20"/>
      <w14:ligatures w14:val="none"/>
    </w:rPr>
  </w:style>
  <w:style w:type="paragraph" w:customStyle="1" w:styleId="1f0">
    <w:name w:val="Знак1 Знак Знак Знак"/>
    <w:basedOn w:val="Normal"/>
    <w:rsid w:val="003B5892"/>
    <w:pPr>
      <w:spacing w:after="0" w:line="240" w:lineRule="auto"/>
    </w:pPr>
    <w:rPr>
      <w:rFonts w:ascii="Verdana" w:eastAsia="Times New Roman" w:hAnsi="Verdana" w:cs="Times New Roman"/>
      <w:kern w:val="0"/>
      <w:sz w:val="20"/>
      <w:szCs w:val="20"/>
      <w14:ligatures w14:val="none"/>
    </w:rPr>
  </w:style>
  <w:style w:type="character" w:customStyle="1" w:styleId="blhs1">
    <w:name w:val="blhs1"/>
    <w:rsid w:val="003B5892"/>
    <w:rPr>
      <w:rFonts w:ascii="Tahoma" w:hAnsi="Tahoma" w:cs="Tahoma" w:hint="default"/>
      <w:sz w:val="19"/>
      <w:szCs w:val="19"/>
    </w:rPr>
  </w:style>
  <w:style w:type="paragraph" w:customStyle="1" w:styleId="pm">
    <w:name w:val="pm"/>
    <w:basedOn w:val="Normal"/>
    <w:rsid w:val="003B5892"/>
    <w:pPr>
      <w:spacing w:before="100" w:beforeAutospacing="1" w:after="0" w:line="240" w:lineRule="auto"/>
    </w:pPr>
    <w:rPr>
      <w:rFonts w:ascii="Arial" w:eastAsia="Times New Roman" w:hAnsi="Arial" w:cs="Arial"/>
      <w:color w:val="000000"/>
      <w:kern w:val="0"/>
      <w:sz w:val="18"/>
      <w:szCs w:val="18"/>
      <w:lang w:val="ru-RU" w:eastAsia="ru-RU"/>
      <w14:ligatures w14:val="none"/>
    </w:rPr>
  </w:style>
  <w:style w:type="paragraph" w:customStyle="1" w:styleId="avtor">
    <w:name w:val="avtor"/>
    <w:basedOn w:val="Normal"/>
    <w:rsid w:val="003B5892"/>
    <w:pPr>
      <w:spacing w:after="75" w:line="240" w:lineRule="auto"/>
      <w:jc w:val="right"/>
    </w:pPr>
    <w:rPr>
      <w:rFonts w:ascii="Times New Roman" w:eastAsia="Times New Roman" w:hAnsi="Times New Roman" w:cs="Times New Roman"/>
      <w:i/>
      <w:iCs/>
      <w:kern w:val="0"/>
      <w:sz w:val="24"/>
      <w:szCs w:val="24"/>
      <w:lang w:val="ru-RU" w:eastAsia="ru-RU"/>
      <w14:ligatures w14:val="none"/>
    </w:rPr>
  </w:style>
  <w:style w:type="paragraph" w:customStyle="1" w:styleId="ad">
    <w:name w:val="Осн_абзац"/>
    <w:basedOn w:val="Normal"/>
    <w:link w:val="ae"/>
    <w:autoRedefine/>
    <w:rsid w:val="003B5892"/>
    <w:pPr>
      <w:widowControl w:val="0"/>
      <w:autoSpaceDE w:val="0"/>
      <w:autoSpaceDN w:val="0"/>
      <w:adjustRightInd w:val="0"/>
      <w:spacing w:after="0" w:line="240" w:lineRule="auto"/>
      <w:ind w:firstLine="720"/>
      <w:jc w:val="both"/>
    </w:pPr>
    <w:rPr>
      <w:rFonts w:ascii="Times New Roman" w:eastAsia="Times New Roman" w:hAnsi="Times New Roman" w:cs="Times New Roman"/>
      <w:color w:val="000000"/>
      <w:kern w:val="24"/>
      <w:sz w:val="24"/>
      <w:szCs w:val="24"/>
      <w:lang w:val="uk-UA" w:eastAsia="uk-UA"/>
      <w14:ligatures w14:val="none"/>
    </w:rPr>
  </w:style>
  <w:style w:type="character" w:customStyle="1" w:styleId="ae">
    <w:name w:val="Осн_абзац Знак"/>
    <w:link w:val="ad"/>
    <w:rsid w:val="003B5892"/>
    <w:rPr>
      <w:rFonts w:ascii="Times New Roman" w:eastAsia="Times New Roman" w:hAnsi="Times New Roman" w:cs="Times New Roman"/>
      <w:color w:val="000000"/>
      <w:kern w:val="24"/>
      <w:sz w:val="24"/>
      <w:szCs w:val="24"/>
      <w:lang w:val="uk-UA" w:eastAsia="uk-UA"/>
      <w14:ligatures w14:val="none"/>
    </w:rPr>
  </w:style>
  <w:style w:type="character" w:customStyle="1" w:styleId="longtext">
    <w:name w:val="long_text"/>
    <w:basedOn w:val="DefaultParagraphFont"/>
    <w:rsid w:val="003B5892"/>
  </w:style>
  <w:style w:type="character" w:customStyle="1" w:styleId="shorttext">
    <w:name w:val="short_text"/>
    <w:basedOn w:val="DefaultParagraphFont"/>
    <w:rsid w:val="003B5892"/>
  </w:style>
  <w:style w:type="character" w:customStyle="1" w:styleId="hps">
    <w:name w:val="hps"/>
    <w:basedOn w:val="DefaultParagraphFont"/>
    <w:rsid w:val="003B5892"/>
  </w:style>
  <w:style w:type="paragraph" w:customStyle="1" w:styleId="StyleZakonu">
    <w:name w:val="StyleZakonu"/>
    <w:basedOn w:val="Normal"/>
    <w:rsid w:val="003B5892"/>
    <w:pPr>
      <w:spacing w:after="60" w:line="220" w:lineRule="exact"/>
      <w:ind w:firstLine="284"/>
      <w:jc w:val="both"/>
    </w:pPr>
    <w:rPr>
      <w:rFonts w:ascii="Times New Roman" w:eastAsia="Times New Roman" w:hAnsi="Times New Roman" w:cs="Times New Roman"/>
      <w:kern w:val="0"/>
      <w:sz w:val="20"/>
      <w:szCs w:val="20"/>
      <w:lang w:val="uk-UA" w:eastAsia="ru-RU"/>
      <w14:ligatures w14:val="none"/>
    </w:rPr>
  </w:style>
  <w:style w:type="character" w:customStyle="1" w:styleId="a9">
    <w:name w:val="Нормальний текст Знак"/>
    <w:link w:val="a8"/>
    <w:locked/>
    <w:rsid w:val="003B5892"/>
    <w:rPr>
      <w:rFonts w:ascii="Antiqua" w:eastAsia="Times New Roman" w:hAnsi="Antiqua" w:cs="Times New Roman"/>
      <w:kern w:val="0"/>
      <w:sz w:val="26"/>
      <w:szCs w:val="20"/>
      <w:lang w:val="uk-UA" w:eastAsia="ru-RU"/>
      <w14:ligatures w14:val="none"/>
    </w:rPr>
  </w:style>
  <w:style w:type="paragraph" w:styleId="PlainText">
    <w:name w:val="Plain Text"/>
    <w:aliases w:val=" Знак4,Текст Знак1,Текст Знак Знак Знак,Текст Знак1 Знак Знак,Текст Знак1 Знак,Текст Знак Знак Знак Знак,Текст Знак Знак,Текст Знак1 Знак Знак Знак,Текст Знак Знак Знак Знак Знак Знак Знак Знак Зн,Текст Знак Знак Знак Зн Знак,Текст Знак Зна"/>
    <w:basedOn w:val="Normal"/>
    <w:link w:val="PlainTextChar"/>
    <w:rsid w:val="003B5892"/>
    <w:pPr>
      <w:spacing w:after="0" w:line="240" w:lineRule="auto"/>
    </w:pPr>
    <w:rPr>
      <w:rFonts w:ascii="Courier New" w:eastAsia="Times New Roman" w:hAnsi="Courier New" w:cs="Times New Roman"/>
      <w:kern w:val="0"/>
      <w:sz w:val="20"/>
      <w:szCs w:val="20"/>
      <w:lang w:val="uk-UA" w:eastAsia="uk-UA"/>
      <w14:ligatures w14:val="none"/>
    </w:rPr>
  </w:style>
  <w:style w:type="character" w:customStyle="1" w:styleId="PlainTextChar">
    <w:name w:val="Plain Text Char"/>
    <w:aliases w:val=" Знак4 Char,Текст Знак1 Char,Текст Знак Знак Знак Char,Текст Знак1 Знак Знак Char,Текст Знак1 Знак Char,Текст Знак Знак Знак Знак Char,Текст Знак Знак Char,Текст Знак1 Знак Знак Знак Char,Текст Знак Знак Знак Зн Знак Char"/>
    <w:basedOn w:val="DefaultParagraphFont"/>
    <w:link w:val="PlainText"/>
    <w:rsid w:val="003B5892"/>
    <w:rPr>
      <w:rFonts w:ascii="Courier New" w:eastAsia="Times New Roman" w:hAnsi="Courier New" w:cs="Times New Roman"/>
      <w:kern w:val="0"/>
      <w:sz w:val="20"/>
      <w:szCs w:val="20"/>
      <w:lang w:val="uk-UA" w:eastAsia="uk-UA"/>
      <w14:ligatures w14:val="none"/>
    </w:rPr>
  </w:style>
  <w:style w:type="paragraph" w:customStyle="1" w:styleId="212">
    <w:name w:val="Основной текст с отступом 21"/>
    <w:basedOn w:val="1e"/>
    <w:rsid w:val="003B5892"/>
    <w:pPr>
      <w:widowControl/>
      <w:spacing w:line="360" w:lineRule="auto"/>
      <w:ind w:left="993" w:hanging="426"/>
      <w:jc w:val="both"/>
    </w:pPr>
    <w:rPr>
      <w:rFonts w:ascii="Arial" w:hAnsi="Arial"/>
      <w:snapToGrid/>
    </w:rPr>
  </w:style>
  <w:style w:type="paragraph" w:customStyle="1" w:styleId="310">
    <w:name w:val="Основной текст с отступом 31"/>
    <w:basedOn w:val="1e"/>
    <w:rsid w:val="003B5892"/>
    <w:pPr>
      <w:widowControl/>
      <w:ind w:firstLine="567"/>
      <w:jc w:val="both"/>
    </w:pPr>
    <w:rPr>
      <w:rFonts w:ascii="Arial" w:hAnsi="Arial"/>
      <w:snapToGrid/>
      <w:sz w:val="28"/>
    </w:rPr>
  </w:style>
  <w:style w:type="paragraph" w:customStyle="1" w:styleId="af">
    <w:name w:val="Знак Знак Знак"/>
    <w:basedOn w:val="Normal"/>
    <w:rsid w:val="003B5892"/>
    <w:pPr>
      <w:spacing w:after="0" w:line="240" w:lineRule="auto"/>
    </w:pPr>
    <w:rPr>
      <w:rFonts w:ascii="Verdana" w:eastAsia="Times New Roman" w:hAnsi="Verdana" w:cs="Verdana"/>
      <w:kern w:val="0"/>
      <w:sz w:val="20"/>
      <w:szCs w:val="20"/>
      <w14:ligatures w14:val="none"/>
    </w:rPr>
  </w:style>
  <w:style w:type="paragraph" w:customStyle="1" w:styleId="CarCharCar">
    <w:name w:val="Car Char Car Знак"/>
    <w:basedOn w:val="Normal"/>
    <w:rsid w:val="003B5892"/>
    <w:pPr>
      <w:spacing w:line="240" w:lineRule="exact"/>
    </w:pPr>
    <w:rPr>
      <w:rFonts w:ascii="Arial" w:eastAsia="Times New Roman" w:hAnsi="Arial" w:cs="Arial"/>
      <w:kern w:val="0"/>
      <w:sz w:val="20"/>
      <w:szCs w:val="20"/>
      <w14:ligatures w14:val="none"/>
    </w:rPr>
  </w:style>
  <w:style w:type="character" w:customStyle="1" w:styleId="Normal0">
    <w:name w:val="Normal Знак"/>
    <w:link w:val="28"/>
    <w:rsid w:val="003B5892"/>
    <w:rPr>
      <w:rFonts w:ascii="Arial" w:hAnsi="Arial"/>
      <w:spacing w:val="-7"/>
      <w:sz w:val="28"/>
      <w:lang w:eastAsia="ru-RU"/>
    </w:rPr>
  </w:style>
  <w:style w:type="paragraph" w:customStyle="1" w:styleId="af0">
    <w:name w:val="Знак Знак Знак Знак Знак Знак Знак Знак Знак Знак Знак Знак Знак"/>
    <w:basedOn w:val="Normal"/>
    <w:rsid w:val="003B5892"/>
    <w:pPr>
      <w:spacing w:after="0" w:line="240" w:lineRule="auto"/>
    </w:pPr>
    <w:rPr>
      <w:rFonts w:ascii="Verdana" w:eastAsia="Times New Roman" w:hAnsi="Verdana" w:cs="Verdana"/>
      <w:kern w:val="0"/>
      <w:sz w:val="20"/>
      <w:szCs w:val="20"/>
      <w14:ligatures w14:val="none"/>
    </w:rPr>
  </w:style>
  <w:style w:type="character" w:customStyle="1" w:styleId="FontStyle30">
    <w:name w:val="Font Style30"/>
    <w:rsid w:val="003B5892"/>
    <w:rPr>
      <w:rFonts w:ascii="Times New Roman" w:hAnsi="Times New Roman" w:cs="Times New Roman"/>
      <w:i/>
      <w:iCs/>
      <w:sz w:val="20"/>
      <w:szCs w:val="20"/>
    </w:rPr>
  </w:style>
  <w:style w:type="character" w:customStyle="1" w:styleId="29">
    <w:name w:val="Основной текст2"/>
    <w:rsid w:val="003B5892"/>
    <w:rPr>
      <w:rFonts w:ascii="Times New Roman" w:eastAsia="Times New Roman" w:hAnsi="Times New Roman" w:cs="Times New Roman"/>
      <w:b w:val="0"/>
      <w:bCs w:val="0"/>
      <w:i w:val="0"/>
      <w:iCs w:val="0"/>
      <w:smallCaps w:val="0"/>
      <w:strike w:val="0"/>
      <w:color w:val="000000"/>
      <w:spacing w:val="5"/>
      <w:w w:val="100"/>
      <w:position w:val="0"/>
      <w:sz w:val="24"/>
      <w:szCs w:val="24"/>
      <w:u w:val="none"/>
      <w:lang w:val="uk-UA" w:eastAsia="uk-UA" w:bidi="uk-UA"/>
    </w:rPr>
  </w:style>
  <w:style w:type="paragraph" w:customStyle="1" w:styleId="42">
    <w:name w:val="Основной текст4"/>
    <w:basedOn w:val="Normal"/>
    <w:rsid w:val="003B5892"/>
    <w:pPr>
      <w:widowControl w:val="0"/>
      <w:shd w:val="clear" w:color="auto" w:fill="FFFFFF"/>
      <w:spacing w:after="420" w:line="0" w:lineRule="atLeast"/>
      <w:ind w:hanging="360"/>
    </w:pPr>
    <w:rPr>
      <w:spacing w:val="5"/>
      <w:kern w:val="0"/>
      <w:lang w:val="uk-UA"/>
      <w14:ligatures w14:val="none"/>
    </w:rPr>
  </w:style>
  <w:style w:type="paragraph" w:customStyle="1" w:styleId="BodyText210">
    <w:name w:val="Body Text 21"/>
    <w:basedOn w:val="Normal"/>
    <w:rsid w:val="003B5892"/>
    <w:pPr>
      <w:overflowPunct w:val="0"/>
      <w:autoSpaceDE w:val="0"/>
      <w:autoSpaceDN w:val="0"/>
      <w:adjustRightInd w:val="0"/>
      <w:spacing w:after="0" w:line="240" w:lineRule="auto"/>
      <w:jc w:val="both"/>
      <w:textAlignment w:val="baseline"/>
    </w:pPr>
    <w:rPr>
      <w:rFonts w:ascii="Times New Roman" w:eastAsia="Times New Roman" w:hAnsi="Times New Roman" w:cs="Times New Roman"/>
      <w:kern w:val="0"/>
      <w:sz w:val="28"/>
      <w:szCs w:val="20"/>
      <w:lang w:val="uk-UA" w:eastAsia="ru-RU"/>
      <w14:ligatures w14:val="none"/>
    </w:rPr>
  </w:style>
  <w:style w:type="character" w:customStyle="1" w:styleId="af1">
    <w:name w:val="Оглавление_"/>
    <w:rsid w:val="003B5892"/>
    <w:rPr>
      <w:sz w:val="19"/>
      <w:szCs w:val="19"/>
      <w:lang w:bidi="ar-SA"/>
    </w:rPr>
  </w:style>
  <w:style w:type="character" w:customStyle="1" w:styleId="af2">
    <w:name w:val="Оглавление + Курсив"/>
    <w:rsid w:val="003B5892"/>
    <w:rPr>
      <w:i/>
      <w:iCs/>
      <w:sz w:val="19"/>
      <w:szCs w:val="19"/>
      <w:lang w:val="en-US" w:eastAsia="en-US" w:bidi="ar-SA"/>
    </w:rPr>
  </w:style>
  <w:style w:type="paragraph" w:customStyle="1" w:styleId="Smirnoff">
    <w:name w:val="Smirnoff"/>
    <w:basedOn w:val="Normal"/>
    <w:rsid w:val="003B5892"/>
    <w:pPr>
      <w:widowControl w:val="0"/>
      <w:spacing w:after="0" w:line="240" w:lineRule="auto"/>
      <w:ind w:firstLine="720"/>
      <w:jc w:val="both"/>
    </w:pPr>
    <w:rPr>
      <w:rFonts w:ascii="Times New Roman" w:eastAsia="Times New Roman" w:hAnsi="Times New Roman" w:cs="Times New Roman"/>
      <w:kern w:val="0"/>
      <w:sz w:val="28"/>
      <w:szCs w:val="20"/>
      <w:lang w:val="ru-RU" w:eastAsia="ru-RU"/>
      <w14:ligatures w14:val="none"/>
    </w:rPr>
  </w:style>
  <w:style w:type="paragraph" w:customStyle="1" w:styleId="Iauiue">
    <w:name w:val="Iau?iue"/>
    <w:rsid w:val="003B5892"/>
    <w:pPr>
      <w:overflowPunct w:val="0"/>
      <w:autoSpaceDE w:val="0"/>
      <w:autoSpaceDN w:val="0"/>
      <w:adjustRightInd w:val="0"/>
      <w:spacing w:after="0" w:line="360" w:lineRule="auto"/>
      <w:ind w:firstLine="709"/>
      <w:textAlignment w:val="baseline"/>
    </w:pPr>
    <w:rPr>
      <w:rFonts w:ascii="Times New Roman" w:eastAsia="Times New Roman" w:hAnsi="Times New Roman" w:cs="Times New Roman"/>
      <w:kern w:val="0"/>
      <w:szCs w:val="20"/>
      <w:lang w:val="ru-RU" w:eastAsia="ru-RU"/>
      <w14:ligatures w14:val="none"/>
    </w:rPr>
  </w:style>
  <w:style w:type="paragraph" w:customStyle="1" w:styleId="1f1">
    <w:name w:val="Знак1"/>
    <w:basedOn w:val="Normal"/>
    <w:rsid w:val="003B5892"/>
    <w:pPr>
      <w:spacing w:before="120" w:line="240" w:lineRule="exact"/>
      <w:ind w:firstLine="700"/>
      <w:jc w:val="both"/>
    </w:pPr>
    <w:rPr>
      <w:rFonts w:ascii="Verdana" w:eastAsia="Times New Roman" w:hAnsi="Verdana" w:cs="Verdana"/>
      <w:kern w:val="0"/>
      <w:sz w:val="20"/>
      <w:szCs w:val="20"/>
      <w14:ligatures w14:val="none"/>
    </w:rPr>
  </w:style>
  <w:style w:type="character" w:customStyle="1" w:styleId="af3">
    <w:name w:val="Основной текст + Полужирный"/>
    <w:aliases w:val="Интервал 0 pt,Основной текст + Курсив"/>
    <w:rsid w:val="003B5892"/>
    <w:rPr>
      <w:rFonts w:ascii="Times New Roman" w:hAnsi="Times New Roman"/>
      <w:b/>
      <w:spacing w:val="7"/>
      <w:sz w:val="23"/>
      <w:u w:val="none"/>
    </w:rPr>
  </w:style>
  <w:style w:type="paragraph" w:customStyle="1" w:styleId="28">
    <w:name w:val="Обычный2"/>
    <w:link w:val="Normal0"/>
    <w:rsid w:val="003B5892"/>
    <w:pPr>
      <w:widowControl w:val="0"/>
      <w:spacing w:after="0" w:line="240" w:lineRule="auto"/>
    </w:pPr>
    <w:rPr>
      <w:rFonts w:ascii="Arial" w:hAnsi="Arial"/>
      <w:spacing w:val="-7"/>
      <w:sz w:val="28"/>
      <w:lang w:eastAsia="ru-RU"/>
    </w:rPr>
  </w:style>
  <w:style w:type="character" w:customStyle="1" w:styleId="Web2">
    <w:name w:val="Обычный (Web) Знак Знак2"/>
    <w:aliases w:val="Обычный (веб) Знак1 Знак1,Обычный (Web) Знак1 Знак1,Обычный (Web) Знак Знак Знак,Обычный (веб) Знак1 Знак Знак,Обычный (Web) Знак1 Знак Знак,Обычный (веб) Знак Знак Знак Знак,Обычный (Web) Знак Знак1 Зна"/>
    <w:locked/>
    <w:rsid w:val="003B5892"/>
    <w:rPr>
      <w:sz w:val="24"/>
      <w:lang w:val="ru-RU" w:eastAsia="ru-RU"/>
    </w:rPr>
  </w:style>
  <w:style w:type="paragraph" w:customStyle="1" w:styleId="34">
    <w:name w:val="Обычный3"/>
    <w:rsid w:val="003B5892"/>
    <w:pPr>
      <w:widowControl w:val="0"/>
      <w:spacing w:after="0" w:line="240" w:lineRule="auto"/>
    </w:pPr>
    <w:rPr>
      <w:rFonts w:ascii="Arial" w:eastAsia="Times New Roman" w:hAnsi="Arial" w:cs="Times New Roman"/>
      <w:spacing w:val="-7"/>
      <w:kern w:val="0"/>
      <w:sz w:val="28"/>
      <w:szCs w:val="20"/>
      <w:lang w:val="uk-UA" w:eastAsia="ru-RU"/>
      <w14:ligatures w14:val="none"/>
    </w:rPr>
  </w:style>
  <w:style w:type="paragraph" w:customStyle="1" w:styleId="a">
    <w:name w:val="Статья"/>
    <w:basedOn w:val="Normal"/>
    <w:next w:val="Normal"/>
    <w:rsid w:val="003B5892"/>
    <w:pPr>
      <w:widowControl w:val="0"/>
      <w:numPr>
        <w:numId w:val="21"/>
      </w:numPr>
      <w:tabs>
        <w:tab w:val="clear" w:pos="843"/>
      </w:tabs>
      <w:spacing w:after="0" w:line="240" w:lineRule="auto"/>
      <w:ind w:left="0" w:firstLine="0"/>
      <w:jc w:val="both"/>
    </w:pPr>
    <w:rPr>
      <w:rFonts w:ascii="Times New Roman" w:eastAsia="Times New Roman" w:hAnsi="Times New Roman" w:cs="Times New Roman"/>
      <w:kern w:val="0"/>
      <w:szCs w:val="28"/>
      <w:lang w:val="uk-UA" w:eastAsia="ru-RU"/>
      <w14:ligatures w14:val="none"/>
    </w:rPr>
  </w:style>
  <w:style w:type="character" w:customStyle="1" w:styleId="2a">
    <w:name w:val="Заголовок №2_"/>
    <w:link w:val="2b"/>
    <w:locked/>
    <w:rsid w:val="003B5892"/>
    <w:rPr>
      <w:b/>
      <w:bCs/>
      <w:sz w:val="23"/>
      <w:szCs w:val="23"/>
      <w:shd w:val="clear" w:color="auto" w:fill="FFFFFF"/>
    </w:rPr>
  </w:style>
  <w:style w:type="paragraph" w:customStyle="1" w:styleId="2b">
    <w:name w:val="Заголовок №2"/>
    <w:basedOn w:val="Normal"/>
    <w:link w:val="2a"/>
    <w:rsid w:val="003B5892"/>
    <w:pPr>
      <w:shd w:val="clear" w:color="auto" w:fill="FFFFFF"/>
      <w:spacing w:before="300" w:after="180" w:line="288" w:lineRule="exact"/>
      <w:jc w:val="both"/>
      <w:outlineLvl w:val="1"/>
    </w:pPr>
    <w:rPr>
      <w:b/>
      <w:bCs/>
      <w:sz w:val="23"/>
      <w:szCs w:val="23"/>
    </w:rPr>
  </w:style>
  <w:style w:type="character" w:customStyle="1" w:styleId="FontStyle35">
    <w:name w:val="Font Style35"/>
    <w:rsid w:val="003B5892"/>
    <w:rPr>
      <w:rFonts w:ascii="Trebuchet MS" w:hAnsi="Trebuchet MS" w:cs="Trebuchet MS"/>
      <w:sz w:val="18"/>
      <w:szCs w:val="18"/>
    </w:rPr>
  </w:style>
  <w:style w:type="character" w:customStyle="1" w:styleId="af4">
    <w:name w:val="Название Знак"/>
    <w:basedOn w:val="DefaultParagraphFont"/>
    <w:rsid w:val="003B5892"/>
    <w:rPr>
      <w:rFonts w:ascii="Cambria" w:eastAsia="Times New Roman" w:hAnsi="Cambria" w:cs="Times New Roman"/>
      <w:color w:val="17365D"/>
      <w:spacing w:val="5"/>
      <w:kern w:val="28"/>
      <w:sz w:val="52"/>
      <w:szCs w:val="52"/>
    </w:rPr>
  </w:style>
  <w:style w:type="character" w:customStyle="1" w:styleId="1f2">
    <w:name w:val="Основной текст с отступом Знак1"/>
    <w:rsid w:val="003B5892"/>
    <w:rPr>
      <w:rFonts w:ascii="Times New Roman" w:eastAsia="Times New Roman" w:hAnsi="Times New Roman"/>
      <w:sz w:val="24"/>
      <w:szCs w:val="24"/>
      <w:lang w:val="uk-UA"/>
    </w:rPr>
  </w:style>
  <w:style w:type="paragraph" w:customStyle="1" w:styleId="Iniiaiieoaeno221">
    <w:name w:val="Iniiaiie oaeno 221"/>
    <w:basedOn w:val="Normal"/>
    <w:rsid w:val="003B5892"/>
    <w:pPr>
      <w:widowControl w:val="0"/>
      <w:spacing w:after="0" w:line="240" w:lineRule="auto"/>
      <w:ind w:firstLine="851"/>
      <w:jc w:val="both"/>
    </w:pPr>
    <w:rPr>
      <w:rFonts w:ascii="Times New Roman" w:eastAsia="Calibri" w:hAnsi="Times New Roman" w:cs="Times New Roman"/>
      <w:kern w:val="0"/>
      <w:sz w:val="28"/>
      <w:szCs w:val="20"/>
      <w:lang w:val="uk-UA" w:eastAsia="ru-RU"/>
      <w14:ligatures w14:val="none"/>
    </w:rPr>
  </w:style>
  <w:style w:type="paragraph" w:customStyle="1" w:styleId="FR4">
    <w:name w:val="FR4"/>
    <w:rsid w:val="003B5892"/>
    <w:pPr>
      <w:widowControl w:val="0"/>
      <w:spacing w:after="0" w:line="280" w:lineRule="auto"/>
      <w:ind w:firstLine="280"/>
      <w:jc w:val="both"/>
    </w:pPr>
    <w:rPr>
      <w:rFonts w:ascii="Arial" w:eastAsia="Times New Roman" w:hAnsi="Arial" w:cs="Times New Roman"/>
      <w:snapToGrid w:val="0"/>
      <w:kern w:val="0"/>
      <w:sz w:val="20"/>
      <w:szCs w:val="20"/>
      <w:lang w:val="uk-UA" w:eastAsia="ru-RU"/>
      <w14:ligatures w14:val="none"/>
    </w:rPr>
  </w:style>
  <w:style w:type="paragraph" w:customStyle="1" w:styleId="221">
    <w:name w:val="Основной текст с отступом 22"/>
    <w:basedOn w:val="Normal"/>
    <w:rsid w:val="003B5892"/>
    <w:pPr>
      <w:widowControl w:val="0"/>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i/>
      <w:kern w:val="0"/>
      <w:sz w:val="28"/>
      <w:szCs w:val="20"/>
      <w:lang w:val="ru-RU" w:eastAsia="ru-RU"/>
      <w14:ligatures w14:val="none"/>
    </w:rPr>
  </w:style>
  <w:style w:type="paragraph" w:customStyle="1" w:styleId="114">
    <w:name w:val="Знак1 Знак Знак Знак1"/>
    <w:basedOn w:val="Normal"/>
    <w:rsid w:val="003B5892"/>
    <w:pPr>
      <w:spacing w:after="0" w:line="240" w:lineRule="auto"/>
    </w:pPr>
    <w:rPr>
      <w:rFonts w:ascii="Verdana" w:eastAsia="Times New Roman" w:hAnsi="Verdana" w:cs="Times New Roman"/>
      <w:kern w:val="0"/>
      <w:sz w:val="20"/>
      <w:szCs w:val="20"/>
      <w14:ligatures w14:val="none"/>
    </w:rPr>
  </w:style>
  <w:style w:type="paragraph" w:customStyle="1" w:styleId="43">
    <w:name w:val="Обычный4"/>
    <w:rsid w:val="003B5892"/>
    <w:pPr>
      <w:spacing w:before="100" w:after="100" w:line="240" w:lineRule="auto"/>
    </w:pPr>
    <w:rPr>
      <w:rFonts w:ascii="Times New Roman" w:eastAsia="Times New Roman" w:hAnsi="Times New Roman" w:cs="Times New Roman"/>
      <w:snapToGrid w:val="0"/>
      <w:kern w:val="0"/>
      <w:sz w:val="24"/>
      <w:szCs w:val="20"/>
      <w:lang w:val="ru-RU" w:eastAsia="ru-RU"/>
      <w14:ligatures w14:val="none"/>
    </w:rPr>
  </w:style>
  <w:style w:type="paragraph" w:customStyle="1" w:styleId="af5">
    <w:name w:val="Знак Знак Знак Знак Знак Знак Знак"/>
    <w:basedOn w:val="Normal"/>
    <w:rsid w:val="003B5892"/>
    <w:pPr>
      <w:spacing w:after="0" w:line="240" w:lineRule="auto"/>
    </w:pPr>
    <w:rPr>
      <w:rFonts w:ascii="Verdana" w:eastAsia="Times New Roman" w:hAnsi="Verdana" w:cs="Verdana"/>
      <w:kern w:val="0"/>
      <w:sz w:val="20"/>
      <w:szCs w:val="20"/>
      <w14:ligatures w14:val="none"/>
    </w:rPr>
  </w:style>
  <w:style w:type="paragraph" w:customStyle="1" w:styleId="2c">
    <w:name w:val="Знак2"/>
    <w:basedOn w:val="Normal"/>
    <w:rsid w:val="003B5892"/>
    <w:pPr>
      <w:spacing w:after="0" w:line="240" w:lineRule="auto"/>
    </w:pPr>
    <w:rPr>
      <w:rFonts w:ascii="Verdana" w:eastAsia="Times New Roman" w:hAnsi="Verdana" w:cs="Times New Roman"/>
      <w:kern w:val="0"/>
      <w:sz w:val="20"/>
      <w:szCs w:val="20"/>
      <w14:ligatures w14:val="none"/>
    </w:rPr>
  </w:style>
  <w:style w:type="character" w:customStyle="1" w:styleId="FontStyle12">
    <w:name w:val="Font Style12"/>
    <w:rsid w:val="003B5892"/>
    <w:rPr>
      <w:rFonts w:ascii="Times New Roman" w:hAnsi="Times New Roman" w:cs="Times New Roman"/>
      <w:sz w:val="28"/>
      <w:szCs w:val="28"/>
    </w:rPr>
  </w:style>
  <w:style w:type="paragraph" w:customStyle="1" w:styleId="Style3">
    <w:name w:val="Style3"/>
    <w:basedOn w:val="Normal"/>
    <w:rsid w:val="003B5892"/>
    <w:pPr>
      <w:widowControl w:val="0"/>
      <w:autoSpaceDE w:val="0"/>
      <w:autoSpaceDN w:val="0"/>
      <w:adjustRightInd w:val="0"/>
      <w:spacing w:after="0" w:line="480" w:lineRule="exact"/>
      <w:ind w:firstLine="701"/>
      <w:jc w:val="both"/>
    </w:pPr>
    <w:rPr>
      <w:rFonts w:ascii="Times New Roman" w:eastAsia="Times New Roman" w:hAnsi="Times New Roman" w:cs="Raavi"/>
      <w:kern w:val="0"/>
      <w:sz w:val="24"/>
      <w:szCs w:val="24"/>
      <w:lang w:val="ru-RU" w:eastAsia="ru-RU" w:bidi="sd-Deva-IN"/>
      <w14:ligatures w14:val="none"/>
    </w:rPr>
  </w:style>
  <w:style w:type="paragraph" w:customStyle="1" w:styleId="Style22">
    <w:name w:val="Style22"/>
    <w:basedOn w:val="Normal"/>
    <w:rsid w:val="003B5892"/>
    <w:pPr>
      <w:widowControl w:val="0"/>
      <w:autoSpaceDE w:val="0"/>
      <w:autoSpaceDN w:val="0"/>
      <w:adjustRightInd w:val="0"/>
      <w:spacing w:after="0" w:line="341" w:lineRule="exact"/>
      <w:ind w:firstLine="470"/>
      <w:jc w:val="both"/>
    </w:pPr>
    <w:rPr>
      <w:rFonts w:ascii="Times New Roman" w:eastAsia="Times New Roman" w:hAnsi="Times New Roman" w:cs="Raavi"/>
      <w:kern w:val="0"/>
      <w:sz w:val="24"/>
      <w:szCs w:val="24"/>
      <w:lang w:val="uk-UA" w:eastAsia="ru-RU" w:bidi="sd-Deva-IN"/>
      <w14:ligatures w14:val="none"/>
    </w:rPr>
  </w:style>
  <w:style w:type="paragraph" w:customStyle="1" w:styleId="af6">
    <w:name w:val="Знак Знак Знак Знак Знак Знак Знак Знак Знак Знак Знак Знак"/>
    <w:basedOn w:val="Normal"/>
    <w:rsid w:val="003B5892"/>
    <w:pPr>
      <w:spacing w:after="0" w:line="240" w:lineRule="auto"/>
    </w:pPr>
    <w:rPr>
      <w:rFonts w:ascii="Verdana" w:eastAsia="Times New Roman" w:hAnsi="Verdana" w:cs="Verdana"/>
      <w:kern w:val="0"/>
      <w:sz w:val="20"/>
      <w:szCs w:val="20"/>
      <w14:ligatures w14:val="none"/>
    </w:rPr>
  </w:style>
  <w:style w:type="paragraph" w:customStyle="1" w:styleId="Style2">
    <w:name w:val="Style2"/>
    <w:basedOn w:val="Normal"/>
    <w:rsid w:val="003B5892"/>
    <w:pPr>
      <w:widowControl w:val="0"/>
      <w:autoSpaceDE w:val="0"/>
      <w:autoSpaceDN w:val="0"/>
      <w:adjustRightInd w:val="0"/>
      <w:spacing w:after="0" w:line="322" w:lineRule="exact"/>
      <w:ind w:firstLine="696"/>
      <w:jc w:val="both"/>
    </w:pPr>
    <w:rPr>
      <w:rFonts w:ascii="Times New Roman" w:eastAsia="Times New Roman" w:hAnsi="Times New Roman" w:cs="Times New Roman"/>
      <w:kern w:val="0"/>
      <w:sz w:val="24"/>
      <w:szCs w:val="24"/>
      <w:lang w:val="uk-UA" w:eastAsia="uk-UA"/>
      <w14:ligatures w14:val="none"/>
    </w:rPr>
  </w:style>
  <w:style w:type="character" w:customStyle="1" w:styleId="FontStyle14">
    <w:name w:val="Font Style14"/>
    <w:rsid w:val="003B5892"/>
    <w:rPr>
      <w:rFonts w:ascii="Times New Roman" w:hAnsi="Times New Roman" w:cs="Times New Roman"/>
      <w:sz w:val="26"/>
      <w:szCs w:val="26"/>
    </w:rPr>
  </w:style>
  <w:style w:type="character" w:customStyle="1" w:styleId="FontStyle15">
    <w:name w:val="Font Style15"/>
    <w:rsid w:val="003B5892"/>
    <w:rPr>
      <w:rFonts w:ascii="Times New Roman" w:hAnsi="Times New Roman" w:cs="Times New Roman"/>
      <w:b/>
      <w:bCs/>
      <w:i/>
      <w:iCs/>
      <w:spacing w:val="-10"/>
      <w:sz w:val="24"/>
      <w:szCs w:val="24"/>
    </w:rPr>
  </w:style>
  <w:style w:type="paragraph" w:customStyle="1" w:styleId="1f3">
    <w:name w:val="Знак Знак Знак Знак Знак Знак Знак1 Знак Знак"/>
    <w:basedOn w:val="Normal"/>
    <w:rsid w:val="003B5892"/>
    <w:pPr>
      <w:spacing w:after="0" w:line="240" w:lineRule="auto"/>
    </w:pPr>
    <w:rPr>
      <w:rFonts w:ascii="Verdana" w:eastAsia="Times New Roman" w:hAnsi="Verdana" w:cs="Times New Roman"/>
      <w:kern w:val="0"/>
      <w:sz w:val="20"/>
      <w:szCs w:val="20"/>
      <w14:ligatures w14:val="none"/>
    </w:rPr>
  </w:style>
  <w:style w:type="paragraph" w:customStyle="1" w:styleId="BodyText24">
    <w:name w:val="Body Text 24"/>
    <w:basedOn w:val="Normal"/>
    <w:rsid w:val="003B5892"/>
    <w:pPr>
      <w:spacing w:after="0" w:line="240" w:lineRule="auto"/>
      <w:ind w:firstLine="709"/>
      <w:jc w:val="both"/>
    </w:pPr>
    <w:rPr>
      <w:rFonts w:ascii="Times New Roman" w:eastAsia="Times New Roman" w:hAnsi="Times New Roman" w:cs="Times New Roman"/>
      <w:kern w:val="0"/>
      <w:sz w:val="28"/>
      <w:szCs w:val="20"/>
      <w:lang w:val="uk-UA" w:eastAsia="ru-RU"/>
      <w14:ligatures w14:val="none"/>
    </w:rPr>
  </w:style>
  <w:style w:type="paragraph" w:customStyle="1" w:styleId="Just">
    <w:name w:val="Just"/>
    <w:rsid w:val="003B5892"/>
    <w:pPr>
      <w:autoSpaceDE w:val="0"/>
      <w:autoSpaceDN w:val="0"/>
      <w:adjustRightInd w:val="0"/>
      <w:spacing w:before="40" w:after="40" w:line="240" w:lineRule="auto"/>
      <w:ind w:firstLine="568"/>
      <w:jc w:val="both"/>
    </w:pPr>
    <w:rPr>
      <w:rFonts w:ascii="Times New Roman" w:eastAsia="Times New Roman" w:hAnsi="Times New Roman" w:cs="Times New Roman"/>
      <w:kern w:val="0"/>
      <w:sz w:val="24"/>
      <w:szCs w:val="24"/>
      <w:lang w:val="ru-RU" w:eastAsia="ru-RU"/>
      <w14:ligatures w14:val="none"/>
    </w:rPr>
  </w:style>
  <w:style w:type="paragraph" w:customStyle="1" w:styleId="CharChar">
    <w:name w:val="Char Char"/>
    <w:basedOn w:val="Normal"/>
    <w:rsid w:val="003B5892"/>
    <w:pPr>
      <w:spacing w:after="0" w:line="240" w:lineRule="auto"/>
    </w:pPr>
    <w:rPr>
      <w:rFonts w:ascii="Verdana" w:eastAsia="Times New Roman" w:hAnsi="Verdana" w:cs="Verdana"/>
      <w:kern w:val="0"/>
      <w:sz w:val="20"/>
      <w:szCs w:val="20"/>
      <w14:ligatures w14:val="none"/>
    </w:rPr>
  </w:style>
  <w:style w:type="paragraph" w:customStyle="1" w:styleId="115">
    <w:name w:val="Знак11"/>
    <w:basedOn w:val="Normal"/>
    <w:rsid w:val="003B5892"/>
    <w:pPr>
      <w:spacing w:after="0" w:line="240" w:lineRule="auto"/>
    </w:pPr>
    <w:rPr>
      <w:rFonts w:ascii="Verdana" w:eastAsia="Times New Roman" w:hAnsi="Verdana" w:cs="Times New Roman"/>
      <w:kern w:val="0"/>
      <w:sz w:val="20"/>
      <w:szCs w:val="20"/>
      <w14:ligatures w14:val="none"/>
    </w:rPr>
  </w:style>
  <w:style w:type="paragraph" w:customStyle="1" w:styleId="1f4">
    <w:name w:val="Знак1 Знак Знак Знак Знак Знак Знак"/>
    <w:basedOn w:val="Normal"/>
    <w:rsid w:val="003B5892"/>
    <w:pPr>
      <w:spacing w:after="0" w:line="240" w:lineRule="auto"/>
    </w:pPr>
    <w:rPr>
      <w:rFonts w:ascii="Verdana" w:eastAsia="Times New Roman" w:hAnsi="Verdana" w:cs="Times New Roman"/>
      <w:kern w:val="0"/>
      <w:sz w:val="20"/>
      <w:szCs w:val="20"/>
      <w14:ligatures w14:val="none"/>
    </w:rPr>
  </w:style>
  <w:style w:type="paragraph" w:customStyle="1" w:styleId="Normal1">
    <w:name w:val="Normal1"/>
    <w:rsid w:val="003B5892"/>
    <w:pPr>
      <w:widowControl w:val="0"/>
      <w:spacing w:after="0" w:line="240" w:lineRule="auto"/>
    </w:pPr>
    <w:rPr>
      <w:rFonts w:ascii="Times New Roman" w:eastAsia="Times New Roman" w:hAnsi="Times New Roman" w:cs="Times New Roman"/>
      <w:b/>
      <w:snapToGrid w:val="0"/>
      <w:kern w:val="0"/>
      <w:sz w:val="20"/>
      <w:szCs w:val="20"/>
      <w:lang w:val="ru-RU" w:eastAsia="ru-RU"/>
      <w14:ligatures w14:val="none"/>
    </w:rPr>
  </w:style>
  <w:style w:type="paragraph" w:customStyle="1" w:styleId="CharCharCharChar">
    <w:name w:val="Char Char Знак Знак Char Char"/>
    <w:basedOn w:val="Normal"/>
    <w:rsid w:val="003B5892"/>
    <w:pPr>
      <w:spacing w:after="0" w:line="240" w:lineRule="auto"/>
    </w:pPr>
    <w:rPr>
      <w:rFonts w:ascii="Verdana" w:eastAsia="Times New Roman" w:hAnsi="Verdana" w:cs="Verdana"/>
      <w:kern w:val="0"/>
      <w:sz w:val="20"/>
      <w:szCs w:val="20"/>
      <w14:ligatures w14:val="none"/>
    </w:rPr>
  </w:style>
  <w:style w:type="paragraph" w:customStyle="1" w:styleId="af7">
    <w:name w:val="Знак Знак Знак Знак"/>
    <w:basedOn w:val="Normal"/>
    <w:rsid w:val="003B5892"/>
    <w:pPr>
      <w:spacing w:after="0" w:line="240" w:lineRule="auto"/>
    </w:pPr>
    <w:rPr>
      <w:rFonts w:ascii="Verdana" w:eastAsia="Times New Roman" w:hAnsi="Verdana" w:cs="Times New Roman"/>
      <w:kern w:val="0"/>
      <w:sz w:val="20"/>
      <w:szCs w:val="20"/>
      <w14:ligatures w14:val="none"/>
    </w:rPr>
  </w:style>
  <w:style w:type="paragraph" w:customStyle="1" w:styleId="FR2">
    <w:name w:val="FR2"/>
    <w:rsid w:val="003B5892"/>
    <w:pPr>
      <w:widowControl w:val="0"/>
      <w:spacing w:before="40" w:after="0" w:line="240" w:lineRule="auto"/>
      <w:ind w:firstLine="720"/>
      <w:jc w:val="both"/>
    </w:pPr>
    <w:rPr>
      <w:rFonts w:ascii="Arial" w:eastAsia="Times New Roman" w:hAnsi="Arial" w:cs="Times New Roman"/>
      <w:i/>
      <w:snapToGrid w:val="0"/>
      <w:kern w:val="0"/>
      <w:sz w:val="24"/>
      <w:szCs w:val="20"/>
      <w:lang w:val="uk-UA" w:eastAsia="ru-RU"/>
      <w14:ligatures w14:val="none"/>
    </w:rPr>
  </w:style>
  <w:style w:type="paragraph" w:styleId="ListNumber2">
    <w:name w:val="List Number 2"/>
    <w:basedOn w:val="Normal"/>
    <w:rsid w:val="003B5892"/>
    <w:pPr>
      <w:tabs>
        <w:tab w:val="num" w:pos="720"/>
      </w:tabs>
      <w:spacing w:after="0" w:line="240" w:lineRule="auto"/>
      <w:ind w:left="720" w:hanging="360"/>
    </w:pPr>
    <w:rPr>
      <w:rFonts w:ascii="Times New Roman" w:eastAsia="Times New Roman" w:hAnsi="Times New Roman" w:cs="Times New Roman"/>
      <w:kern w:val="0"/>
      <w:sz w:val="24"/>
      <w:szCs w:val="24"/>
      <w:lang w:val="uk-UA" w:eastAsia="ru-RU"/>
      <w14:ligatures w14:val="none"/>
    </w:rPr>
  </w:style>
  <w:style w:type="character" w:customStyle="1" w:styleId="A50">
    <w:name w:val="A5"/>
    <w:rsid w:val="003B5892"/>
    <w:rPr>
      <w:rFonts w:cs="MZGSBU+HeliosCond-Bold"/>
      <w:color w:val="000000"/>
      <w:sz w:val="18"/>
      <w:szCs w:val="18"/>
    </w:rPr>
  </w:style>
  <w:style w:type="paragraph" w:customStyle="1" w:styleId="Pa32">
    <w:name w:val="Pa32"/>
    <w:basedOn w:val="Default"/>
    <w:next w:val="Default"/>
    <w:rsid w:val="003B5892"/>
    <w:pPr>
      <w:spacing w:line="241" w:lineRule="atLeast"/>
    </w:pPr>
    <w:rPr>
      <w:rFonts w:ascii="MZGSBU+HeliosCond-Bold" w:hAnsi="MZGSBU+HeliosCond-Bold"/>
      <w:color w:val="auto"/>
    </w:rPr>
  </w:style>
  <w:style w:type="paragraph" w:customStyle="1" w:styleId="Pa16">
    <w:name w:val="Pa16"/>
    <w:basedOn w:val="Default"/>
    <w:next w:val="Default"/>
    <w:rsid w:val="003B5892"/>
    <w:pPr>
      <w:spacing w:line="181" w:lineRule="atLeast"/>
    </w:pPr>
    <w:rPr>
      <w:rFonts w:ascii="BYTEDQ+HeliosCond" w:hAnsi="BYTEDQ+HeliosCond"/>
      <w:color w:val="auto"/>
    </w:rPr>
  </w:style>
  <w:style w:type="character" w:customStyle="1" w:styleId="A17">
    <w:name w:val="A17"/>
    <w:rsid w:val="003B5892"/>
    <w:rPr>
      <w:rFonts w:cs="BYTEDQ+HeliosCond"/>
      <w:color w:val="000000"/>
      <w:sz w:val="16"/>
      <w:szCs w:val="16"/>
    </w:rPr>
  </w:style>
  <w:style w:type="paragraph" w:customStyle="1" w:styleId="Pa33">
    <w:name w:val="Pa33"/>
    <w:basedOn w:val="Default"/>
    <w:next w:val="Default"/>
    <w:rsid w:val="003B5892"/>
    <w:pPr>
      <w:spacing w:line="181" w:lineRule="atLeast"/>
    </w:pPr>
    <w:rPr>
      <w:rFonts w:ascii="BYTEDQ+HeliosCond" w:hAnsi="BYTEDQ+HeliosCond"/>
      <w:color w:val="auto"/>
    </w:rPr>
  </w:style>
  <w:style w:type="paragraph" w:customStyle="1" w:styleId="Pa17">
    <w:name w:val="Pa17"/>
    <w:basedOn w:val="Default"/>
    <w:next w:val="Default"/>
    <w:rsid w:val="003B5892"/>
    <w:pPr>
      <w:spacing w:line="181" w:lineRule="atLeast"/>
    </w:pPr>
    <w:rPr>
      <w:rFonts w:ascii="BYTEDQ+HeliosCond" w:hAnsi="BYTEDQ+HeliosCond"/>
      <w:color w:val="auto"/>
    </w:rPr>
  </w:style>
  <w:style w:type="paragraph" w:customStyle="1" w:styleId="Pa34">
    <w:name w:val="Pa34"/>
    <w:basedOn w:val="Default"/>
    <w:next w:val="Default"/>
    <w:rsid w:val="003B5892"/>
    <w:pPr>
      <w:spacing w:line="181" w:lineRule="atLeast"/>
    </w:pPr>
    <w:rPr>
      <w:rFonts w:ascii="BYTEDQ+HeliosCond" w:hAnsi="BYTEDQ+HeliosCond"/>
      <w:color w:val="auto"/>
    </w:rPr>
  </w:style>
  <w:style w:type="paragraph" w:customStyle="1" w:styleId="caaieiaie9">
    <w:name w:val="caaieiaie 9"/>
    <w:basedOn w:val="Normal"/>
    <w:next w:val="Normal"/>
    <w:rsid w:val="003B5892"/>
    <w:pPr>
      <w:keepNext/>
      <w:suppressAutoHyphens/>
      <w:overflowPunct w:val="0"/>
      <w:autoSpaceDE w:val="0"/>
      <w:autoSpaceDN w:val="0"/>
      <w:adjustRightInd w:val="0"/>
      <w:spacing w:after="0" w:line="360" w:lineRule="auto"/>
      <w:ind w:firstLine="709"/>
      <w:jc w:val="right"/>
      <w:textAlignment w:val="baseline"/>
    </w:pPr>
    <w:rPr>
      <w:rFonts w:ascii="Times New Roman" w:eastAsia="Times New Roman" w:hAnsi="Times New Roman" w:cs="Times New Roman"/>
      <w:color w:val="000000"/>
      <w:kern w:val="0"/>
      <w:sz w:val="28"/>
      <w:szCs w:val="20"/>
      <w:lang w:val="uk-UA" w:eastAsia="ru-RU"/>
      <w14:ligatures w14:val="none"/>
    </w:rPr>
  </w:style>
  <w:style w:type="paragraph" w:customStyle="1" w:styleId="caaieiaie2">
    <w:name w:val="caaieiaie 2"/>
    <w:basedOn w:val="Normal"/>
    <w:next w:val="Normal"/>
    <w:rsid w:val="003B5892"/>
    <w:pPr>
      <w:keepNext/>
      <w:overflowPunct w:val="0"/>
      <w:autoSpaceDE w:val="0"/>
      <w:autoSpaceDN w:val="0"/>
      <w:adjustRightInd w:val="0"/>
      <w:spacing w:after="0" w:line="204" w:lineRule="auto"/>
      <w:ind w:firstLine="720"/>
      <w:textAlignment w:val="baseline"/>
    </w:pPr>
    <w:rPr>
      <w:rFonts w:ascii="Times New Roman" w:eastAsia="Times New Roman" w:hAnsi="Times New Roman" w:cs="Times New Roman"/>
      <w:kern w:val="0"/>
      <w:sz w:val="28"/>
      <w:szCs w:val="20"/>
      <w:lang w:val="uk-UA" w:eastAsia="ru-RU"/>
      <w14:ligatures w14:val="none"/>
    </w:rPr>
  </w:style>
  <w:style w:type="paragraph" w:customStyle="1" w:styleId="320">
    <w:name w:val="Основной текст с отступом 32"/>
    <w:basedOn w:val="Normal"/>
    <w:rsid w:val="003B5892"/>
    <w:pPr>
      <w:overflowPunct w:val="0"/>
      <w:autoSpaceDE w:val="0"/>
      <w:autoSpaceDN w:val="0"/>
      <w:adjustRightInd w:val="0"/>
      <w:spacing w:after="0" w:line="288" w:lineRule="auto"/>
      <w:ind w:firstLine="374"/>
      <w:textAlignment w:val="baseline"/>
    </w:pPr>
    <w:rPr>
      <w:rFonts w:ascii="Times New Roman" w:eastAsia="Times New Roman" w:hAnsi="Times New Roman" w:cs="Times New Roman"/>
      <w:kern w:val="0"/>
      <w:sz w:val="24"/>
      <w:szCs w:val="20"/>
      <w:lang w:val="uk-UA" w:eastAsia="ru-RU"/>
      <w14:ligatures w14:val="none"/>
    </w:rPr>
  </w:style>
  <w:style w:type="paragraph" w:customStyle="1" w:styleId="311">
    <w:name w:val="Основной текст 31"/>
    <w:basedOn w:val="Normal"/>
    <w:rsid w:val="003B5892"/>
    <w:pPr>
      <w:overflowPunct w:val="0"/>
      <w:autoSpaceDE w:val="0"/>
      <w:autoSpaceDN w:val="0"/>
      <w:adjustRightInd w:val="0"/>
      <w:spacing w:after="0" w:line="240" w:lineRule="auto"/>
      <w:jc w:val="both"/>
      <w:textAlignment w:val="baseline"/>
    </w:pPr>
    <w:rPr>
      <w:rFonts w:ascii="Times New Roman" w:eastAsia="Times New Roman" w:hAnsi="Times New Roman" w:cs="Times New Roman"/>
      <w:kern w:val="0"/>
      <w:sz w:val="24"/>
      <w:szCs w:val="20"/>
      <w:lang w:val="uk-UA" w:eastAsia="ru-RU"/>
      <w14:ligatures w14:val="none"/>
    </w:rPr>
  </w:style>
  <w:style w:type="paragraph" w:customStyle="1" w:styleId="caaieiaie1">
    <w:name w:val="caaieiaie 1"/>
    <w:basedOn w:val="Normal"/>
    <w:next w:val="Normal"/>
    <w:rsid w:val="003B5892"/>
    <w:pPr>
      <w:keepNext/>
      <w:overflowPunct w:val="0"/>
      <w:autoSpaceDE w:val="0"/>
      <w:autoSpaceDN w:val="0"/>
      <w:adjustRightInd w:val="0"/>
      <w:spacing w:after="0" w:line="240" w:lineRule="auto"/>
      <w:jc w:val="center"/>
      <w:textAlignment w:val="baseline"/>
    </w:pPr>
    <w:rPr>
      <w:rFonts w:ascii="Times New Roman" w:eastAsia="Times New Roman" w:hAnsi="Times New Roman" w:cs="Times New Roman"/>
      <w:b/>
      <w:color w:val="000000"/>
      <w:kern w:val="0"/>
      <w:sz w:val="28"/>
      <w:szCs w:val="20"/>
      <w:lang w:val="uk-UA" w:eastAsia="ru-RU"/>
      <w14:ligatures w14:val="none"/>
    </w:rPr>
  </w:style>
  <w:style w:type="paragraph" w:customStyle="1" w:styleId="BodyText22">
    <w:name w:val="Body Text 22"/>
    <w:basedOn w:val="Normal"/>
    <w:rsid w:val="003B5892"/>
    <w:pPr>
      <w:overflowPunct w:val="0"/>
      <w:autoSpaceDE w:val="0"/>
      <w:autoSpaceDN w:val="0"/>
      <w:adjustRightInd w:val="0"/>
      <w:spacing w:before="240" w:after="0" w:line="240" w:lineRule="auto"/>
      <w:ind w:right="51" w:firstLine="709"/>
      <w:jc w:val="both"/>
      <w:textAlignment w:val="baseline"/>
    </w:pPr>
    <w:rPr>
      <w:rFonts w:ascii="Times New Roman" w:eastAsia="Times New Roman" w:hAnsi="Times New Roman" w:cs="Times New Roman"/>
      <w:kern w:val="0"/>
      <w:sz w:val="28"/>
      <w:szCs w:val="20"/>
      <w:lang w:val="uk-UA" w:eastAsia="ru-RU"/>
      <w14:ligatures w14:val="none"/>
    </w:rPr>
  </w:style>
  <w:style w:type="paragraph" w:customStyle="1" w:styleId="Noeeu">
    <w:name w:val="Noeeu"/>
    <w:rsid w:val="003B5892"/>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spacing w:val="-1"/>
      <w:kern w:val="65535"/>
      <w:position w:val="-1"/>
      <w:sz w:val="28"/>
      <w:szCs w:val="20"/>
      <w:lang w:val="ru-RU" w:eastAsia="ru-RU"/>
      <w14:ligatures w14:val="none"/>
    </w:rPr>
  </w:style>
  <w:style w:type="paragraph" w:customStyle="1" w:styleId="116">
    <w:name w:val="Знак1 Знак Знак Знак Знак Знак1 Знак"/>
    <w:basedOn w:val="Normal"/>
    <w:rsid w:val="003B5892"/>
    <w:pPr>
      <w:spacing w:after="0" w:line="240" w:lineRule="auto"/>
    </w:pPr>
    <w:rPr>
      <w:rFonts w:ascii="Verdana" w:eastAsia="Times New Roman" w:hAnsi="Verdana" w:cs="Times New Roman"/>
      <w:kern w:val="0"/>
      <w:sz w:val="20"/>
      <w:szCs w:val="20"/>
      <w14:ligatures w14:val="none"/>
    </w:rPr>
  </w:style>
  <w:style w:type="paragraph" w:customStyle="1" w:styleId="Style4">
    <w:name w:val="Style4"/>
    <w:basedOn w:val="Normal"/>
    <w:rsid w:val="003B5892"/>
    <w:pPr>
      <w:widowControl w:val="0"/>
      <w:autoSpaceDE w:val="0"/>
      <w:autoSpaceDN w:val="0"/>
      <w:adjustRightInd w:val="0"/>
      <w:spacing w:after="0" w:line="206" w:lineRule="exact"/>
    </w:pPr>
    <w:rPr>
      <w:rFonts w:ascii="Times New Roman" w:eastAsia="Times New Roman" w:hAnsi="Times New Roman" w:cs="Times New Roman"/>
      <w:kern w:val="0"/>
      <w:sz w:val="24"/>
      <w:szCs w:val="24"/>
      <w:lang w:val="ru-RU" w:eastAsia="ru-RU"/>
      <w14:ligatures w14:val="none"/>
    </w:rPr>
  </w:style>
  <w:style w:type="paragraph" w:customStyle="1" w:styleId="Style6">
    <w:name w:val="Style6"/>
    <w:basedOn w:val="Normal"/>
    <w:rsid w:val="003B5892"/>
    <w:pPr>
      <w:widowControl w:val="0"/>
      <w:autoSpaceDE w:val="0"/>
      <w:autoSpaceDN w:val="0"/>
      <w:adjustRightInd w:val="0"/>
      <w:spacing w:after="0" w:line="240" w:lineRule="auto"/>
    </w:pPr>
    <w:rPr>
      <w:rFonts w:ascii="Times New Roman" w:eastAsia="Times New Roman" w:hAnsi="Times New Roman" w:cs="Times New Roman"/>
      <w:kern w:val="0"/>
      <w:sz w:val="24"/>
      <w:szCs w:val="24"/>
      <w:lang w:val="ru-RU" w:eastAsia="ru-RU"/>
      <w14:ligatures w14:val="none"/>
    </w:rPr>
  </w:style>
  <w:style w:type="character" w:customStyle="1" w:styleId="FontStyle11">
    <w:name w:val="Font Style11"/>
    <w:rsid w:val="003B5892"/>
    <w:rPr>
      <w:rFonts w:ascii="Times New Roman" w:hAnsi="Times New Roman" w:cs="Times New Roman"/>
      <w:sz w:val="18"/>
      <w:szCs w:val="18"/>
    </w:rPr>
  </w:style>
  <w:style w:type="character" w:customStyle="1" w:styleId="FontStyle13">
    <w:name w:val="Font Style13"/>
    <w:rsid w:val="003B5892"/>
    <w:rPr>
      <w:rFonts w:ascii="Times New Roman" w:hAnsi="Times New Roman" w:cs="Times New Roman"/>
      <w:b/>
      <w:bCs/>
      <w:sz w:val="16"/>
      <w:szCs w:val="16"/>
    </w:rPr>
  </w:style>
  <w:style w:type="character" w:customStyle="1" w:styleId="2Exact">
    <w:name w:val="Основной текст (2) Exact"/>
    <w:rsid w:val="003B5892"/>
    <w:rPr>
      <w:rFonts w:ascii="Garamond" w:eastAsia="Garamond" w:hAnsi="Garamond" w:cs="Garamond"/>
      <w:b w:val="0"/>
      <w:bCs w:val="0"/>
      <w:i w:val="0"/>
      <w:iCs w:val="0"/>
      <w:smallCaps w:val="0"/>
      <w:strike w:val="0"/>
      <w:color w:val="000000"/>
      <w:spacing w:val="0"/>
      <w:w w:val="100"/>
      <w:position w:val="0"/>
      <w:sz w:val="18"/>
      <w:szCs w:val="18"/>
      <w:u w:val="single"/>
      <w:lang w:val="uk-UA" w:eastAsia="uk-UA" w:bidi="uk-UA"/>
    </w:rPr>
  </w:style>
  <w:style w:type="character" w:customStyle="1" w:styleId="2Exact0">
    <w:name w:val="Основной текст (2) + Малые прописные Exact"/>
    <w:rsid w:val="003B5892"/>
    <w:rPr>
      <w:rFonts w:ascii="Garamond" w:eastAsia="Garamond" w:hAnsi="Garamond" w:cs="Garamond"/>
      <w:b w:val="0"/>
      <w:bCs w:val="0"/>
      <w:i w:val="0"/>
      <w:iCs w:val="0"/>
      <w:smallCaps/>
      <w:strike w:val="0"/>
      <w:color w:val="000000"/>
      <w:spacing w:val="0"/>
      <w:w w:val="100"/>
      <w:position w:val="0"/>
      <w:sz w:val="18"/>
      <w:szCs w:val="18"/>
      <w:u w:val="none"/>
      <w:lang w:val="uk-UA" w:eastAsia="uk-UA" w:bidi="uk-UA"/>
    </w:rPr>
  </w:style>
  <w:style w:type="character" w:customStyle="1" w:styleId="2d">
    <w:name w:val="Основной текст (2) + Не полужирный"/>
    <w:rsid w:val="003B5892"/>
    <w:rPr>
      <w:rFonts w:ascii="Times New Roman" w:hAnsi="Times New Roman" w:cs="Times New Roman"/>
      <w:b/>
      <w:bCs/>
      <w:spacing w:val="0"/>
      <w:sz w:val="24"/>
      <w:szCs w:val="24"/>
      <w:shd w:val="clear" w:color="auto" w:fill="FFFFFF"/>
      <w:lang w:bidi="ar-SA"/>
    </w:rPr>
  </w:style>
  <w:style w:type="paragraph" w:customStyle="1" w:styleId="Style1">
    <w:name w:val="Style1"/>
    <w:basedOn w:val="Normal"/>
    <w:link w:val="Style10"/>
    <w:rsid w:val="003B5892"/>
    <w:pPr>
      <w:widowControl w:val="0"/>
      <w:autoSpaceDE w:val="0"/>
      <w:autoSpaceDN w:val="0"/>
      <w:adjustRightInd w:val="0"/>
      <w:spacing w:after="0" w:line="235" w:lineRule="exact"/>
      <w:ind w:hanging="211"/>
    </w:pPr>
    <w:rPr>
      <w:rFonts w:ascii="Times New Roman" w:eastAsia="Times New Roman" w:hAnsi="Times New Roman" w:cs="Times New Roman"/>
      <w:kern w:val="0"/>
      <w:sz w:val="24"/>
      <w:szCs w:val="24"/>
      <w:lang w:val="ru-RU" w:eastAsia="ru-RU"/>
      <w14:ligatures w14:val="none"/>
    </w:rPr>
  </w:style>
  <w:style w:type="paragraph" w:customStyle="1" w:styleId="1f5">
    <w:name w:val="Знак Знак Знак1"/>
    <w:basedOn w:val="Normal"/>
    <w:rsid w:val="003B5892"/>
    <w:pPr>
      <w:spacing w:after="0" w:line="240" w:lineRule="auto"/>
    </w:pPr>
    <w:rPr>
      <w:rFonts w:ascii="Verdana" w:eastAsia="Times New Roman" w:hAnsi="Verdana" w:cs="Verdana"/>
      <w:kern w:val="0"/>
      <w:sz w:val="20"/>
      <w:szCs w:val="20"/>
      <w14:ligatures w14:val="none"/>
    </w:rPr>
  </w:style>
  <w:style w:type="paragraph" w:customStyle="1" w:styleId="1f6">
    <w:name w:val="Знак Знак Знак Знак Знак Знак Знак Знак Знак Знак Знак Знак Знак1"/>
    <w:basedOn w:val="Normal"/>
    <w:rsid w:val="003B5892"/>
    <w:pPr>
      <w:spacing w:after="0" w:line="240" w:lineRule="auto"/>
    </w:pPr>
    <w:rPr>
      <w:rFonts w:ascii="Verdana" w:eastAsia="Times New Roman" w:hAnsi="Verdana" w:cs="Verdana"/>
      <w:kern w:val="0"/>
      <w:sz w:val="20"/>
      <w:szCs w:val="20"/>
      <w14:ligatures w14:val="none"/>
    </w:rPr>
  </w:style>
  <w:style w:type="numbering" w:customStyle="1" w:styleId="1110">
    <w:name w:val="Нет списка111"/>
    <w:next w:val="NoList"/>
    <w:semiHidden/>
    <w:rsid w:val="003B5892"/>
  </w:style>
  <w:style w:type="character" w:customStyle="1" w:styleId="Bodytext0">
    <w:name w:val="Body text_"/>
    <w:link w:val="Bodytext1"/>
    <w:locked/>
    <w:rsid w:val="003B5892"/>
    <w:rPr>
      <w:sz w:val="18"/>
      <w:szCs w:val="18"/>
      <w:shd w:val="clear" w:color="auto" w:fill="FFFFFF"/>
    </w:rPr>
  </w:style>
  <w:style w:type="paragraph" w:customStyle="1" w:styleId="Bodytext1">
    <w:name w:val="Body text1"/>
    <w:basedOn w:val="Normal"/>
    <w:link w:val="Bodytext0"/>
    <w:rsid w:val="003B5892"/>
    <w:pPr>
      <w:shd w:val="clear" w:color="auto" w:fill="FFFFFF"/>
      <w:spacing w:before="300" w:after="0" w:line="240" w:lineRule="atLeast"/>
    </w:pPr>
    <w:rPr>
      <w:sz w:val="18"/>
      <w:szCs w:val="18"/>
    </w:rPr>
  </w:style>
  <w:style w:type="character" w:customStyle="1" w:styleId="35">
    <w:name w:val="Основний текст (3)_"/>
    <w:link w:val="36"/>
    <w:rsid w:val="003B5892"/>
    <w:rPr>
      <w:b/>
      <w:bCs/>
      <w:sz w:val="27"/>
      <w:szCs w:val="27"/>
      <w:shd w:val="clear" w:color="auto" w:fill="FFFFFF"/>
    </w:rPr>
  </w:style>
  <w:style w:type="character" w:customStyle="1" w:styleId="37">
    <w:name w:val="Основний текст (3) + Не напівжирний"/>
    <w:basedOn w:val="35"/>
    <w:rsid w:val="003B5892"/>
    <w:rPr>
      <w:b/>
      <w:bCs/>
      <w:sz w:val="27"/>
      <w:szCs w:val="27"/>
      <w:shd w:val="clear" w:color="auto" w:fill="FFFFFF"/>
    </w:rPr>
  </w:style>
  <w:style w:type="paragraph" w:customStyle="1" w:styleId="36">
    <w:name w:val="Основний текст (3)"/>
    <w:basedOn w:val="Normal"/>
    <w:link w:val="35"/>
    <w:rsid w:val="003B5892"/>
    <w:pPr>
      <w:shd w:val="clear" w:color="auto" w:fill="FFFFFF"/>
      <w:spacing w:before="900" w:after="0" w:line="317" w:lineRule="exact"/>
    </w:pPr>
    <w:rPr>
      <w:b/>
      <w:bCs/>
      <w:sz w:val="27"/>
      <w:szCs w:val="27"/>
    </w:rPr>
  </w:style>
  <w:style w:type="character" w:customStyle="1" w:styleId="370">
    <w:name w:val="Основний текст (3) + Не напівжирний7"/>
    <w:rsid w:val="003B5892"/>
    <w:rPr>
      <w:rFonts w:ascii="Times New Roman" w:hAnsi="Times New Roman" w:cs="Times New Roman"/>
      <w:b w:val="0"/>
      <w:bCs w:val="0"/>
      <w:spacing w:val="0"/>
      <w:sz w:val="27"/>
      <w:szCs w:val="27"/>
      <w:shd w:val="clear" w:color="auto" w:fill="FFFFFF"/>
    </w:rPr>
  </w:style>
  <w:style w:type="character" w:customStyle="1" w:styleId="af8">
    <w:name w:val="Основний текст + Курсив"/>
    <w:rsid w:val="003B5892"/>
    <w:rPr>
      <w:i/>
      <w:iCs/>
      <w:sz w:val="27"/>
      <w:szCs w:val="27"/>
      <w:shd w:val="clear" w:color="auto" w:fill="FFFFFF"/>
      <w:lang w:bidi="ar-SA"/>
    </w:rPr>
  </w:style>
  <w:style w:type="character" w:customStyle="1" w:styleId="360">
    <w:name w:val="Основний текст (3) + Не напівжирний6"/>
    <w:aliases w:val="Курсив,Основной текст (2) + 10 pt"/>
    <w:rsid w:val="003B5892"/>
    <w:rPr>
      <w:rFonts w:ascii="Times New Roman" w:hAnsi="Times New Roman" w:cs="Times New Roman"/>
      <w:b w:val="0"/>
      <w:bCs w:val="0"/>
      <w:i/>
      <w:iCs/>
      <w:spacing w:val="0"/>
      <w:sz w:val="27"/>
      <w:szCs w:val="27"/>
      <w:shd w:val="clear" w:color="auto" w:fill="FFFFFF"/>
    </w:rPr>
  </w:style>
  <w:style w:type="character" w:customStyle="1" w:styleId="340">
    <w:name w:val="Основний текст (3) + Не напівжирний4"/>
    <w:rsid w:val="003B5892"/>
    <w:rPr>
      <w:rFonts w:ascii="Times New Roman" w:hAnsi="Times New Roman" w:cs="Times New Roman"/>
      <w:b w:val="0"/>
      <w:bCs w:val="0"/>
      <w:spacing w:val="0"/>
      <w:sz w:val="27"/>
      <w:szCs w:val="27"/>
      <w:shd w:val="clear" w:color="auto" w:fill="FFFFFF"/>
    </w:rPr>
  </w:style>
  <w:style w:type="character" w:customStyle="1" w:styleId="330">
    <w:name w:val="Основний текст (3) + Не напівжирний3"/>
    <w:aliases w:val="Курсив1"/>
    <w:rsid w:val="003B5892"/>
    <w:rPr>
      <w:rFonts w:ascii="Times New Roman" w:hAnsi="Times New Roman" w:cs="Times New Roman"/>
      <w:b w:val="0"/>
      <w:bCs w:val="0"/>
      <w:i/>
      <w:iCs/>
      <w:spacing w:val="0"/>
      <w:sz w:val="27"/>
      <w:szCs w:val="27"/>
      <w:shd w:val="clear" w:color="auto" w:fill="FFFFFF"/>
    </w:rPr>
  </w:style>
  <w:style w:type="paragraph" w:customStyle="1" w:styleId="1f7">
    <w:name w:val="Знак Знак Знак Знак Знак Знак Знак Знак Знак Знак Знак Знак1 Знак Знак"/>
    <w:basedOn w:val="Normal"/>
    <w:rsid w:val="003B5892"/>
    <w:pPr>
      <w:spacing w:after="0" w:line="240" w:lineRule="auto"/>
    </w:pPr>
    <w:rPr>
      <w:rFonts w:ascii="Verdana" w:eastAsia="Times New Roman" w:hAnsi="Verdana" w:cs="Times New Roman"/>
      <w:kern w:val="0"/>
      <w:sz w:val="20"/>
      <w:szCs w:val="20"/>
      <w14:ligatures w14:val="none"/>
    </w:rPr>
  </w:style>
  <w:style w:type="paragraph" w:customStyle="1" w:styleId="1f8">
    <w:name w:val="Обычный (веб)1"/>
    <w:basedOn w:val="Normal"/>
    <w:rsid w:val="003B5892"/>
    <w:pPr>
      <w:suppressAutoHyphens/>
      <w:spacing w:before="280" w:after="280" w:line="360" w:lineRule="auto"/>
      <w:jc w:val="both"/>
    </w:pPr>
    <w:rPr>
      <w:rFonts w:ascii="Verdana" w:eastAsia="Times New Roman" w:hAnsi="Verdana" w:cs="Times New Roman"/>
      <w:kern w:val="1"/>
      <w:sz w:val="18"/>
      <w:szCs w:val="18"/>
      <w:lang w:val="ru-RU" w:eastAsia="ru-RU"/>
      <w14:ligatures w14:val="none"/>
    </w:rPr>
  </w:style>
  <w:style w:type="paragraph" w:customStyle="1" w:styleId="3110">
    <w:name w:val="Основной текст с отступом 311"/>
    <w:basedOn w:val="Normal"/>
    <w:rsid w:val="003B5892"/>
    <w:pPr>
      <w:widowControl w:val="0"/>
      <w:suppressAutoHyphens/>
      <w:spacing w:after="0" w:line="240" w:lineRule="auto"/>
      <w:ind w:firstLine="567"/>
      <w:jc w:val="both"/>
    </w:pPr>
    <w:rPr>
      <w:rFonts w:ascii="Times New Roman" w:eastAsia="Times New Roman" w:hAnsi="Times New Roman" w:cs="Times New Roman"/>
      <w:kern w:val="1"/>
      <w:sz w:val="28"/>
      <w:szCs w:val="20"/>
      <w:lang w:val="uk-UA" w:eastAsia="ru-RU"/>
      <w14:ligatures w14:val="none"/>
    </w:rPr>
  </w:style>
  <w:style w:type="paragraph" w:customStyle="1" w:styleId="Style21">
    <w:name w:val="Style21"/>
    <w:basedOn w:val="Normal"/>
    <w:rsid w:val="003B5892"/>
    <w:pPr>
      <w:widowControl w:val="0"/>
      <w:autoSpaceDE w:val="0"/>
      <w:autoSpaceDN w:val="0"/>
      <w:adjustRightInd w:val="0"/>
      <w:spacing w:after="0" w:line="204" w:lineRule="exact"/>
      <w:ind w:firstLine="293"/>
      <w:jc w:val="both"/>
    </w:pPr>
    <w:rPr>
      <w:rFonts w:ascii="Times New Roman" w:eastAsia="Times New Roman" w:hAnsi="Times New Roman" w:cs="Times New Roman"/>
      <w:kern w:val="0"/>
      <w:sz w:val="24"/>
      <w:szCs w:val="24"/>
      <w:lang w:val="ru-RU" w:eastAsia="ru-RU"/>
      <w14:ligatures w14:val="none"/>
    </w:rPr>
  </w:style>
  <w:style w:type="character" w:customStyle="1" w:styleId="FontStyle47">
    <w:name w:val="Font Style47"/>
    <w:rsid w:val="003B5892"/>
    <w:rPr>
      <w:rFonts w:ascii="Trebuchet MS" w:hAnsi="Trebuchet MS" w:cs="Trebuchet MS"/>
      <w:sz w:val="18"/>
      <w:szCs w:val="18"/>
    </w:rPr>
  </w:style>
  <w:style w:type="character" w:customStyle="1" w:styleId="mw-headline">
    <w:name w:val="mw-headline"/>
    <w:rsid w:val="003B5892"/>
  </w:style>
  <w:style w:type="paragraph" w:customStyle="1" w:styleId="141">
    <w:name w:val="Обычный + 14 пт"/>
    <w:aliases w:val="Первая строка:  9,52 смм"/>
    <w:basedOn w:val="Heading1"/>
    <w:rsid w:val="003B5892"/>
    <w:pPr>
      <w:keepLines w:val="0"/>
      <w:spacing w:before="0" w:after="240" w:line="240" w:lineRule="auto"/>
      <w:jc w:val="both"/>
    </w:pPr>
    <w:rPr>
      <w:rFonts w:ascii="Times New Roman" w:eastAsia="Times New Roman" w:hAnsi="Times New Roman" w:cs="Times New Roman"/>
      <w:b/>
      <w:color w:val="000000"/>
      <w:kern w:val="0"/>
      <w:sz w:val="24"/>
      <w:szCs w:val="24"/>
      <w:lang w:val="uk-UA" w:eastAsia="ru-RU"/>
      <w14:ligatures w14:val="none"/>
    </w:rPr>
  </w:style>
  <w:style w:type="paragraph" w:customStyle="1" w:styleId="2TimesNewRoman">
    <w:name w:val="Заголовок 2 + Times New Roman"/>
    <w:aliases w:val="не курсив,По центру,Первая строка:  0 см,По..."/>
    <w:basedOn w:val="BodyTextIndent"/>
    <w:rsid w:val="003B5892"/>
    <w:pPr>
      <w:shd w:val="clear" w:color="auto" w:fill="FFFFFF"/>
      <w:spacing w:after="0" w:line="240" w:lineRule="auto"/>
      <w:ind w:left="0" w:right="7" w:firstLine="540"/>
      <w:jc w:val="center"/>
    </w:pPr>
    <w:rPr>
      <w:rFonts w:ascii="Times New Roman" w:hAnsi="Times New Roman"/>
      <w:sz w:val="28"/>
      <w:szCs w:val="28"/>
      <w:lang w:eastAsia="ru-RU"/>
    </w:rPr>
  </w:style>
  <w:style w:type="character" w:customStyle="1" w:styleId="FontStyle451">
    <w:name w:val="Font Style451"/>
    <w:rsid w:val="003B5892"/>
    <w:rPr>
      <w:rFonts w:ascii="Times New Roman" w:hAnsi="Times New Roman" w:cs="Times New Roman"/>
      <w:color w:val="000000"/>
      <w:sz w:val="20"/>
      <w:szCs w:val="20"/>
    </w:rPr>
  </w:style>
  <w:style w:type="paragraph" w:customStyle="1" w:styleId="230">
    <w:name w:val="Основной текст с отступом 23"/>
    <w:basedOn w:val="Normal"/>
    <w:rsid w:val="003B5892"/>
    <w:pPr>
      <w:spacing w:after="0" w:line="240" w:lineRule="auto"/>
      <w:ind w:firstLine="709"/>
      <w:jc w:val="both"/>
    </w:pPr>
    <w:rPr>
      <w:rFonts w:ascii="Times New Roman" w:eastAsia="Times New Roman" w:hAnsi="Times New Roman" w:cs="Times New Roman"/>
      <w:kern w:val="0"/>
      <w:sz w:val="28"/>
      <w:szCs w:val="20"/>
      <w:lang w:val="uk-UA" w:eastAsia="ru-RU"/>
      <w14:ligatures w14:val="none"/>
    </w:rPr>
  </w:style>
  <w:style w:type="paragraph" w:customStyle="1" w:styleId="1f9">
    <w:name w:val="Цитата1"/>
    <w:basedOn w:val="Normal"/>
    <w:rsid w:val="003B5892"/>
    <w:pPr>
      <w:overflowPunct w:val="0"/>
      <w:autoSpaceDE w:val="0"/>
      <w:autoSpaceDN w:val="0"/>
      <w:adjustRightInd w:val="0"/>
      <w:spacing w:after="0" w:line="240" w:lineRule="auto"/>
      <w:ind w:left="709" w:right="610" w:firstLine="709"/>
    </w:pPr>
    <w:rPr>
      <w:rFonts w:ascii="Times New Roman" w:eastAsia="Times New Roman" w:hAnsi="Times New Roman" w:cs="Times New Roman"/>
      <w:kern w:val="0"/>
      <w:sz w:val="24"/>
      <w:szCs w:val="20"/>
      <w:lang w:eastAsia="ru-RU"/>
      <w14:ligatures w14:val="none"/>
    </w:rPr>
  </w:style>
  <w:style w:type="character" w:customStyle="1" w:styleId="2e">
    <w:name w:val="Основной текст (2)_"/>
    <w:basedOn w:val="DefaultParagraphFont"/>
    <w:link w:val="2f"/>
    <w:locked/>
    <w:rsid w:val="003B5892"/>
    <w:rPr>
      <w:rFonts w:ascii="Constantia" w:hAnsi="Constantia"/>
      <w:shd w:val="clear" w:color="auto" w:fill="FFFFFF"/>
    </w:rPr>
  </w:style>
  <w:style w:type="paragraph" w:customStyle="1" w:styleId="44">
    <w:name w:val="Основной текст (4)"/>
    <w:basedOn w:val="Normal"/>
    <w:rsid w:val="003B5892"/>
    <w:pPr>
      <w:shd w:val="clear" w:color="auto" w:fill="FFFFFF"/>
      <w:spacing w:before="180" w:after="0" w:line="250" w:lineRule="exact"/>
      <w:jc w:val="both"/>
    </w:pPr>
    <w:rPr>
      <w:rFonts w:ascii="Times New Roman" w:eastAsia="Times New Roman" w:hAnsi="Times New Roman" w:cs="Times New Roman"/>
      <w:kern w:val="0"/>
      <w:sz w:val="21"/>
      <w:szCs w:val="21"/>
      <w:lang w:val="uk-UA" w:eastAsia="ru-RU"/>
      <w14:ligatures w14:val="none"/>
    </w:rPr>
  </w:style>
  <w:style w:type="character" w:customStyle="1" w:styleId="13pt">
    <w:name w:val="Основной текст + 13 pt"/>
    <w:basedOn w:val="DefaultParagraphFont"/>
    <w:rsid w:val="003B5892"/>
    <w:rPr>
      <w:spacing w:val="-2"/>
      <w:sz w:val="26"/>
      <w:szCs w:val="26"/>
      <w:lang w:bidi="ar-SA"/>
    </w:rPr>
  </w:style>
  <w:style w:type="character" w:customStyle="1" w:styleId="13pt2">
    <w:name w:val="Основной текст + 13 pt2"/>
    <w:aliases w:val="Полужирный,Интервал 0 pt1,Основной текст (2) + Arial Unicode MS,9 pt"/>
    <w:basedOn w:val="DefaultParagraphFont"/>
    <w:rsid w:val="003B5892"/>
    <w:rPr>
      <w:b/>
      <w:bCs/>
      <w:spacing w:val="-2"/>
      <w:sz w:val="26"/>
      <w:szCs w:val="26"/>
      <w:lang w:bidi="ar-SA"/>
    </w:rPr>
  </w:style>
  <w:style w:type="character" w:customStyle="1" w:styleId="45">
    <w:name w:val="Основной текст (4)_"/>
    <w:basedOn w:val="DefaultParagraphFont"/>
    <w:rsid w:val="003B5892"/>
    <w:rPr>
      <w:sz w:val="21"/>
      <w:szCs w:val="21"/>
      <w:lang w:val="ru-RU" w:eastAsia="ru-RU" w:bidi="ar-SA"/>
    </w:rPr>
  </w:style>
  <w:style w:type="character" w:customStyle="1" w:styleId="51">
    <w:name w:val="Основной текст (5)_"/>
    <w:basedOn w:val="DefaultParagraphFont"/>
    <w:rsid w:val="003B5892"/>
    <w:rPr>
      <w:b/>
      <w:bCs/>
      <w:spacing w:val="2"/>
      <w:sz w:val="21"/>
      <w:szCs w:val="21"/>
      <w:lang w:val="ru-RU" w:eastAsia="ru-RU" w:bidi="ar-SA"/>
    </w:rPr>
  </w:style>
  <w:style w:type="paragraph" w:customStyle="1" w:styleId="Pa3">
    <w:name w:val="Pa3"/>
    <w:basedOn w:val="Normal"/>
    <w:next w:val="Normal"/>
    <w:uiPriority w:val="99"/>
    <w:rsid w:val="003B5892"/>
    <w:pPr>
      <w:autoSpaceDE w:val="0"/>
      <w:autoSpaceDN w:val="0"/>
      <w:adjustRightInd w:val="0"/>
      <w:spacing w:after="0" w:line="221" w:lineRule="atLeast"/>
    </w:pPr>
    <w:rPr>
      <w:rFonts w:ascii="Minion Pro" w:eastAsia="Times New Roman" w:hAnsi="Minion Pro" w:cs="Times New Roman"/>
      <w:kern w:val="0"/>
      <w:sz w:val="24"/>
      <w:szCs w:val="24"/>
      <w:lang w:val="ru-RU" w:eastAsia="ru-RU"/>
      <w14:ligatures w14:val="none"/>
    </w:rPr>
  </w:style>
  <w:style w:type="paragraph" w:customStyle="1" w:styleId="2f">
    <w:name w:val="Основной текст (2)"/>
    <w:basedOn w:val="Normal"/>
    <w:link w:val="2e"/>
    <w:rsid w:val="003B5892"/>
    <w:pPr>
      <w:widowControl w:val="0"/>
      <w:shd w:val="clear" w:color="auto" w:fill="FFFFFF"/>
      <w:spacing w:after="0" w:line="302" w:lineRule="exact"/>
      <w:jc w:val="both"/>
    </w:pPr>
    <w:rPr>
      <w:rFonts w:ascii="Constantia" w:hAnsi="Constantia"/>
    </w:rPr>
  </w:style>
  <w:style w:type="paragraph" w:customStyle="1" w:styleId="46">
    <w:name w:val="Абзац списка4"/>
    <w:basedOn w:val="Normal"/>
    <w:rsid w:val="003B5892"/>
    <w:pPr>
      <w:spacing w:after="0" w:line="240" w:lineRule="auto"/>
      <w:ind w:left="720"/>
      <w:contextualSpacing/>
    </w:pPr>
    <w:rPr>
      <w:rFonts w:ascii="Times New Roman" w:eastAsia="Calibri" w:hAnsi="Times New Roman" w:cs="Times New Roman"/>
      <w:kern w:val="0"/>
      <w:sz w:val="28"/>
      <w:szCs w:val="24"/>
      <w:lang w:val="uk-UA" w:eastAsia="ru-RU"/>
      <w14:ligatures w14:val="none"/>
    </w:rPr>
  </w:style>
  <w:style w:type="paragraph" w:customStyle="1" w:styleId="MTDisplayEquation">
    <w:name w:val="MTDisplayEquation"/>
    <w:basedOn w:val="Normal"/>
    <w:next w:val="Normal"/>
    <w:rsid w:val="003B5892"/>
    <w:pPr>
      <w:tabs>
        <w:tab w:val="center" w:pos="4680"/>
        <w:tab w:val="right" w:pos="9360"/>
      </w:tabs>
      <w:autoSpaceDE w:val="0"/>
      <w:autoSpaceDN w:val="0"/>
      <w:adjustRightInd w:val="0"/>
      <w:spacing w:after="0" w:line="360" w:lineRule="auto"/>
      <w:ind w:firstLine="709"/>
      <w:jc w:val="both"/>
    </w:pPr>
    <w:rPr>
      <w:rFonts w:ascii="Times New Roman" w:eastAsia="Calibri" w:hAnsi="Times New Roman" w:cs="Times New Roman"/>
      <w:kern w:val="0"/>
      <w:sz w:val="28"/>
      <w:szCs w:val="28"/>
      <w:lang w:val="uk-UA"/>
      <w14:ligatures w14:val="none"/>
    </w:rPr>
  </w:style>
  <w:style w:type="paragraph" w:customStyle="1" w:styleId="52">
    <w:name w:val="Обычный5"/>
    <w:rsid w:val="003B5892"/>
    <w:pPr>
      <w:widowControl w:val="0"/>
      <w:spacing w:after="0" w:line="240" w:lineRule="auto"/>
    </w:pPr>
    <w:rPr>
      <w:rFonts w:ascii="Arial" w:eastAsia="Times New Roman" w:hAnsi="Arial" w:cs="Times New Roman"/>
      <w:spacing w:val="-7"/>
      <w:kern w:val="0"/>
      <w:sz w:val="28"/>
      <w:szCs w:val="20"/>
      <w:lang w:val="uk-UA" w:eastAsia="ru-RU"/>
      <w14:ligatures w14:val="none"/>
    </w:rPr>
  </w:style>
  <w:style w:type="paragraph" w:customStyle="1" w:styleId="western">
    <w:name w:val="western"/>
    <w:basedOn w:val="Normal"/>
    <w:rsid w:val="003B5892"/>
    <w:pPr>
      <w:spacing w:before="100" w:beforeAutospacing="1" w:after="100" w:afterAutospacing="1" w:line="240" w:lineRule="auto"/>
    </w:pPr>
    <w:rPr>
      <w:rFonts w:ascii="Times New Roman" w:eastAsia="Times New Roman" w:hAnsi="Times New Roman" w:cs="Times New Roman"/>
      <w:kern w:val="0"/>
      <w:sz w:val="24"/>
      <w:szCs w:val="24"/>
      <w:lang w:val="ru-RU" w:eastAsia="ru-RU"/>
      <w14:ligatures w14:val="none"/>
    </w:rPr>
  </w:style>
  <w:style w:type="paragraph" w:styleId="List2">
    <w:name w:val="List 2"/>
    <w:basedOn w:val="Normal"/>
    <w:rsid w:val="003B5892"/>
    <w:pPr>
      <w:spacing w:after="0" w:line="240" w:lineRule="auto"/>
      <w:ind w:left="566" w:hanging="283"/>
    </w:pPr>
    <w:rPr>
      <w:rFonts w:ascii="Times New Roman" w:eastAsia="Times New Roman" w:hAnsi="Times New Roman" w:cs="Times New Roman"/>
      <w:kern w:val="0"/>
      <w:sz w:val="20"/>
      <w:szCs w:val="20"/>
      <w:lang w:val="uk-UA" w:eastAsia="ru-RU"/>
      <w14:ligatures w14:val="none"/>
    </w:rPr>
  </w:style>
  <w:style w:type="character" w:customStyle="1" w:styleId="1fa">
    <w:name w:val="Основной текст Знак1"/>
    <w:locked/>
    <w:rsid w:val="003B5892"/>
    <w:rPr>
      <w:rFonts w:ascii="Arial" w:hAnsi="Arial"/>
      <w:spacing w:val="3"/>
      <w:sz w:val="17"/>
      <w:szCs w:val="17"/>
      <w:lang w:bidi="ar-SA"/>
    </w:rPr>
  </w:style>
  <w:style w:type="character" w:customStyle="1" w:styleId="71">
    <w:name w:val="Основной текст (7)_"/>
    <w:basedOn w:val="DefaultParagraphFont"/>
    <w:link w:val="72"/>
    <w:locked/>
    <w:rsid w:val="003B5892"/>
    <w:rPr>
      <w:b/>
      <w:bCs/>
      <w:sz w:val="19"/>
      <w:szCs w:val="19"/>
      <w:shd w:val="clear" w:color="auto" w:fill="FFFFFF"/>
    </w:rPr>
  </w:style>
  <w:style w:type="paragraph" w:customStyle="1" w:styleId="72">
    <w:name w:val="Основной текст (7)"/>
    <w:basedOn w:val="Normal"/>
    <w:link w:val="71"/>
    <w:rsid w:val="003B5892"/>
    <w:pPr>
      <w:shd w:val="clear" w:color="auto" w:fill="FFFFFF"/>
      <w:spacing w:after="480" w:line="226" w:lineRule="exact"/>
      <w:jc w:val="center"/>
    </w:pPr>
    <w:rPr>
      <w:b/>
      <w:bCs/>
      <w:sz w:val="19"/>
      <w:szCs w:val="19"/>
      <w:shd w:val="clear" w:color="auto" w:fill="FFFFFF"/>
    </w:rPr>
  </w:style>
  <w:style w:type="paragraph" w:customStyle="1" w:styleId="style8">
    <w:name w:val="style8"/>
    <w:basedOn w:val="Normal"/>
    <w:rsid w:val="003B5892"/>
    <w:pPr>
      <w:spacing w:before="100" w:beforeAutospacing="1" w:after="100" w:afterAutospacing="1" w:line="240" w:lineRule="auto"/>
    </w:pPr>
    <w:rPr>
      <w:rFonts w:ascii="Times New Roman" w:eastAsia="Times New Roman" w:hAnsi="Times New Roman" w:cs="Times New Roman"/>
      <w:kern w:val="0"/>
      <w:sz w:val="24"/>
      <w:szCs w:val="24"/>
      <w:lang w:val="ru-RU" w:eastAsia="ru-RU"/>
      <w14:ligatures w14:val="none"/>
    </w:rPr>
  </w:style>
  <w:style w:type="paragraph" w:customStyle="1" w:styleId="61">
    <w:name w:val="Обычный6"/>
    <w:rsid w:val="003B5892"/>
    <w:pPr>
      <w:widowControl w:val="0"/>
      <w:spacing w:after="0" w:line="240" w:lineRule="auto"/>
    </w:pPr>
    <w:rPr>
      <w:rFonts w:ascii="Times New Roman" w:eastAsia="Times New Roman" w:hAnsi="Times New Roman" w:cs="Times New Roman"/>
      <w:kern w:val="0"/>
      <w:sz w:val="24"/>
      <w:szCs w:val="20"/>
      <w:lang w:val="ru-RU" w:eastAsia="ru-RU"/>
      <w14:ligatures w14:val="none"/>
    </w:rPr>
  </w:style>
  <w:style w:type="character" w:customStyle="1" w:styleId="1pt">
    <w:name w:val="Основной текст + Интервал 1 pt"/>
    <w:rsid w:val="003B5892"/>
    <w:rPr>
      <w:rFonts w:ascii="Times New Roman" w:hAnsi="Times New Roman" w:cs="Times New Roman"/>
      <w:spacing w:val="39"/>
      <w:sz w:val="28"/>
      <w:szCs w:val="24"/>
      <w:u w:val="none"/>
      <w:lang w:val="uk-UA" w:eastAsia="ru-RU" w:bidi="ar-SA"/>
    </w:rPr>
  </w:style>
  <w:style w:type="character" w:customStyle="1" w:styleId="222">
    <w:name w:val="Основной текст (2) + Не полужирный2"/>
    <w:aliases w:val="Интервал 0 pt6,Основной текст + Курсив1"/>
    <w:rsid w:val="003B5892"/>
    <w:rPr>
      <w:rFonts w:ascii="Times New Roman" w:hAnsi="Times New Roman" w:cs="Times New Roman"/>
      <w:b/>
      <w:bCs/>
      <w:color w:val="000000"/>
      <w:spacing w:val="1"/>
      <w:w w:val="100"/>
      <w:position w:val="0"/>
      <w:sz w:val="25"/>
      <w:szCs w:val="25"/>
      <w:u w:val="none"/>
      <w:lang w:val="uk-UA" w:eastAsia="x-none" w:bidi="ar-SA"/>
    </w:rPr>
  </w:style>
  <w:style w:type="paragraph" w:customStyle="1" w:styleId="normaltxt">
    <w:name w:val="normaltxt"/>
    <w:basedOn w:val="Normal"/>
    <w:rsid w:val="003B5892"/>
    <w:pPr>
      <w:spacing w:before="100" w:beforeAutospacing="1" w:after="100" w:afterAutospacing="1" w:line="240" w:lineRule="auto"/>
    </w:pPr>
    <w:rPr>
      <w:rFonts w:ascii="Times New Roman" w:eastAsia="Times New Roman" w:hAnsi="Times New Roman" w:cs="Times New Roman"/>
      <w:kern w:val="0"/>
      <w:sz w:val="24"/>
      <w:szCs w:val="24"/>
      <w:lang w:val="uk-UA" w:eastAsia="ru-RU"/>
      <w14:ligatures w14:val="none"/>
    </w:rPr>
  </w:style>
  <w:style w:type="paragraph" w:customStyle="1" w:styleId="af9">
    <w:name w:val="Заглавие"/>
    <w:basedOn w:val="Normal"/>
    <w:rsid w:val="003B5892"/>
    <w:pPr>
      <w:widowControl w:val="0"/>
      <w:suppressAutoHyphens/>
      <w:spacing w:after="0" w:line="240" w:lineRule="auto"/>
      <w:jc w:val="center"/>
    </w:pPr>
    <w:rPr>
      <w:rFonts w:ascii="Courier New" w:eastAsia="Droid Sans Fallback" w:hAnsi="Courier New" w:cs="Times New Roman"/>
      <w:color w:val="00000A"/>
      <w:kern w:val="0"/>
      <w:sz w:val="28"/>
      <w:szCs w:val="20"/>
      <w:lang w:val="uk-UA" w:eastAsia="ru-RU"/>
      <w14:ligatures w14:val="none"/>
    </w:rPr>
  </w:style>
  <w:style w:type="character" w:customStyle="1" w:styleId="afa">
    <w:name w:val="Абзац списка Знак"/>
    <w:aliases w:val="List Paragraph Знак,просто Знак,List Paragraph1 Знак,Абзац списка31 Знак,Абзац списка11 Знак,List Paragraph3 Знак,Numbered Para Знак,List Paragraph31 Знак,Абзац списка12 Знак,Dot pt Знак,F5 List Paragraph Знак,Recommendation Знак"/>
    <w:uiPriority w:val="34"/>
    <w:qFormat/>
    <w:locked/>
    <w:rsid w:val="003B5892"/>
    <w:rPr>
      <w:sz w:val="24"/>
      <w:szCs w:val="24"/>
      <w:lang w:val="uk-UA" w:eastAsia="ru-RU" w:bidi="ar-SA"/>
    </w:rPr>
  </w:style>
  <w:style w:type="character" w:customStyle="1" w:styleId="afb">
    <w:name w:val="выводы"/>
    <w:rsid w:val="003B5892"/>
    <w:rPr>
      <w:b/>
      <w:bCs/>
      <w:i/>
      <w:iCs/>
    </w:rPr>
  </w:style>
  <w:style w:type="paragraph" w:customStyle="1" w:styleId="231">
    <w:name w:val="Основной текст 23"/>
    <w:basedOn w:val="Iauiue"/>
    <w:rsid w:val="003B5892"/>
    <w:pPr>
      <w:ind w:firstLine="567"/>
      <w:jc w:val="both"/>
    </w:pPr>
    <w:rPr>
      <w:sz w:val="28"/>
    </w:rPr>
  </w:style>
  <w:style w:type="paragraph" w:customStyle="1" w:styleId="73">
    <w:name w:val="Обычный7"/>
    <w:rsid w:val="003B5892"/>
    <w:pPr>
      <w:widowControl w:val="0"/>
      <w:spacing w:after="0" w:line="240" w:lineRule="auto"/>
    </w:pPr>
    <w:rPr>
      <w:rFonts w:ascii="Times New Roman" w:eastAsia="Times New Roman" w:hAnsi="Times New Roman" w:cs="Times New Roman"/>
      <w:snapToGrid w:val="0"/>
      <w:kern w:val="0"/>
      <w:sz w:val="20"/>
      <w:szCs w:val="20"/>
      <w:lang w:val="ru-RU" w:eastAsia="ru-RU"/>
      <w14:ligatures w14:val="none"/>
    </w:rPr>
  </w:style>
  <w:style w:type="paragraph" w:customStyle="1" w:styleId="cellheading">
    <w:name w:val="cellheading"/>
    <w:basedOn w:val="Normal"/>
    <w:rsid w:val="003B5892"/>
    <w:pPr>
      <w:spacing w:before="176" w:after="263" w:line="240" w:lineRule="auto"/>
    </w:pPr>
    <w:rPr>
      <w:rFonts w:ascii="Times New Roman" w:eastAsia="Times New Roman" w:hAnsi="Times New Roman" w:cs="Times New Roman"/>
      <w:kern w:val="0"/>
      <w:sz w:val="24"/>
      <w:szCs w:val="24"/>
      <w:lang w:val="uk-UA" w:eastAsia="uk-UA"/>
      <w14:ligatures w14:val="none"/>
    </w:rPr>
  </w:style>
  <w:style w:type="paragraph" w:customStyle="1" w:styleId="cellbodyl">
    <w:name w:val="cellbodyl"/>
    <w:basedOn w:val="Normal"/>
    <w:rsid w:val="003B5892"/>
    <w:pPr>
      <w:spacing w:before="176" w:after="263" w:line="240" w:lineRule="auto"/>
    </w:pPr>
    <w:rPr>
      <w:rFonts w:ascii="Times New Roman" w:eastAsia="Times New Roman" w:hAnsi="Times New Roman" w:cs="Times New Roman"/>
      <w:kern w:val="0"/>
      <w:sz w:val="24"/>
      <w:szCs w:val="24"/>
      <w:lang w:val="uk-UA" w:eastAsia="uk-UA"/>
      <w14:ligatures w14:val="none"/>
    </w:rPr>
  </w:style>
  <w:style w:type="character" w:customStyle="1" w:styleId="4TimesNewRoman7">
    <w:name w:val="Основной текст (4) + Times New Roman7"/>
    <w:aliases w:val="97,5 pt7,Не курсив7"/>
    <w:rsid w:val="003B5892"/>
    <w:rPr>
      <w:rFonts w:ascii="Times New Roman" w:hAnsi="Times New Roman" w:cs="Times New Roman"/>
      <w:i w:val="0"/>
      <w:iCs w:val="0"/>
      <w:spacing w:val="0"/>
      <w:sz w:val="19"/>
      <w:szCs w:val="19"/>
      <w:lang w:bidi="ar-SA"/>
    </w:rPr>
  </w:style>
  <w:style w:type="paragraph" w:customStyle="1" w:styleId="info">
    <w:name w:val="info"/>
    <w:basedOn w:val="Normal"/>
    <w:rsid w:val="003B5892"/>
    <w:pPr>
      <w:spacing w:before="100" w:beforeAutospacing="1" w:after="100" w:afterAutospacing="1" w:line="240" w:lineRule="auto"/>
    </w:pPr>
    <w:rPr>
      <w:rFonts w:ascii="Times New Roman" w:eastAsia="Times New Roman" w:hAnsi="Times New Roman" w:cs="Times New Roman"/>
      <w:kern w:val="0"/>
      <w:sz w:val="24"/>
      <w:szCs w:val="24"/>
      <w:lang w:val="ru-RU" w:eastAsia="ru-RU"/>
      <w14:ligatures w14:val="none"/>
    </w:rPr>
  </w:style>
  <w:style w:type="paragraph" w:customStyle="1" w:styleId="81">
    <w:name w:val="Обычный8"/>
    <w:rsid w:val="003B5892"/>
    <w:pPr>
      <w:widowControl w:val="0"/>
      <w:spacing w:after="0" w:line="240" w:lineRule="auto"/>
    </w:pPr>
    <w:rPr>
      <w:rFonts w:ascii="Arial" w:eastAsia="Times New Roman" w:hAnsi="Arial" w:cs="Times New Roman"/>
      <w:spacing w:val="-7"/>
      <w:kern w:val="0"/>
      <w:sz w:val="28"/>
      <w:szCs w:val="20"/>
      <w:lang w:val="uk-UA" w:eastAsia="ru-RU"/>
      <w14:ligatures w14:val="none"/>
    </w:rPr>
  </w:style>
  <w:style w:type="paragraph" w:customStyle="1" w:styleId="331">
    <w:name w:val="Основной текст с отступом 33"/>
    <w:basedOn w:val="81"/>
    <w:rsid w:val="003B5892"/>
    <w:pPr>
      <w:widowControl/>
      <w:ind w:firstLine="567"/>
      <w:jc w:val="both"/>
    </w:pPr>
    <w:rPr>
      <w:spacing w:val="0"/>
    </w:rPr>
  </w:style>
  <w:style w:type="paragraph" w:customStyle="1" w:styleId="afc">
    <w:name w:val="Нормальный"/>
    <w:rsid w:val="003B5892"/>
    <w:pPr>
      <w:spacing w:after="0" w:line="240" w:lineRule="auto"/>
    </w:pPr>
    <w:rPr>
      <w:rFonts w:ascii="Times New Roman" w:eastAsia="Times New Roman" w:hAnsi="Times New Roman" w:cs="Times New Roman"/>
      <w:snapToGrid w:val="0"/>
      <w:kern w:val="0"/>
      <w:sz w:val="20"/>
      <w:szCs w:val="20"/>
      <w:lang w:val="hr-HR" w:eastAsia="ru-RU"/>
      <w14:ligatures w14:val="none"/>
    </w:rPr>
  </w:style>
  <w:style w:type="paragraph" w:customStyle="1" w:styleId="BodyText10">
    <w:name w:val="Body Text1"/>
    <w:basedOn w:val="Normal"/>
    <w:rsid w:val="003B5892"/>
    <w:pPr>
      <w:shd w:val="clear" w:color="auto" w:fill="FFFF00"/>
      <w:tabs>
        <w:tab w:val="left" w:pos="0"/>
      </w:tabs>
      <w:spacing w:after="0" w:line="240" w:lineRule="auto"/>
      <w:jc w:val="both"/>
    </w:pPr>
    <w:rPr>
      <w:rFonts w:ascii="Times New Roman" w:eastAsia="Times New Roman" w:hAnsi="Times New Roman" w:cs="Times New Roman"/>
      <w:kern w:val="0"/>
      <w:sz w:val="28"/>
      <w:szCs w:val="28"/>
      <w:lang w:val="uk-UA" w:eastAsia="ru-RU"/>
      <w14:ligatures w14:val="none"/>
    </w:rPr>
  </w:style>
  <w:style w:type="paragraph" w:customStyle="1" w:styleId="213">
    <w:name w:val="Основний текст 21"/>
    <w:basedOn w:val="Normal"/>
    <w:rsid w:val="003B5892"/>
    <w:pPr>
      <w:overflowPunct w:val="0"/>
      <w:autoSpaceDE w:val="0"/>
      <w:autoSpaceDN w:val="0"/>
      <w:adjustRightInd w:val="0"/>
      <w:spacing w:after="0" w:line="360" w:lineRule="auto"/>
      <w:ind w:firstLine="709"/>
      <w:jc w:val="both"/>
      <w:textAlignment w:val="baseline"/>
    </w:pPr>
    <w:rPr>
      <w:rFonts w:ascii="Arial" w:eastAsia="Times New Roman" w:hAnsi="Arial" w:cs="Arial"/>
      <w:b/>
      <w:bCs/>
      <w:kern w:val="0"/>
      <w:sz w:val="24"/>
      <w:szCs w:val="24"/>
      <w:lang w:val="uk-UA" w:eastAsia="uk-UA"/>
      <w14:ligatures w14:val="none"/>
    </w:rPr>
  </w:style>
  <w:style w:type="paragraph" w:customStyle="1" w:styleId="1fb">
    <w:name w:val="Знак Знак1 Знак"/>
    <w:basedOn w:val="Normal"/>
    <w:rsid w:val="003B5892"/>
    <w:pPr>
      <w:spacing w:line="240" w:lineRule="exact"/>
    </w:pPr>
    <w:rPr>
      <w:rFonts w:ascii="Tahoma" w:eastAsia="Times New Roman" w:hAnsi="Tahoma" w:cs="Tahoma"/>
      <w:kern w:val="0"/>
      <w:sz w:val="28"/>
      <w:szCs w:val="28"/>
      <w14:ligatures w14:val="none"/>
    </w:rPr>
  </w:style>
  <w:style w:type="paragraph" w:customStyle="1" w:styleId="101">
    <w:name w:val="ДОК_МОНОЛИТ_10"/>
    <w:basedOn w:val="Normal"/>
    <w:autoRedefine/>
    <w:rsid w:val="003B5892"/>
    <w:pPr>
      <w:spacing w:after="0" w:line="240" w:lineRule="auto"/>
      <w:jc w:val="center"/>
    </w:pPr>
    <w:rPr>
      <w:rFonts w:ascii="Times New Roman" w:eastAsia="Times New Roman" w:hAnsi="Times New Roman" w:cs="Times New Roman"/>
      <w:noProof/>
      <w:kern w:val="0"/>
      <w:sz w:val="20"/>
      <w:szCs w:val="20"/>
      <w:lang w:val="uk-UA" w:eastAsia="ru-RU"/>
      <w14:ligatures w14:val="none"/>
    </w:rPr>
  </w:style>
  <w:style w:type="paragraph" w:customStyle="1" w:styleId="CharChar0">
    <w:name w:val="Char Char Знак Знак Знак Знак"/>
    <w:basedOn w:val="Normal"/>
    <w:rsid w:val="003B5892"/>
    <w:pPr>
      <w:spacing w:line="240" w:lineRule="exact"/>
    </w:pPr>
    <w:rPr>
      <w:rFonts w:ascii="Tahoma" w:eastAsia="Times New Roman" w:hAnsi="Tahoma" w:cs="Tahoma"/>
      <w:kern w:val="0"/>
      <w:sz w:val="28"/>
      <w:szCs w:val="28"/>
      <w14:ligatures w14:val="none"/>
    </w:rPr>
  </w:style>
  <w:style w:type="paragraph" w:customStyle="1" w:styleId="CharChar1">
    <w:name w:val="Знак Знак Знак Знак Знак Знак Знак Знак Знак Char Char"/>
    <w:basedOn w:val="Normal"/>
    <w:rsid w:val="003B5892"/>
    <w:pPr>
      <w:spacing w:line="240" w:lineRule="exact"/>
    </w:pPr>
    <w:rPr>
      <w:rFonts w:ascii="Tahoma" w:eastAsia="Times New Roman" w:hAnsi="Tahoma" w:cs="Tahoma"/>
      <w:kern w:val="0"/>
      <w:sz w:val="28"/>
      <w:szCs w:val="28"/>
      <w14:ligatures w14:val="none"/>
    </w:rPr>
  </w:style>
  <w:style w:type="paragraph" w:customStyle="1" w:styleId="CharChar2">
    <w:name w:val="Char Char Знак Знак Знак Знак Знак Знак"/>
    <w:basedOn w:val="Normal"/>
    <w:rsid w:val="003B5892"/>
    <w:pPr>
      <w:spacing w:line="240" w:lineRule="exact"/>
    </w:pPr>
    <w:rPr>
      <w:rFonts w:ascii="Tahoma" w:eastAsia="Times New Roman" w:hAnsi="Tahoma" w:cs="Tahoma"/>
      <w:kern w:val="0"/>
      <w:sz w:val="28"/>
      <w:szCs w:val="28"/>
      <w14:ligatures w14:val="none"/>
    </w:rPr>
  </w:style>
  <w:style w:type="paragraph" w:customStyle="1" w:styleId="CharChar3">
    <w:name w:val="Char Char Знак"/>
    <w:basedOn w:val="Normal"/>
    <w:rsid w:val="003B5892"/>
    <w:pPr>
      <w:spacing w:line="240" w:lineRule="exact"/>
    </w:pPr>
    <w:rPr>
      <w:rFonts w:ascii="Tahoma" w:eastAsia="Times New Roman" w:hAnsi="Tahoma" w:cs="Tahoma"/>
      <w:kern w:val="0"/>
      <w:sz w:val="20"/>
      <w:szCs w:val="20"/>
      <w14:ligatures w14:val="none"/>
    </w:rPr>
  </w:style>
  <w:style w:type="paragraph" w:customStyle="1" w:styleId="CharChar10">
    <w:name w:val="Char Char Знак Знак Знак Знак Знак Знак Знак Знак Знак Знак Знак Знак1"/>
    <w:basedOn w:val="Normal"/>
    <w:rsid w:val="003B5892"/>
    <w:pPr>
      <w:spacing w:line="240" w:lineRule="exact"/>
    </w:pPr>
    <w:rPr>
      <w:rFonts w:ascii="Tahoma" w:eastAsia="Times New Roman" w:hAnsi="Tahoma" w:cs="Tahoma"/>
      <w:kern w:val="0"/>
      <w:sz w:val="28"/>
      <w:szCs w:val="28"/>
      <w14:ligatures w14:val="none"/>
    </w:rPr>
  </w:style>
  <w:style w:type="paragraph" w:customStyle="1" w:styleId="CharChar4">
    <w:name w:val="Char Char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Normal"/>
    <w:rsid w:val="003B5892"/>
    <w:pPr>
      <w:spacing w:line="240" w:lineRule="exact"/>
    </w:pPr>
    <w:rPr>
      <w:rFonts w:ascii="Tahoma" w:eastAsia="Times New Roman" w:hAnsi="Tahoma" w:cs="Tahoma"/>
      <w:kern w:val="0"/>
      <w:sz w:val="28"/>
      <w:szCs w:val="28"/>
      <w14:ligatures w14:val="none"/>
    </w:rPr>
  </w:style>
  <w:style w:type="paragraph" w:customStyle="1" w:styleId="CharChar5">
    <w:name w:val="Char Char Знак Знак Знак Знак Знак Знак Знак Знак Знак Знак Знак Знак Знак Знак Знак Знак Знак Знак Знак Знак Знак Знак Знак Знак Знак Знак"/>
    <w:basedOn w:val="Normal"/>
    <w:rsid w:val="003B5892"/>
    <w:pPr>
      <w:spacing w:line="240" w:lineRule="exact"/>
    </w:pPr>
    <w:rPr>
      <w:rFonts w:ascii="Tahoma" w:eastAsia="Times New Roman" w:hAnsi="Tahoma" w:cs="Tahoma"/>
      <w:kern w:val="0"/>
      <w:sz w:val="28"/>
      <w:szCs w:val="28"/>
      <w14:ligatures w14:val="none"/>
    </w:rPr>
  </w:style>
  <w:style w:type="paragraph" w:customStyle="1" w:styleId="CharChar6">
    <w:name w:val="Char Char Знак Знак Знак Знак Знак Знак Знак Знак Знак Знак Знак Знак Знак Знак Знак Знак Знак Знак Знак Знак Знак Знак Знак Знак Знак Знак Знак"/>
    <w:basedOn w:val="Normal"/>
    <w:rsid w:val="003B5892"/>
    <w:pPr>
      <w:spacing w:line="240" w:lineRule="exact"/>
    </w:pPr>
    <w:rPr>
      <w:rFonts w:ascii="Tahoma" w:eastAsia="Times New Roman" w:hAnsi="Tahoma" w:cs="Tahoma"/>
      <w:kern w:val="0"/>
      <w:sz w:val="28"/>
      <w:szCs w:val="28"/>
      <w14:ligatures w14:val="none"/>
    </w:rPr>
  </w:style>
  <w:style w:type="paragraph" w:customStyle="1" w:styleId="CharChar7">
    <w:name w:val="Char Char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Normal"/>
    <w:rsid w:val="003B5892"/>
    <w:pPr>
      <w:spacing w:line="240" w:lineRule="exact"/>
    </w:pPr>
    <w:rPr>
      <w:rFonts w:ascii="Tahoma" w:eastAsia="Times New Roman" w:hAnsi="Tahoma" w:cs="Tahoma"/>
      <w:kern w:val="0"/>
      <w:sz w:val="28"/>
      <w:szCs w:val="28"/>
      <w14:ligatures w14:val="none"/>
    </w:rPr>
  </w:style>
  <w:style w:type="paragraph" w:customStyle="1" w:styleId="09">
    <w:name w:val="ДОК_МОНОЛИТ_09"/>
    <w:basedOn w:val="101"/>
    <w:autoRedefine/>
    <w:rsid w:val="003B5892"/>
    <w:pPr>
      <w:widowControl w:val="0"/>
      <w:shd w:val="clear" w:color="auto" w:fill="FFFFFF"/>
      <w:tabs>
        <w:tab w:val="left" w:pos="1354"/>
      </w:tabs>
      <w:autoSpaceDE w:val="0"/>
      <w:autoSpaceDN w:val="0"/>
      <w:adjustRightInd w:val="0"/>
      <w:ind w:right="23"/>
    </w:pPr>
    <w:rPr>
      <w:spacing w:val="-14"/>
      <w:sz w:val="18"/>
      <w:szCs w:val="18"/>
    </w:rPr>
  </w:style>
  <w:style w:type="paragraph" w:customStyle="1" w:styleId="CharChar8">
    <w:name w:val="Char Char Знак Знак Знак Знак Знак Знак Знак Знак Знак Знак Знак Знак Знак Знак Знак Знак Знак Знак Знак Знак Знак"/>
    <w:basedOn w:val="Normal"/>
    <w:rsid w:val="003B5892"/>
    <w:pPr>
      <w:spacing w:line="240" w:lineRule="exact"/>
    </w:pPr>
    <w:rPr>
      <w:rFonts w:ascii="Tahoma" w:eastAsia="Times New Roman" w:hAnsi="Tahoma" w:cs="Tahoma"/>
      <w:kern w:val="0"/>
      <w:sz w:val="28"/>
      <w:szCs w:val="28"/>
      <w14:ligatures w14:val="none"/>
    </w:rPr>
  </w:style>
  <w:style w:type="paragraph" w:customStyle="1" w:styleId="CharChar9">
    <w:name w:val="Знак Знак Знак Знак Знак Знак Знак Знак Знак Char Char Знак Знак"/>
    <w:basedOn w:val="Normal"/>
    <w:rsid w:val="003B5892"/>
    <w:pPr>
      <w:spacing w:line="240" w:lineRule="exact"/>
    </w:pPr>
    <w:rPr>
      <w:rFonts w:ascii="Tahoma" w:eastAsia="Times New Roman" w:hAnsi="Tahoma" w:cs="Tahoma"/>
      <w:kern w:val="0"/>
      <w:sz w:val="20"/>
      <w:szCs w:val="20"/>
      <w14:ligatures w14:val="none"/>
    </w:rPr>
  </w:style>
  <w:style w:type="paragraph" w:customStyle="1" w:styleId="CharChara">
    <w:name w:val="Char Char Знак Знак Знак Знак Знак Знак Знак Знак Знак"/>
    <w:basedOn w:val="Normal"/>
    <w:rsid w:val="003B5892"/>
    <w:pPr>
      <w:spacing w:line="240" w:lineRule="exact"/>
    </w:pPr>
    <w:rPr>
      <w:rFonts w:ascii="Tahoma" w:eastAsia="Times New Roman" w:hAnsi="Tahoma" w:cs="Tahoma"/>
      <w:kern w:val="0"/>
      <w:sz w:val="28"/>
      <w:szCs w:val="28"/>
      <w14:ligatures w14:val="none"/>
    </w:rPr>
  </w:style>
  <w:style w:type="paragraph" w:customStyle="1" w:styleId="240">
    <w:name w:val="Основной текст 24"/>
    <w:basedOn w:val="Normal"/>
    <w:rsid w:val="003B5892"/>
    <w:pPr>
      <w:overflowPunct w:val="0"/>
      <w:autoSpaceDE w:val="0"/>
      <w:autoSpaceDN w:val="0"/>
      <w:adjustRightInd w:val="0"/>
      <w:spacing w:after="0" w:line="240" w:lineRule="auto"/>
      <w:ind w:firstLine="1701"/>
    </w:pPr>
    <w:rPr>
      <w:rFonts w:ascii="Times New Roman" w:eastAsia="Times New Roman" w:hAnsi="Times New Roman" w:cs="Times New Roman"/>
      <w:kern w:val="0"/>
      <w:sz w:val="28"/>
      <w:szCs w:val="20"/>
      <w:lang w:val="uk-UA" w:eastAsia="ru-RU"/>
      <w14:ligatures w14:val="none"/>
    </w:rPr>
  </w:style>
  <w:style w:type="paragraph" w:customStyle="1" w:styleId="FR1">
    <w:name w:val="FR1"/>
    <w:rsid w:val="003B5892"/>
    <w:pPr>
      <w:widowControl w:val="0"/>
      <w:spacing w:before="2280" w:after="0" w:line="300" w:lineRule="auto"/>
      <w:ind w:left="2640" w:right="2200"/>
      <w:jc w:val="center"/>
    </w:pPr>
    <w:rPr>
      <w:rFonts w:ascii="Arial" w:eastAsia="Times New Roman" w:hAnsi="Arial" w:cs="Times New Roman"/>
      <w:b/>
      <w:kern w:val="0"/>
      <w:sz w:val="56"/>
      <w:szCs w:val="20"/>
      <w:lang w:val="uk-UA" w:eastAsia="ru-RU"/>
      <w14:ligatures w14:val="none"/>
    </w:rPr>
  </w:style>
  <w:style w:type="paragraph" w:customStyle="1" w:styleId="CharCharb">
    <w:name w:val="Char Char Знак Знак"/>
    <w:basedOn w:val="Normal"/>
    <w:rsid w:val="003B5892"/>
    <w:pPr>
      <w:spacing w:line="240" w:lineRule="exact"/>
    </w:pPr>
    <w:rPr>
      <w:rFonts w:ascii="Tahoma" w:eastAsia="Times New Roman" w:hAnsi="Tahoma" w:cs="Tahoma"/>
      <w:kern w:val="0"/>
      <w:sz w:val="20"/>
      <w:szCs w:val="20"/>
      <w:lang w:bidi="pa-IN"/>
      <w14:ligatures w14:val="none"/>
    </w:rPr>
  </w:style>
  <w:style w:type="paragraph" w:customStyle="1" w:styleId="555">
    <w:name w:val="555"/>
    <w:basedOn w:val="Normal"/>
    <w:rsid w:val="003B5892"/>
    <w:pPr>
      <w:spacing w:after="0" w:line="240" w:lineRule="auto"/>
      <w:ind w:firstLine="567"/>
      <w:jc w:val="both"/>
    </w:pPr>
    <w:rPr>
      <w:rFonts w:ascii="Times New Roman" w:eastAsia="Times New Roman" w:hAnsi="Times New Roman" w:cs="Times New Roman"/>
      <w:kern w:val="0"/>
      <w:sz w:val="28"/>
      <w:szCs w:val="20"/>
      <w:lang w:val="uk-UA" w:eastAsia="ru-RU"/>
      <w14:ligatures w14:val="none"/>
    </w:rPr>
  </w:style>
  <w:style w:type="paragraph" w:customStyle="1" w:styleId="CharCharc">
    <w:name w:val="Char Char Знак Знак Знак Знак Знак"/>
    <w:basedOn w:val="Normal"/>
    <w:rsid w:val="003B5892"/>
    <w:pPr>
      <w:spacing w:line="240" w:lineRule="exact"/>
    </w:pPr>
    <w:rPr>
      <w:rFonts w:ascii="Tahoma" w:eastAsia="Times New Roman" w:hAnsi="Tahoma" w:cs="Tahoma"/>
      <w:kern w:val="0"/>
      <w:sz w:val="20"/>
      <w:szCs w:val="20"/>
      <w:lang w:bidi="sd-Deva-IN"/>
      <w14:ligatures w14:val="none"/>
    </w:rPr>
  </w:style>
  <w:style w:type="paragraph" w:customStyle="1" w:styleId="91">
    <w:name w:val="Обычный9"/>
    <w:rsid w:val="003B5892"/>
    <w:pPr>
      <w:widowControl w:val="0"/>
      <w:spacing w:after="0" w:line="300" w:lineRule="auto"/>
      <w:ind w:firstLine="860"/>
      <w:jc w:val="both"/>
    </w:pPr>
    <w:rPr>
      <w:rFonts w:ascii="Times New Roman" w:eastAsia="Times New Roman" w:hAnsi="Times New Roman" w:cs="Raavi"/>
      <w:snapToGrid w:val="0"/>
      <w:kern w:val="0"/>
      <w:sz w:val="24"/>
      <w:szCs w:val="24"/>
      <w:lang w:val="uk-UA" w:eastAsia="ru-RU" w:bidi="sd-Deva-IN"/>
      <w14:ligatures w14:val="none"/>
    </w:rPr>
  </w:style>
  <w:style w:type="paragraph" w:customStyle="1" w:styleId="afd">
    <w:name w:val="Знак Знак Знак Знак Знак Знак Знак Знак Знак Знак"/>
    <w:basedOn w:val="Normal"/>
    <w:rsid w:val="003B5892"/>
    <w:pPr>
      <w:spacing w:line="240" w:lineRule="exact"/>
    </w:pPr>
    <w:rPr>
      <w:rFonts w:ascii="Tahoma" w:eastAsia="Times New Roman" w:hAnsi="Tahoma" w:cs="Tahoma"/>
      <w:kern w:val="0"/>
      <w:sz w:val="20"/>
      <w:szCs w:val="20"/>
      <w:lang w:bidi="sd-Deva-IN"/>
      <w14:ligatures w14:val="none"/>
    </w:rPr>
  </w:style>
  <w:style w:type="paragraph" w:customStyle="1" w:styleId="CharChard">
    <w:name w:val="Char Char Знак Знак Знак Знак Знак Знак Знак Знак Знак Знак Знак Знак Знак Знак Знак"/>
    <w:basedOn w:val="Normal"/>
    <w:rsid w:val="003B5892"/>
    <w:pPr>
      <w:spacing w:line="240" w:lineRule="exact"/>
    </w:pPr>
    <w:rPr>
      <w:rFonts w:ascii="Tahoma" w:eastAsia="Times New Roman" w:hAnsi="Tahoma" w:cs="Tahoma"/>
      <w:kern w:val="0"/>
      <w:sz w:val="28"/>
      <w:szCs w:val="28"/>
      <w14:ligatures w14:val="none"/>
    </w:rPr>
  </w:style>
  <w:style w:type="paragraph" w:customStyle="1" w:styleId="afe">
    <w:name w:val="Диссертация"/>
    <w:basedOn w:val="Normal"/>
    <w:rsid w:val="003B5892"/>
    <w:pPr>
      <w:overflowPunct w:val="0"/>
      <w:autoSpaceDE w:val="0"/>
      <w:autoSpaceDN w:val="0"/>
      <w:adjustRightInd w:val="0"/>
      <w:spacing w:after="0" w:line="480" w:lineRule="auto"/>
      <w:ind w:firstLine="709"/>
      <w:jc w:val="both"/>
    </w:pPr>
    <w:rPr>
      <w:rFonts w:ascii="Times New Roman" w:eastAsia="Times New Roman" w:hAnsi="Times New Roman" w:cs="Times New Roman"/>
      <w:kern w:val="0"/>
      <w:sz w:val="24"/>
      <w:szCs w:val="20"/>
      <w:lang w:val="ru-RU" w:eastAsia="ru-RU"/>
      <w14:ligatures w14:val="none"/>
    </w:rPr>
  </w:style>
  <w:style w:type="paragraph" w:customStyle="1" w:styleId="1fc">
    <w:name w:val="Текст1"/>
    <w:basedOn w:val="BodyText"/>
    <w:rsid w:val="003B5892"/>
    <w:pPr>
      <w:widowControl w:val="0"/>
      <w:spacing w:after="0" w:line="360" w:lineRule="auto"/>
      <w:ind w:firstLine="720"/>
      <w:jc w:val="both"/>
    </w:pPr>
    <w:rPr>
      <w:rFonts w:ascii="Times New Roman" w:hAnsi="Times New Roman"/>
      <w:snapToGrid w:val="0"/>
      <w:sz w:val="28"/>
      <w:lang w:eastAsia="ru-RU"/>
    </w:rPr>
  </w:style>
  <w:style w:type="character" w:customStyle="1" w:styleId="130">
    <w:name w:val="Знак Знак13"/>
    <w:rsid w:val="003B5892"/>
    <w:rPr>
      <w:sz w:val="22"/>
      <w:szCs w:val="22"/>
      <w:lang w:val="uk-UA"/>
    </w:rPr>
  </w:style>
  <w:style w:type="paragraph" w:customStyle="1" w:styleId="-3">
    <w:name w:val="Текст-3"/>
    <w:basedOn w:val="Normal"/>
    <w:rsid w:val="003B5892"/>
    <w:pPr>
      <w:widowControl w:val="0"/>
      <w:suppressLineNumbers/>
      <w:spacing w:after="0" w:line="360" w:lineRule="auto"/>
      <w:ind w:left="1134" w:hanging="567"/>
      <w:jc w:val="both"/>
    </w:pPr>
    <w:rPr>
      <w:rFonts w:ascii="Times New Roman" w:eastAsia="Times New Roman" w:hAnsi="Times New Roman" w:cs="Times New Roman"/>
      <w:kern w:val="0"/>
      <w:sz w:val="28"/>
      <w:szCs w:val="20"/>
      <w:lang w:val="uk-UA" w:eastAsia="ru-RU"/>
      <w14:ligatures w14:val="none"/>
    </w:rPr>
  </w:style>
  <w:style w:type="character" w:customStyle="1" w:styleId="74">
    <w:name w:val="Основной текст (7) + Курсив"/>
    <w:aliases w:val="Интервал 0 pt5"/>
    <w:rsid w:val="003B5892"/>
    <w:rPr>
      <w:i/>
      <w:iCs/>
      <w:noProof/>
      <w:spacing w:val="0"/>
      <w:sz w:val="25"/>
      <w:szCs w:val="25"/>
      <w:lang w:bidi="ar-SA"/>
    </w:rPr>
  </w:style>
  <w:style w:type="character" w:customStyle="1" w:styleId="92">
    <w:name w:val="Основной текст (9)_ Знак Знак"/>
    <w:link w:val="93"/>
    <w:rsid w:val="003B5892"/>
    <w:rPr>
      <w:spacing w:val="-5"/>
      <w:sz w:val="27"/>
      <w:szCs w:val="27"/>
      <w:shd w:val="clear" w:color="auto" w:fill="FFFFFF"/>
    </w:rPr>
  </w:style>
  <w:style w:type="paragraph" w:customStyle="1" w:styleId="93">
    <w:name w:val="Основной текст (9)_ Знак"/>
    <w:basedOn w:val="Normal"/>
    <w:link w:val="92"/>
    <w:rsid w:val="003B5892"/>
    <w:pPr>
      <w:widowControl w:val="0"/>
      <w:shd w:val="clear" w:color="auto" w:fill="FFFFFF"/>
      <w:spacing w:after="0" w:line="482" w:lineRule="exact"/>
      <w:jc w:val="both"/>
    </w:pPr>
    <w:rPr>
      <w:spacing w:val="-5"/>
      <w:sz w:val="27"/>
      <w:szCs w:val="27"/>
      <w:shd w:val="clear" w:color="auto" w:fill="FFFFFF"/>
    </w:rPr>
  </w:style>
  <w:style w:type="character" w:customStyle="1" w:styleId="102">
    <w:name w:val="Основной текст (10)_"/>
    <w:link w:val="103"/>
    <w:rsid w:val="003B5892"/>
    <w:rPr>
      <w:i/>
      <w:iCs/>
      <w:noProof/>
      <w:sz w:val="8"/>
      <w:szCs w:val="8"/>
      <w:shd w:val="clear" w:color="auto" w:fill="FFFFFF"/>
    </w:rPr>
  </w:style>
  <w:style w:type="paragraph" w:customStyle="1" w:styleId="103">
    <w:name w:val="Основной текст (10)"/>
    <w:basedOn w:val="Normal"/>
    <w:link w:val="102"/>
    <w:rsid w:val="003B5892"/>
    <w:pPr>
      <w:widowControl w:val="0"/>
      <w:shd w:val="clear" w:color="auto" w:fill="FFFFFF"/>
      <w:spacing w:after="0" w:line="240" w:lineRule="atLeast"/>
    </w:pPr>
    <w:rPr>
      <w:i/>
      <w:iCs/>
      <w:noProof/>
      <w:sz w:val="8"/>
      <w:szCs w:val="8"/>
      <w:shd w:val="clear" w:color="auto" w:fill="FFFFFF"/>
    </w:rPr>
  </w:style>
  <w:style w:type="character" w:customStyle="1" w:styleId="910pt">
    <w:name w:val="Основной текст (9) + 10 pt"/>
    <w:aliases w:val="Интервал 0 pt4"/>
    <w:rsid w:val="003B5892"/>
    <w:rPr>
      <w:rFonts w:ascii="Times New Roman" w:hAnsi="Times New Roman" w:cs="Times New Roman"/>
      <w:spacing w:val="-7"/>
      <w:sz w:val="20"/>
      <w:szCs w:val="20"/>
      <w:u w:val="none"/>
      <w:shd w:val="clear" w:color="auto" w:fill="FFFFFF"/>
    </w:rPr>
  </w:style>
  <w:style w:type="character" w:customStyle="1" w:styleId="910pt1">
    <w:name w:val="Основной текст (9) + 10 pt1"/>
    <w:aliases w:val="Интервал 0 pt3"/>
    <w:rsid w:val="003B5892"/>
    <w:rPr>
      <w:rFonts w:ascii="Times New Roman" w:hAnsi="Times New Roman" w:cs="Times New Roman"/>
      <w:noProof/>
      <w:spacing w:val="0"/>
      <w:sz w:val="20"/>
      <w:szCs w:val="20"/>
      <w:u w:val="none"/>
      <w:shd w:val="clear" w:color="auto" w:fill="FFFFFF"/>
    </w:rPr>
  </w:style>
  <w:style w:type="character" w:customStyle="1" w:styleId="94">
    <w:name w:val="Основной текст (9) + Курсив"/>
    <w:aliases w:val="Интервал 0 pt2"/>
    <w:rsid w:val="003B5892"/>
    <w:rPr>
      <w:rFonts w:ascii="Times New Roman" w:hAnsi="Times New Roman" w:cs="Times New Roman"/>
      <w:i/>
      <w:iCs/>
      <w:spacing w:val="-10"/>
      <w:sz w:val="27"/>
      <w:szCs w:val="27"/>
      <w:u w:val="none"/>
      <w:shd w:val="clear" w:color="auto" w:fill="FFFFFF"/>
    </w:rPr>
  </w:style>
  <w:style w:type="character" w:customStyle="1" w:styleId="117">
    <w:name w:val="Основной текст (11)_"/>
    <w:link w:val="118"/>
    <w:rsid w:val="003B5892"/>
    <w:rPr>
      <w:rFonts w:ascii="Arial Black" w:hAnsi="Arial Black"/>
      <w:noProof/>
      <w:sz w:val="8"/>
      <w:szCs w:val="8"/>
      <w:shd w:val="clear" w:color="auto" w:fill="FFFFFF"/>
    </w:rPr>
  </w:style>
  <w:style w:type="paragraph" w:customStyle="1" w:styleId="118">
    <w:name w:val="Основной текст (11)"/>
    <w:basedOn w:val="Normal"/>
    <w:link w:val="117"/>
    <w:rsid w:val="003B5892"/>
    <w:pPr>
      <w:widowControl w:val="0"/>
      <w:shd w:val="clear" w:color="auto" w:fill="FFFFFF"/>
      <w:spacing w:after="60" w:line="240" w:lineRule="atLeast"/>
    </w:pPr>
    <w:rPr>
      <w:rFonts w:ascii="Arial Black" w:hAnsi="Arial Black"/>
      <w:noProof/>
      <w:sz w:val="8"/>
      <w:szCs w:val="8"/>
      <w:shd w:val="clear" w:color="auto" w:fill="FFFFFF"/>
    </w:rPr>
  </w:style>
  <w:style w:type="character" w:customStyle="1" w:styleId="121">
    <w:name w:val="Основной текст + 12"/>
    <w:aliases w:val="5 pt"/>
    <w:rsid w:val="003B5892"/>
    <w:rPr>
      <w:rFonts w:ascii="Times New Roman" w:hAnsi="Times New Roman"/>
      <w:spacing w:val="-5"/>
      <w:sz w:val="25"/>
      <w:szCs w:val="25"/>
      <w:u w:val="none"/>
      <w:lang w:val="uk-UA" w:bidi="ar-SA"/>
    </w:rPr>
  </w:style>
  <w:style w:type="paragraph" w:customStyle="1" w:styleId="Style19">
    <w:name w:val="Style19"/>
    <w:basedOn w:val="Normal"/>
    <w:rsid w:val="003B5892"/>
    <w:pPr>
      <w:widowControl w:val="0"/>
      <w:autoSpaceDE w:val="0"/>
      <w:autoSpaceDN w:val="0"/>
      <w:adjustRightInd w:val="0"/>
      <w:spacing w:after="0" w:line="240" w:lineRule="auto"/>
      <w:jc w:val="center"/>
    </w:pPr>
    <w:rPr>
      <w:rFonts w:ascii="Times New Roman" w:eastAsia="Times New Roman" w:hAnsi="Times New Roman" w:cs="Times New Roman"/>
      <w:kern w:val="0"/>
      <w:sz w:val="24"/>
      <w:szCs w:val="24"/>
      <w:lang w:val="ru-RU" w:eastAsia="ru-RU"/>
      <w14:ligatures w14:val="none"/>
    </w:rPr>
  </w:style>
  <w:style w:type="character" w:customStyle="1" w:styleId="FontStyle213">
    <w:name w:val="Font Style213"/>
    <w:rsid w:val="003B5892"/>
    <w:rPr>
      <w:rFonts w:ascii="Times New Roman" w:hAnsi="Times New Roman" w:cs="Times New Roman"/>
      <w:b/>
      <w:bCs/>
      <w:sz w:val="16"/>
      <w:szCs w:val="16"/>
    </w:rPr>
  </w:style>
  <w:style w:type="character" w:customStyle="1" w:styleId="131">
    <w:name w:val="Основной текст + 13"/>
    <w:aliases w:val="5 pt11"/>
    <w:rsid w:val="003B5892"/>
    <w:rPr>
      <w:color w:val="000000"/>
      <w:spacing w:val="0"/>
      <w:w w:val="100"/>
      <w:position w:val="0"/>
      <w:sz w:val="27"/>
      <w:szCs w:val="27"/>
      <w:lang w:val="uk-UA" w:bidi="ar-SA"/>
    </w:rPr>
  </w:style>
  <w:style w:type="character" w:customStyle="1" w:styleId="numm">
    <w:name w:val="numm"/>
    <w:rsid w:val="003B5892"/>
  </w:style>
  <w:style w:type="paragraph" w:customStyle="1" w:styleId="1fd">
    <w:name w:val="1"/>
    <w:basedOn w:val="Normal"/>
    <w:rsid w:val="003B5892"/>
    <w:pPr>
      <w:spacing w:after="0" w:line="240" w:lineRule="auto"/>
    </w:pPr>
    <w:rPr>
      <w:rFonts w:ascii="Verdana" w:eastAsia="Times New Roman" w:hAnsi="Verdana" w:cs="Times New Roman"/>
      <w:kern w:val="0"/>
      <w:sz w:val="20"/>
      <w:szCs w:val="20"/>
      <w14:ligatures w14:val="none"/>
    </w:rPr>
  </w:style>
  <w:style w:type="character" w:customStyle="1" w:styleId="53">
    <w:name w:val="Знак Знак5"/>
    <w:rsid w:val="003B5892"/>
    <w:rPr>
      <w:sz w:val="36"/>
      <w:lang w:val="uk-UA"/>
    </w:rPr>
  </w:style>
  <w:style w:type="paragraph" w:customStyle="1" w:styleId="Style5">
    <w:name w:val="Style5"/>
    <w:basedOn w:val="Normal"/>
    <w:rsid w:val="003B5892"/>
    <w:pPr>
      <w:widowControl w:val="0"/>
      <w:autoSpaceDE w:val="0"/>
      <w:autoSpaceDN w:val="0"/>
      <w:adjustRightInd w:val="0"/>
      <w:spacing w:after="0" w:line="323" w:lineRule="exact"/>
      <w:ind w:firstLine="710"/>
      <w:jc w:val="both"/>
    </w:pPr>
    <w:rPr>
      <w:rFonts w:ascii="Times New Roman" w:eastAsia="Times New Roman" w:hAnsi="Times New Roman" w:cs="Times New Roman"/>
      <w:kern w:val="0"/>
      <w:sz w:val="24"/>
      <w:szCs w:val="24"/>
      <w:lang w:val="ru-RU" w:eastAsia="ru-RU"/>
      <w14:ligatures w14:val="none"/>
    </w:rPr>
  </w:style>
  <w:style w:type="paragraph" w:customStyle="1" w:styleId="aff">
    <w:name w:val="Стиль ББЛ"/>
    <w:basedOn w:val="Normal"/>
    <w:rsid w:val="003B5892"/>
    <w:pPr>
      <w:spacing w:after="0" w:line="360" w:lineRule="auto"/>
      <w:ind w:firstLine="720"/>
      <w:jc w:val="both"/>
    </w:pPr>
    <w:rPr>
      <w:rFonts w:ascii="Times New Roman" w:eastAsia="Times New Roman" w:hAnsi="Times New Roman" w:cs="Times New Roman"/>
      <w:kern w:val="0"/>
      <w:sz w:val="28"/>
      <w:szCs w:val="20"/>
      <w:lang w:val="uk-UA" w:eastAsia="ru-RU"/>
      <w14:ligatures w14:val="none"/>
    </w:rPr>
  </w:style>
  <w:style w:type="paragraph" w:customStyle="1" w:styleId="250">
    <w:name w:val="Основной текст 25"/>
    <w:basedOn w:val="Iauiue"/>
    <w:rsid w:val="003B5892"/>
    <w:pPr>
      <w:ind w:firstLine="567"/>
      <w:jc w:val="both"/>
    </w:pPr>
    <w:rPr>
      <w:sz w:val="28"/>
    </w:rPr>
  </w:style>
  <w:style w:type="character" w:customStyle="1" w:styleId="Style10">
    <w:name w:val="Style1 Знак"/>
    <w:link w:val="Style1"/>
    <w:rsid w:val="003B5892"/>
    <w:rPr>
      <w:rFonts w:ascii="Times New Roman" w:eastAsia="Times New Roman" w:hAnsi="Times New Roman" w:cs="Times New Roman"/>
      <w:kern w:val="0"/>
      <w:sz w:val="24"/>
      <w:szCs w:val="24"/>
      <w:lang w:val="ru-RU" w:eastAsia="ru-RU"/>
      <w14:ligatures w14:val="none"/>
    </w:rPr>
  </w:style>
  <w:style w:type="paragraph" w:customStyle="1" w:styleId="104">
    <w:name w:val="Обычный10"/>
    <w:rsid w:val="003B5892"/>
    <w:pPr>
      <w:spacing w:after="0" w:line="240" w:lineRule="auto"/>
    </w:pPr>
    <w:rPr>
      <w:rFonts w:ascii="Times New Roman" w:eastAsia="Times New Roman" w:hAnsi="Times New Roman" w:cs="Times New Roman"/>
      <w:kern w:val="0"/>
      <w:sz w:val="28"/>
      <w:szCs w:val="20"/>
      <w:lang w:val="ru-RU" w:eastAsia="ru-RU"/>
      <w14:ligatures w14:val="none"/>
    </w:rPr>
  </w:style>
  <w:style w:type="character" w:customStyle="1" w:styleId="FontStyle76">
    <w:name w:val="Font Style76"/>
    <w:rsid w:val="003B5892"/>
    <w:rPr>
      <w:rFonts w:ascii="Times New Roman" w:hAnsi="Times New Roman" w:cs="Times New Roman"/>
      <w:sz w:val="20"/>
      <w:szCs w:val="20"/>
    </w:rPr>
  </w:style>
  <w:style w:type="paragraph" w:customStyle="1" w:styleId="2f0">
    <w:name w:val="Основной текст+2"/>
    <w:basedOn w:val="Default"/>
    <w:next w:val="Default"/>
    <w:rsid w:val="003B5892"/>
    <w:rPr>
      <w:color w:val="auto"/>
    </w:rPr>
  </w:style>
  <w:style w:type="character" w:customStyle="1" w:styleId="312pt">
    <w:name w:val="Основний текст (3) + 12 pt"/>
    <w:aliases w:val="Не напівжирний,Основний текст (3) + 10 pt,Основний текст (4) + 12 pt"/>
    <w:rsid w:val="003B5892"/>
    <w:rPr>
      <w:rFonts w:ascii="Times New Roman" w:eastAsia="Times New Roman" w:hAnsi="Times New Roman" w:cs="Times New Roman"/>
      <w:b/>
      <w:bCs/>
      <w:i w:val="0"/>
      <w:iCs w:val="0"/>
      <w:smallCaps w:val="0"/>
      <w:strike w:val="0"/>
      <w:color w:val="000000"/>
      <w:spacing w:val="0"/>
      <w:w w:val="100"/>
      <w:position w:val="0"/>
      <w:sz w:val="24"/>
      <w:szCs w:val="24"/>
      <w:u w:val="none"/>
      <w:lang w:val="uk-UA" w:eastAsia="uk-UA" w:bidi="uk-UA"/>
    </w:rPr>
  </w:style>
  <w:style w:type="character" w:customStyle="1" w:styleId="47">
    <w:name w:val="Основний текст (4)_"/>
    <w:link w:val="48"/>
    <w:rsid w:val="003B5892"/>
    <w:rPr>
      <w:b/>
      <w:bCs/>
      <w:sz w:val="26"/>
      <w:szCs w:val="26"/>
      <w:shd w:val="clear" w:color="auto" w:fill="FFFFFF"/>
    </w:rPr>
  </w:style>
  <w:style w:type="paragraph" w:customStyle="1" w:styleId="48">
    <w:name w:val="Основний текст (4)"/>
    <w:basedOn w:val="Normal"/>
    <w:link w:val="47"/>
    <w:rsid w:val="003B5892"/>
    <w:pPr>
      <w:widowControl w:val="0"/>
      <w:shd w:val="clear" w:color="auto" w:fill="FFFFFF"/>
      <w:spacing w:after="780" w:line="418" w:lineRule="exact"/>
      <w:ind w:firstLine="660"/>
    </w:pPr>
    <w:rPr>
      <w:b/>
      <w:bCs/>
      <w:sz w:val="26"/>
      <w:szCs w:val="26"/>
    </w:rPr>
  </w:style>
  <w:style w:type="paragraph" w:customStyle="1" w:styleId="119">
    <w:name w:val="Обычный11"/>
    <w:rsid w:val="003B5892"/>
    <w:pPr>
      <w:widowControl w:val="0"/>
      <w:spacing w:after="0" w:line="240" w:lineRule="auto"/>
    </w:pPr>
    <w:rPr>
      <w:rFonts w:ascii="Arial" w:eastAsia="Times New Roman" w:hAnsi="Arial" w:cs="Times New Roman"/>
      <w:spacing w:val="-7"/>
      <w:kern w:val="0"/>
      <w:sz w:val="28"/>
      <w:szCs w:val="20"/>
      <w:lang w:val="uk-UA" w:eastAsia="ru-RU"/>
      <w14:ligatures w14:val="none"/>
    </w:rPr>
  </w:style>
  <w:style w:type="paragraph" w:customStyle="1" w:styleId="260">
    <w:name w:val="Основной текст 26"/>
    <w:basedOn w:val="Iauiue"/>
    <w:rsid w:val="003B5892"/>
    <w:pPr>
      <w:ind w:firstLine="567"/>
      <w:jc w:val="both"/>
    </w:pPr>
    <w:rPr>
      <w:sz w:val="28"/>
    </w:rPr>
  </w:style>
  <w:style w:type="character" w:customStyle="1" w:styleId="Heading1Char">
    <w:name w:val="Heading 1 Char"/>
    <w:basedOn w:val="DefaultParagraphFont"/>
    <w:rsid w:val="003B5892"/>
    <w:rPr>
      <w:rFonts w:ascii="Times New Roman" w:hAnsi="Times New Roman" w:cs="Times New Roman"/>
      <w:b/>
      <w:bCs/>
      <w:kern w:val="36"/>
      <w:sz w:val="48"/>
      <w:szCs w:val="48"/>
    </w:rPr>
  </w:style>
  <w:style w:type="paragraph" w:customStyle="1" w:styleId="NormalText">
    <w:name w:val="Normal Text"/>
    <w:basedOn w:val="Normal"/>
    <w:link w:val="NormalText0"/>
    <w:rsid w:val="003B5892"/>
    <w:pPr>
      <w:spacing w:after="0" w:line="240" w:lineRule="auto"/>
      <w:ind w:firstLine="567"/>
      <w:jc w:val="both"/>
    </w:pPr>
    <w:rPr>
      <w:rFonts w:ascii="Antiqua" w:eastAsia="Times New Roman" w:hAnsi="Antiqua" w:cs="Times New Roman"/>
      <w:kern w:val="0"/>
      <w:sz w:val="26"/>
      <w:szCs w:val="20"/>
      <w:lang w:val="uk-UA" w:eastAsia="ru-RU"/>
      <w14:ligatures w14:val="none"/>
    </w:rPr>
  </w:style>
  <w:style w:type="character" w:customStyle="1" w:styleId="NormalText0">
    <w:name w:val="Normal Text Знак"/>
    <w:link w:val="NormalText"/>
    <w:rsid w:val="003B5892"/>
    <w:rPr>
      <w:rFonts w:ascii="Antiqua" w:eastAsia="Times New Roman" w:hAnsi="Antiqua" w:cs="Times New Roman"/>
      <w:kern w:val="0"/>
      <w:sz w:val="26"/>
      <w:szCs w:val="20"/>
      <w:lang w:val="uk-UA" w:eastAsia="ru-RU"/>
      <w14:ligatures w14:val="none"/>
    </w:rPr>
  </w:style>
  <w:style w:type="paragraph" w:customStyle="1" w:styleId="1fe">
    <w:name w:val="Знак1 Знак Знак Знак Знак Знак Знак Знак Знак Знак Знак Знак Знак Знак Знак Знак"/>
    <w:basedOn w:val="Normal"/>
    <w:rsid w:val="003B5892"/>
    <w:pPr>
      <w:spacing w:after="0" w:line="240" w:lineRule="auto"/>
    </w:pPr>
    <w:rPr>
      <w:rFonts w:ascii="Verdana" w:eastAsia="Times New Roman" w:hAnsi="Verdana" w:cs="Verdana"/>
      <w:kern w:val="0"/>
      <w:sz w:val="20"/>
      <w:szCs w:val="20"/>
      <w14:ligatures w14:val="none"/>
    </w:rPr>
  </w:style>
  <w:style w:type="paragraph" w:customStyle="1" w:styleId="05">
    <w:name w:val="05___Текст статті"/>
    <w:rsid w:val="003B5892"/>
    <w:pPr>
      <w:spacing w:after="0" w:line="264" w:lineRule="auto"/>
      <w:ind w:firstLine="425"/>
      <w:jc w:val="both"/>
    </w:pPr>
    <w:rPr>
      <w:rFonts w:ascii="Times New Roman" w:eastAsia="Times New Roman" w:hAnsi="Times New Roman" w:cs="Times New Roman"/>
      <w:color w:val="333399"/>
      <w:kern w:val="0"/>
      <w:sz w:val="20"/>
      <w:szCs w:val="20"/>
      <w:lang w:val="uk-UA" w:eastAsia="ru-RU"/>
      <w14:ligatures w14:val="none"/>
    </w:rPr>
  </w:style>
  <w:style w:type="paragraph" w:customStyle="1" w:styleId="122">
    <w:name w:val="Обычный12"/>
    <w:rsid w:val="003B5892"/>
    <w:pPr>
      <w:widowControl w:val="0"/>
      <w:spacing w:after="0" w:line="240" w:lineRule="auto"/>
    </w:pPr>
    <w:rPr>
      <w:rFonts w:ascii="Arial" w:eastAsia="Times New Roman" w:hAnsi="Arial" w:cs="Times New Roman"/>
      <w:spacing w:val="-7"/>
      <w:kern w:val="0"/>
      <w:sz w:val="28"/>
      <w:szCs w:val="20"/>
      <w:lang w:val="uk-UA" w:eastAsia="ru-RU"/>
      <w14:ligatures w14:val="none"/>
    </w:rPr>
  </w:style>
  <w:style w:type="paragraph" w:customStyle="1" w:styleId="341">
    <w:name w:val="Основной текст с отступом 34"/>
    <w:basedOn w:val="122"/>
    <w:rsid w:val="003B5892"/>
    <w:pPr>
      <w:widowControl/>
      <w:ind w:firstLine="567"/>
      <w:jc w:val="both"/>
    </w:pPr>
    <w:rPr>
      <w:spacing w:val="0"/>
    </w:rPr>
  </w:style>
  <w:style w:type="character" w:customStyle="1" w:styleId="190">
    <w:name w:val="Основной текст (19)"/>
    <w:link w:val="191"/>
    <w:locked/>
    <w:rsid w:val="003B5892"/>
    <w:rPr>
      <w:rFonts w:ascii="Arial" w:hAnsi="Arial"/>
      <w:b/>
      <w:bCs/>
      <w:sz w:val="18"/>
      <w:szCs w:val="18"/>
      <w:shd w:val="clear" w:color="auto" w:fill="FFFFFF"/>
    </w:rPr>
  </w:style>
  <w:style w:type="paragraph" w:customStyle="1" w:styleId="191">
    <w:name w:val="Основной текст (19)1"/>
    <w:basedOn w:val="Normal"/>
    <w:link w:val="190"/>
    <w:rsid w:val="003B5892"/>
    <w:pPr>
      <w:shd w:val="clear" w:color="auto" w:fill="FFFFFF"/>
      <w:spacing w:after="180" w:line="230" w:lineRule="exact"/>
      <w:ind w:firstLine="300"/>
      <w:jc w:val="both"/>
    </w:pPr>
    <w:rPr>
      <w:rFonts w:ascii="Arial" w:hAnsi="Arial"/>
      <w:b/>
      <w:bCs/>
      <w:sz w:val="18"/>
      <w:szCs w:val="18"/>
    </w:rPr>
  </w:style>
  <w:style w:type="character" w:customStyle="1" w:styleId="38">
    <w:name w:val="Основной текст (3)_"/>
    <w:basedOn w:val="DefaultParagraphFont"/>
    <w:link w:val="39"/>
    <w:rsid w:val="003B5892"/>
    <w:rPr>
      <w:b/>
      <w:bCs/>
      <w:sz w:val="28"/>
      <w:szCs w:val="28"/>
      <w:shd w:val="clear" w:color="auto" w:fill="FFFFFF"/>
    </w:rPr>
  </w:style>
  <w:style w:type="paragraph" w:customStyle="1" w:styleId="39">
    <w:name w:val="Основной текст (3)"/>
    <w:basedOn w:val="Normal"/>
    <w:link w:val="38"/>
    <w:rsid w:val="003B5892"/>
    <w:pPr>
      <w:widowControl w:val="0"/>
      <w:shd w:val="clear" w:color="auto" w:fill="FFFFFF"/>
      <w:spacing w:before="240" w:after="600" w:line="336" w:lineRule="exact"/>
      <w:jc w:val="center"/>
    </w:pPr>
    <w:rPr>
      <w:b/>
      <w:bCs/>
      <w:sz w:val="28"/>
      <w:szCs w:val="28"/>
    </w:rPr>
  </w:style>
  <w:style w:type="paragraph" w:customStyle="1" w:styleId="aff0">
    <w:name w:val="Назва документа"/>
    <w:basedOn w:val="Normal"/>
    <w:next w:val="Normal"/>
    <w:rsid w:val="003B5892"/>
    <w:pPr>
      <w:keepNext/>
      <w:keepLines/>
      <w:spacing w:before="240" w:after="240" w:line="240" w:lineRule="auto"/>
      <w:jc w:val="center"/>
    </w:pPr>
    <w:rPr>
      <w:rFonts w:ascii="Antiqua" w:eastAsia="Times New Roman" w:hAnsi="Antiqua" w:cs="Times New Roman"/>
      <w:b/>
      <w:kern w:val="0"/>
      <w:sz w:val="26"/>
      <w:szCs w:val="20"/>
      <w:lang w:val="uk-UA" w:eastAsia="ru-RU"/>
      <w14:ligatures w14:val="none"/>
    </w:rPr>
  </w:style>
  <w:style w:type="paragraph" w:customStyle="1" w:styleId="ShapkaDocumentu">
    <w:name w:val="Shapka Documentu"/>
    <w:basedOn w:val="Normal"/>
    <w:rsid w:val="003B5892"/>
    <w:pPr>
      <w:keepNext/>
      <w:keepLines/>
      <w:spacing w:after="240" w:line="240" w:lineRule="auto"/>
      <w:ind w:left="3969"/>
      <w:jc w:val="center"/>
    </w:pPr>
    <w:rPr>
      <w:rFonts w:ascii="Antiqua" w:eastAsia="Times New Roman" w:hAnsi="Antiqua" w:cs="Times New Roman"/>
      <w:kern w:val="0"/>
      <w:sz w:val="26"/>
      <w:szCs w:val="20"/>
      <w:lang w:val="uk-UA" w:eastAsia="ru-RU"/>
      <w14:ligatures w14:val="none"/>
    </w:rPr>
  </w:style>
  <w:style w:type="paragraph" w:customStyle="1" w:styleId="rvps14">
    <w:name w:val="rvps14"/>
    <w:basedOn w:val="Normal"/>
    <w:rsid w:val="003B5892"/>
    <w:pPr>
      <w:spacing w:after="0" w:line="240" w:lineRule="auto"/>
    </w:pPr>
    <w:rPr>
      <w:rFonts w:ascii="Times New Roman" w:eastAsia="Times New Roman" w:hAnsi="Times New Roman" w:cs="Times New Roman"/>
      <w:kern w:val="0"/>
      <w:sz w:val="24"/>
      <w:szCs w:val="24"/>
      <w14:ligatures w14:val="none"/>
    </w:rPr>
  </w:style>
  <w:style w:type="paragraph" w:customStyle="1" w:styleId="rvps4">
    <w:name w:val="rvps4"/>
    <w:basedOn w:val="Normal"/>
    <w:rsid w:val="003B5892"/>
    <w:pPr>
      <w:spacing w:after="0" w:line="240" w:lineRule="auto"/>
      <w:jc w:val="center"/>
    </w:pPr>
    <w:rPr>
      <w:rFonts w:ascii="Times New Roman" w:eastAsia="Times New Roman" w:hAnsi="Times New Roman" w:cs="Times New Roman"/>
      <w:kern w:val="0"/>
      <w:sz w:val="24"/>
      <w:szCs w:val="24"/>
      <w14:ligatures w14:val="none"/>
    </w:rPr>
  </w:style>
  <w:style w:type="paragraph" w:customStyle="1" w:styleId="rvps1">
    <w:name w:val="rvps1"/>
    <w:basedOn w:val="Normal"/>
    <w:rsid w:val="003B5892"/>
    <w:pPr>
      <w:spacing w:after="0" w:line="240" w:lineRule="auto"/>
      <w:jc w:val="center"/>
    </w:pPr>
    <w:rPr>
      <w:rFonts w:ascii="Times New Roman" w:eastAsia="Times New Roman" w:hAnsi="Times New Roman" w:cs="Times New Roman"/>
      <w:kern w:val="0"/>
      <w:sz w:val="24"/>
      <w:szCs w:val="24"/>
      <w14:ligatures w14:val="none"/>
    </w:rPr>
  </w:style>
  <w:style w:type="character" w:customStyle="1" w:styleId="spanrvts23">
    <w:name w:val="span_rvts23"/>
    <w:basedOn w:val="DefaultParagraphFont"/>
    <w:rsid w:val="003B5892"/>
    <w:rPr>
      <w:rFonts w:ascii="Times New Roman" w:eastAsia="Times New Roman" w:hAnsi="Times New Roman" w:cs="Times New Roman"/>
      <w:b/>
      <w:bCs/>
      <w:i w:val="0"/>
      <w:iCs w:val="0"/>
      <w:sz w:val="32"/>
      <w:szCs w:val="32"/>
    </w:rPr>
  </w:style>
  <w:style w:type="character" w:customStyle="1" w:styleId="spanrvts9">
    <w:name w:val="span_rvts9"/>
    <w:basedOn w:val="DefaultParagraphFont"/>
    <w:rsid w:val="003B5892"/>
    <w:rPr>
      <w:rFonts w:ascii="Times New Roman" w:eastAsia="Times New Roman" w:hAnsi="Times New Roman" w:cs="Times New Roman"/>
      <w:b/>
      <w:bCs/>
      <w:i w:val="0"/>
      <w:iCs w:val="0"/>
      <w:sz w:val="24"/>
      <w:szCs w:val="24"/>
    </w:rPr>
  </w:style>
  <w:style w:type="paragraph" w:customStyle="1" w:styleId="gstkn">
    <w:name w:val="gs_tkn"/>
    <w:basedOn w:val="Normal"/>
    <w:rsid w:val="003B5892"/>
    <w:pPr>
      <w:spacing w:before="100" w:beforeAutospacing="1" w:after="100" w:afterAutospacing="1" w:line="240" w:lineRule="auto"/>
    </w:pPr>
    <w:rPr>
      <w:rFonts w:ascii="Times New Roman" w:eastAsia="Times New Roman" w:hAnsi="Times New Roman" w:cs="Times New Roman"/>
      <w:kern w:val="0"/>
      <w:sz w:val="24"/>
      <w:szCs w:val="24"/>
      <w:lang w:val="uk-UA" w:eastAsia="uk-UA"/>
      <w14:ligatures w14:val="none"/>
    </w:rPr>
  </w:style>
  <w:style w:type="character" w:customStyle="1" w:styleId="gstkn1">
    <w:name w:val="gs_tkn1"/>
    <w:basedOn w:val="DefaultParagraphFont"/>
    <w:rsid w:val="003B5892"/>
  </w:style>
  <w:style w:type="paragraph" w:customStyle="1" w:styleId="214">
    <w:name w:val="Цитата 21"/>
    <w:basedOn w:val="Normal"/>
    <w:next w:val="Normal"/>
    <w:uiPriority w:val="29"/>
    <w:qFormat/>
    <w:rsid w:val="003B5892"/>
    <w:pPr>
      <w:spacing w:before="160"/>
      <w:jc w:val="center"/>
    </w:pPr>
    <w:rPr>
      <w:i/>
      <w:iCs/>
      <w:color w:val="404040"/>
      <w:lang w:val="uk-UA"/>
      <w14:ligatures w14:val="none"/>
    </w:rPr>
  </w:style>
  <w:style w:type="character" w:customStyle="1" w:styleId="arvts96">
    <w:name w:val="a_rvts96"/>
    <w:basedOn w:val="DefaultParagraphFont"/>
    <w:rsid w:val="003B5892"/>
    <w:rPr>
      <w:rFonts w:ascii="Times New Roman" w:eastAsia="Times New Roman" w:hAnsi="Times New Roman" w:cs="Times New Roman"/>
      <w:b w:val="0"/>
      <w:bCs w:val="0"/>
      <w:i w:val="0"/>
      <w:iCs w:val="0"/>
      <w:color w:val="000099"/>
      <w:sz w:val="24"/>
      <w:szCs w:val="24"/>
    </w:rPr>
  </w:style>
  <w:style w:type="character" w:customStyle="1" w:styleId="215">
    <w:name w:val="Цитата 2 Знак1"/>
    <w:basedOn w:val="DefaultParagraphFont"/>
    <w:uiPriority w:val="29"/>
    <w:rsid w:val="003B5892"/>
    <w:rPr>
      <w:i/>
      <w:iCs/>
      <w:color w:val="000000"/>
    </w:rPr>
  </w:style>
  <w:style w:type="table" w:customStyle="1" w:styleId="132">
    <w:name w:val="Сетка таблицы13"/>
    <w:basedOn w:val="TableNormal"/>
    <w:next w:val="TableGrid"/>
    <w:uiPriority w:val="39"/>
    <w:rsid w:val="003B5892"/>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3B5892"/>
    <w:rPr>
      <w:color w:val="605E5C"/>
      <w:shd w:val="clear" w:color="auto" w:fill="E1DFDD"/>
    </w:rPr>
  </w:style>
  <w:style w:type="table" w:customStyle="1" w:styleId="142">
    <w:name w:val="Сетка таблицы14"/>
    <w:basedOn w:val="TableNormal"/>
    <w:next w:val="TableGrid"/>
    <w:uiPriority w:val="59"/>
    <w:rsid w:val="007F6AB4"/>
    <w:pPr>
      <w:spacing w:after="0" w:line="240" w:lineRule="auto"/>
    </w:pPr>
    <w:rPr>
      <w:rFonts w:eastAsia="Times New Roman"/>
      <w:kern w:val="0"/>
      <w:lang w:val="uk-UA" w:eastAsia="uk-U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TableNormal"/>
    <w:next w:val="TableGrid"/>
    <w:uiPriority w:val="59"/>
    <w:rsid w:val="0023456B"/>
    <w:pPr>
      <w:spacing w:after="0" w:line="240" w:lineRule="auto"/>
    </w:pPr>
    <w:rPr>
      <w:rFonts w:eastAsia="Times New Roman"/>
      <w:kern w:val="0"/>
      <w:lang w:val="uk-UA" w:eastAsia="uk-U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54590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6501581">
      <w:bodyDiv w:val="1"/>
      <w:marLeft w:val="0"/>
      <w:marRight w:val="0"/>
      <w:marTop w:val="0"/>
      <w:marBottom w:val="0"/>
      <w:divBdr>
        <w:top w:val="none" w:sz="0" w:space="0" w:color="auto"/>
        <w:left w:val="none" w:sz="0" w:space="0" w:color="auto"/>
        <w:bottom w:val="none" w:sz="0" w:space="0" w:color="auto"/>
        <w:right w:val="none" w:sz="0" w:space="0" w:color="auto"/>
      </w:divBdr>
    </w:div>
    <w:div w:id="871922244">
      <w:bodyDiv w:val="1"/>
      <w:marLeft w:val="0"/>
      <w:marRight w:val="0"/>
      <w:marTop w:val="0"/>
      <w:marBottom w:val="0"/>
      <w:divBdr>
        <w:top w:val="none" w:sz="0" w:space="0" w:color="auto"/>
        <w:left w:val="none" w:sz="0" w:space="0" w:color="auto"/>
        <w:bottom w:val="none" w:sz="0" w:space="0" w:color="auto"/>
        <w:right w:val="none" w:sz="0" w:space="0" w:color="auto"/>
      </w:divBdr>
    </w:div>
    <w:div w:id="1204290299">
      <w:bodyDiv w:val="1"/>
      <w:marLeft w:val="0"/>
      <w:marRight w:val="0"/>
      <w:marTop w:val="0"/>
      <w:marBottom w:val="0"/>
      <w:divBdr>
        <w:top w:val="none" w:sz="0" w:space="0" w:color="auto"/>
        <w:left w:val="none" w:sz="0" w:space="0" w:color="auto"/>
        <w:bottom w:val="none" w:sz="0" w:space="0" w:color="auto"/>
        <w:right w:val="none" w:sz="0" w:space="0" w:color="auto"/>
      </w:divBdr>
    </w:div>
    <w:div w:id="1262911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rmypubs.army.mil/epubs/DR_pubs/DR_a/ARN36735-FM_6-22-000-WEB-1.pdf" TargetMode="External"/><Relationship Id="rId299" Type="http://schemas.microsoft.com/office/2007/relationships/hdphoto" Target="media/hdphoto4.wdp"/><Relationship Id="rId21" Type="http://schemas.openxmlformats.org/officeDocument/2006/relationships/hyperlink" Target="https://orcid.org/%200000-0003-0011-7105" TargetMode="External"/><Relationship Id="rId63" Type="http://schemas.openxmlformats.org/officeDocument/2006/relationships/hyperlink" Target="https://doi.org/10.1016/j.ssaho.2025.101299" TargetMode="External"/><Relationship Id="rId159" Type="http://schemas.openxmlformats.org/officeDocument/2006/relationships/image" Target="media/image16.png"/><Relationship Id="rId324" Type="http://schemas.openxmlformats.org/officeDocument/2006/relationships/hyperlink" Target="https://kyiv.digital/storage/air-alert/stats.html" TargetMode="External"/><Relationship Id="rId366" Type="http://schemas.openxmlformats.org/officeDocument/2006/relationships/hyperlink" Target="https://nuou.org.ua/assets/documents/conf_ifksot_211124.pdf" TargetMode="External"/><Relationship Id="rId170" Type="http://schemas.openxmlformats.org/officeDocument/2006/relationships/hyperlink" Target="https://orcid.org/0000-0003-3267-1645" TargetMode="External"/><Relationship Id="rId226" Type="http://schemas.openxmlformats.org/officeDocument/2006/relationships/hyperlink" Target="https://znp-vo.nuou.org.ua/article/view/308660" TargetMode="External"/><Relationship Id="rId268" Type="http://schemas.openxmlformats.org/officeDocument/2006/relationships/hyperlink" Target="https://orcid.org/0000-0002-4737-1218" TargetMode="External"/><Relationship Id="rId32" Type="http://schemas.openxmlformats.org/officeDocument/2006/relationships/hyperlink" Target="https://warroom.armywarcollege.edu/articles/back-to-the-basics/" TargetMode="External"/><Relationship Id="rId74" Type="http://schemas.openxmlformats.org/officeDocument/2006/relationships/hyperlink" Target="https://doi.org/10.3389/fpsyg.2022.1009305" TargetMode="External"/><Relationship Id="rId128" Type="http://schemas.openxmlformats.org/officeDocument/2006/relationships/hyperlink" Target="https://armypubs.army.mil/epubs/DR_pubs/DR_a/ARN36735-FM_6-22-000-WEB-1.pdf" TargetMode="External"/><Relationship Id="rId335" Type="http://schemas.openxmlformats.org/officeDocument/2006/relationships/hyperlink" Target="https://doi.org/10.28925/2663-4023.2025.27.7722" TargetMode="External"/><Relationship Id="rId377" Type="http://schemas.openxmlformats.org/officeDocument/2006/relationships/hyperlink" Target="https://orcid.org/0000-0002-2802-0877" TargetMode="External"/><Relationship Id="rId5" Type="http://schemas.openxmlformats.org/officeDocument/2006/relationships/webSettings" Target="webSettings.xml"/><Relationship Id="rId181" Type="http://schemas.openxmlformats.org/officeDocument/2006/relationships/hyperlink" Target="https://zakon.rada.gov.ua/laws/show/48-2012-%D0%BF" TargetMode="External"/><Relationship Id="rId237" Type="http://schemas.openxmlformats.org/officeDocument/2006/relationships/hyperlink" Target="https://znp-vo.nuou.org.ua/article/view/308660" TargetMode="External"/><Relationship Id="rId279" Type="http://schemas.openxmlformats.org/officeDocument/2006/relationships/hyperlink" Target="https://ehea.info/media.ehea.info/file/Tuning_project/93/2/Tuning-Phase2-Final-Report_" TargetMode="External"/><Relationship Id="rId43" Type="http://schemas.openxmlformats.org/officeDocument/2006/relationships/hyperlink" Target="https://orcid.org/0000-0002-1694-401X" TargetMode="External"/><Relationship Id="rId139" Type="http://schemas.openxmlformats.org/officeDocument/2006/relationships/hyperlink" Target="https://doi.org/10.5281/zenodo.13152053" TargetMode="External"/><Relationship Id="rId290" Type="http://schemas.openxmlformats.org/officeDocument/2006/relationships/customXml" Target="ink/ink2.xml"/><Relationship Id="rId304" Type="http://schemas.openxmlformats.org/officeDocument/2006/relationships/image" Target="media/image36.png"/><Relationship Id="rId346" Type="http://schemas.openxmlformats.org/officeDocument/2006/relationships/hyperlink" Target="https://zakon.rada.gov.ua/laws/show/1208-2018-%D0%BF" TargetMode="External"/><Relationship Id="rId388" Type="http://schemas.openxmlformats.org/officeDocument/2006/relationships/hyperlink" Target="https://ipiend.gov.ua/wp-content/uploads/2021/01/Adaptyvni-zminy_monohraf_2023.pdf" TargetMode="External"/><Relationship Id="rId85" Type="http://schemas.openxmlformats.org/officeDocument/2006/relationships/hyperlink" Target="https://doi.org/10.1007/s10805-025-09639-7" TargetMode="External"/><Relationship Id="rId150" Type="http://schemas.openxmlformats.org/officeDocument/2006/relationships/hyperlink" Target="https://orcid.org/" TargetMode="External"/><Relationship Id="rId192" Type="http://schemas.openxmlformats.org/officeDocument/2006/relationships/hyperlink" Target="https://orcid.org/0009-0008-3709-7105" TargetMode="External"/><Relationship Id="rId206" Type="http://schemas.openxmlformats.org/officeDocument/2006/relationships/hyperlink" Target="https://doi.org/10.15421/342475" TargetMode="External"/><Relationship Id="rId248" Type="http://schemas.openxmlformats.org/officeDocument/2006/relationships/hyperlink" Target="https://www.google.com/search?q=https://zakon.rada.gov.ua/laws/show/1490-2022-%D0%BF" TargetMode="External"/><Relationship Id="rId12" Type="http://schemas.microsoft.com/office/2007/relationships/hdphoto" Target="media/hdphoto1.wdp"/><Relationship Id="rId108" Type="http://schemas.openxmlformats.org/officeDocument/2006/relationships/hyperlink" Target="https://doi.org/10.33099/2617-1783/2021-44/91-99" TargetMode="External"/><Relationship Id="rId315" Type="http://schemas.openxmlformats.org/officeDocument/2006/relationships/hyperlink" Target="https://doi.org/10.33407/itlt.v76i2.3220" TargetMode="External"/><Relationship Id="rId357" Type="http://schemas.openxmlformats.org/officeDocument/2006/relationships/image" Target="media/image44.png"/><Relationship Id="rId54" Type="http://schemas.openxmlformats.org/officeDocument/2006/relationships/hyperlink" Target="https://zakon.rada.gov.ua/laws/show/286-2022-%D1%80" TargetMode="External"/><Relationship Id="rId96" Type="http://schemas.openxmlformats.org/officeDocument/2006/relationships/hyperlink" Target="https://orcid.org/0000-0002-9015-813X" TargetMode="External"/><Relationship Id="rId161" Type="http://schemas.openxmlformats.org/officeDocument/2006/relationships/image" Target="media/image18.png"/><Relationship Id="rId217" Type="http://schemas.openxmlformats.org/officeDocument/2006/relationships/hyperlink" Target="https://orcid.org/0009-0001-8591-9440" TargetMode="External"/><Relationship Id="rId259" Type="http://schemas.openxmlformats.org/officeDocument/2006/relationships/hyperlink" Target="https://doi.org/10.32405/2309-3935-2024-4(95)-65-69" TargetMode="External"/><Relationship Id="rId23" Type="http://schemas.openxmlformats.org/officeDocument/2006/relationships/image" Target="media/image3.png"/><Relationship Id="rId119" Type="http://schemas.openxmlformats.org/officeDocument/2006/relationships/hyperlink" Target="https://doi.org/10.3389/fpsyg.2024.1401574" TargetMode="External"/><Relationship Id="rId270" Type="http://schemas.openxmlformats.org/officeDocument/2006/relationships/hyperlink" Target="https://zakon" TargetMode="External"/><Relationship Id="rId326" Type="http://schemas.openxmlformats.org/officeDocument/2006/relationships/image" Target="media/image41.png"/><Relationship Id="rId65" Type="http://schemas.openxmlformats.org/officeDocument/2006/relationships/hyperlink" Target="https://doi.org/10.55982/openpraxis.16.1.654" TargetMode="External"/><Relationship Id="rId130" Type="http://schemas.openxmlformats.org/officeDocument/2006/relationships/hyperlink" Target="https://doi.org/10.52058/2786-5274-2024-4(32)-928-937" TargetMode="External"/><Relationship Id="rId368" Type="http://schemas.openxmlformats.org/officeDocument/2006/relationships/hyperlink" Target="https://znp-vo.nuou.org.ua/article/view/294813" TargetMode="External"/><Relationship Id="rId172" Type="http://schemas.openxmlformats.org/officeDocument/2006/relationships/image" Target="media/image24.png"/><Relationship Id="rId228" Type="http://schemas.openxmlformats.org/officeDocument/2006/relationships/hyperlink" Target="https://www.researchgate.net/publication/379072539_Analiz_bojovogo_dosvidu_ekspluatacii_artilerijskih_sistem_ozbroenna_v_hodi_rosijsko-ukrainskoi_vijni" TargetMode="External"/><Relationship Id="rId281" Type="http://schemas.openxmlformats.org/officeDocument/2006/relationships/hyperlink" Target="https://mod.gov" TargetMode="External"/><Relationship Id="rId337" Type="http://schemas.openxmlformats.org/officeDocument/2006/relationships/hyperlink" Target="https://orcid.org/0000-0003-1042-8353" TargetMode="External"/><Relationship Id="rId34" Type="http://schemas.openxmlformats.org/officeDocument/2006/relationships/hyperlink" Target="https://smallwarsjournal.com/2026/01/16/ai-enabled-wargaming-cgsc/" TargetMode="External"/><Relationship Id="rId76" Type="http://schemas.openxmlformats.org/officeDocument/2006/relationships/hyperlink" Target="https://wordpress.kpu.ca/authenticassessment/files/2022/05/20019_ICAI-Fundamental-Values_R11.pdf" TargetMode="External"/><Relationship Id="rId141" Type="http://schemas.openxmlformats.org/officeDocument/2006/relationships/hyperlink" Target="https://doi.org/10.33405/2409-7470/2021/1/37/237822" TargetMode="External"/><Relationship Id="rId379" Type="http://schemas.openxmlformats.org/officeDocument/2006/relationships/hyperlink" Target="https://orcid.org/0000-0002-3209-9119" TargetMode="External"/><Relationship Id="rId7" Type="http://schemas.openxmlformats.org/officeDocument/2006/relationships/endnotes" Target="endnotes.xml"/><Relationship Id="rId183" Type="http://schemas.openxmlformats.org/officeDocument/2006/relationships/hyperlink" Target="http://nbuv.gov.ua/UJRN/znpnapv_ppn_2013_1_16" TargetMode="External"/><Relationship Id="rId239" Type="http://schemas.openxmlformats.org/officeDocument/2006/relationships/hyperlink" Target="https://www.researchgate.net/publication/379072539_Analiz_bojovogo_dosvidu_ekspluatacii_artilerijskih_sistem_ozbroenna_v_hodi_rosijsko-ukrainskoi_vijni" TargetMode="External"/><Relationship Id="rId390" Type="http://schemas.openxmlformats.org/officeDocument/2006/relationships/hyperlink" Target="https://doi.org/10.33577/2313-5603.40.2023.32-47" TargetMode="External"/><Relationship Id="rId250" Type="http://schemas.openxmlformats.org/officeDocument/2006/relationships/hyperlink" Target="https://savelife.in.ua/projects-vyshkil-kapitaniv/" TargetMode="External"/><Relationship Id="rId292" Type="http://schemas.openxmlformats.org/officeDocument/2006/relationships/customXml" Target="ink/ink3.xml"/><Relationship Id="rId306" Type="http://schemas.microsoft.com/office/2007/relationships/hdphoto" Target="media/hdphoto6.wdp"/><Relationship Id="rId45" Type="http://schemas.openxmlformats.org/officeDocument/2006/relationships/image" Target="media/image9.png"/><Relationship Id="rId87" Type="http://schemas.openxmlformats.org/officeDocument/2006/relationships/hyperlink" Target="https://doi.org/10.18662/rrem/14.4Sup1/656" TargetMode="External"/><Relationship Id="rId110" Type="http://schemas.openxmlformats.org/officeDocument/2006/relationships/hyperlink" Target="https://doi.org/10.33099/2617-6858-2023-72-2-103-112" TargetMode="External"/><Relationship Id="rId348" Type="http://schemas.openxmlformats.org/officeDocument/2006/relationships/hyperlink" Target="https://paperssds.eu/index.php/JSPSDS/article/view/20/18" TargetMode="External"/><Relationship Id="rId152" Type="http://schemas.openxmlformats.org/officeDocument/2006/relationships/hyperlink" Target="https://orcid.org/0000-0003-1487-0616" TargetMode="External"/><Relationship Id="rId194" Type="http://schemas.openxmlformats.org/officeDocument/2006/relationships/hyperlink" Target="http://mediaosvita.org.ua/wp-content/uploads/2016/12/%20&#1082;&#1086;&#1085;&#1094;&#1077;&#1087;&#1094;&#1110;&#1103;-&#1084;&#1077;&#1076;&#1110;&#1072;&#1086;&#1089;&#1074;&#1110;&#1090;&#1080;.pdf" TargetMode="External"/><Relationship Id="rId208" Type="http://schemas.openxmlformats.org/officeDocument/2006/relationships/hyperlink" Target="https://nauka.khmnu.edu.ua/wp-content/uploads/dysertatsiia-kiriakidi.pdf" TargetMode="External"/><Relationship Id="rId261" Type="http://schemas.openxmlformats.org/officeDocument/2006/relationships/hyperlink" Target="https://doi.org/10.5281/zenodo.15318764" TargetMode="External"/><Relationship Id="rId14" Type="http://schemas.openxmlformats.org/officeDocument/2006/relationships/hyperlink" Target="https://orcid.org/0000-0001-6565-9576" TargetMode="External"/><Relationship Id="rId56" Type="http://schemas.openxmlformats.org/officeDocument/2006/relationships/hyperlink" Target="https://doi.org/10.38014/osvita.2024.94.07" TargetMode="External"/><Relationship Id="rId317" Type="http://schemas.openxmlformats.org/officeDocument/2006/relationships/hyperlink" Target="https://irbis-nbuv.gov.ua/cgi-bin/irbis_nbuv/cgiirbis_64.exe" TargetMode="External"/><Relationship Id="rId359" Type="http://schemas.openxmlformats.org/officeDocument/2006/relationships/hyperlink" Target="https://nuou.org.ua/assets/documents/dr-kep-poly-23.pdf" TargetMode="External"/><Relationship Id="rId98" Type="http://schemas.openxmlformats.org/officeDocument/2006/relationships/hyperlink" Target="https://orcid.org/0000-0001-8488-8526" TargetMode="External"/><Relationship Id="rId121" Type="http://schemas.openxmlformats.org/officeDocument/2006/relationships/hyperlink" Target="https://doi.org/10.3390/admsci14040026" TargetMode="External"/><Relationship Id="rId163" Type="http://schemas.openxmlformats.org/officeDocument/2006/relationships/oleObject" Target="embeddings/Microsoft_Visio_2003-2010_Drawing1111.vsd"/><Relationship Id="rId219" Type="http://schemas.openxmlformats.org/officeDocument/2006/relationships/hyperlink" Target="https://vaodesa.mil.gov.ua/osvitno-profesiyni-naukovi-prohramy-ta-retsenzii/" TargetMode="External"/><Relationship Id="rId370" Type="http://schemas.openxmlformats.org/officeDocument/2006/relationships/hyperlink" Target="https://www.pedagogic-master.com.ua/public/semenova/slovnik.pdf" TargetMode="External"/><Relationship Id="rId230" Type="http://schemas.openxmlformats.org/officeDocument/2006/relationships/hyperlink" Target="https://vaodesa.mil.gov.ua/osvitno-profesiyni-naukovi-prohramy-ta-retsenzii/" TargetMode="External"/><Relationship Id="rId25" Type="http://schemas.openxmlformats.org/officeDocument/2006/relationships/image" Target="media/image5.png"/><Relationship Id="rId67" Type="http://schemas.openxmlformats.org/officeDocument/2006/relationships/hyperlink" Target="https://doi.org/10.1007/s10805-025-09639-7" TargetMode="External"/><Relationship Id="rId272" Type="http://schemas.openxmlformats.org/officeDocument/2006/relationships/hyperlink" Target="https://nazk.gov.ua/uk/nazk-predstavylo-unifikovanyy-plan-diy-dlya-vykonannya-rekomendatsiy-nato-schodo-dobrochesnosti-v-sektori-bezpeky-ta-oborony/" TargetMode="External"/><Relationship Id="rId328" Type="http://schemas.openxmlformats.org/officeDocument/2006/relationships/hyperlink" Target="https://doi.org/10.48550/arXiv.2411.14625" TargetMode="External"/><Relationship Id="rId132" Type="http://schemas.openxmlformats.org/officeDocument/2006/relationships/hyperlink" Target="https://doi.org/10.33099/2617-1783/2021-44/91-99" TargetMode="External"/><Relationship Id="rId174" Type="http://schemas.openxmlformats.org/officeDocument/2006/relationships/hyperlink" Target="https://orcid.org/0009-0006-7952-4801" TargetMode="External"/><Relationship Id="rId381" Type="http://schemas.openxmlformats.org/officeDocument/2006/relationships/image" Target="media/image45.png"/><Relationship Id="rId241" Type="http://schemas.openxmlformats.org/officeDocument/2006/relationships/hyperlink" Target="https://orcid.org/0000-0002-3699-353&#1061;" TargetMode="External"/><Relationship Id="rId36" Type="http://schemas.openxmlformats.org/officeDocument/2006/relationships/hyperlink" Target="https://orcid.org/0000-%200002-8907-%2098803" TargetMode="External"/><Relationship Id="rId283" Type="http://schemas.openxmlformats.org/officeDocument/2006/relationships/image" Target="media/image29.png"/><Relationship Id="rId339" Type="http://schemas.openxmlformats.org/officeDocument/2006/relationships/hyperlink" Target="http://nbuv.gov.ua/UJRN/apdyo_2011_2_29" TargetMode="External"/><Relationship Id="rId78" Type="http://schemas.openxmlformats.org/officeDocument/2006/relationships/hyperlink" Target="https://doi.org/10.32782/apv/2022.1.2.2" TargetMode="External"/><Relationship Id="rId101" Type="http://schemas.openxmlformats.org/officeDocument/2006/relationships/hyperlink" Target="https://doi.org/10.32453/3.v97i4.1772" TargetMode="External"/><Relationship Id="rId143" Type="http://schemas.openxmlformats.org/officeDocument/2006/relationships/hyperlink" Target="https://doi.org/10.32453/3.v97i4.1772" TargetMode="External"/><Relationship Id="rId185" Type="http://schemas.openxmlformats.org/officeDocument/2006/relationships/hyperlink" Target="URL:%20https://zakon.rada.gov.ua/laws/show/1556-18" TargetMode="External"/><Relationship Id="rId350" Type="http://schemas.openxmlformats.org/officeDocument/2006/relationships/hyperlink" Target="https://chelpanov.eeipsy.org/index.php/eeip/issue/view/7/PDF20" TargetMode="External"/><Relationship Id="rId9" Type="http://schemas.openxmlformats.org/officeDocument/2006/relationships/hyperlink" Target="http://nuou.org.ua/" TargetMode="External"/><Relationship Id="rId210" Type="http://schemas.openxmlformats.org/officeDocument/2006/relationships/hyperlink" Target="https://www.nato.int/en/about-us/official-texts-and-resources/strategic-concepts/nato-2022-strategic-concept" TargetMode="External"/><Relationship Id="rId392" Type="http://schemas.openxmlformats.org/officeDocument/2006/relationships/hyperlink" Target="http://ipzn.org.ua/wp-content/uploads/2016/01/Materialy-XV-naukovo-praktychnoyi-konferentsiyi-14-travnya-2015-roku.pdf" TargetMode="External"/><Relationship Id="rId252" Type="http://schemas.openxmlformats.org/officeDocument/2006/relationships/hyperlink" Target="https://zakon.rada.gov.ua/rada/show/v0175322-22" TargetMode="External"/><Relationship Id="rId294" Type="http://schemas.openxmlformats.org/officeDocument/2006/relationships/customXml" Target="ink/ink4.xml"/><Relationship Id="rId308" Type="http://schemas.microsoft.com/office/2007/relationships/hdphoto" Target="media/hdphoto7.wdp"/><Relationship Id="rId47" Type="http://schemas.openxmlformats.org/officeDocument/2006/relationships/hyperlink" Target="https://doi.org/10.32782/2663-6085/2024/77.2" TargetMode="External"/><Relationship Id="rId89" Type="http://schemas.openxmlformats.org/officeDocument/2006/relationships/hyperlink" Target="https://doi.org/10.1080/07294360.2024.2339833" TargetMode="External"/><Relationship Id="rId112" Type="http://schemas.openxmlformats.org/officeDocument/2006/relationships/hyperlink" Target="https://doi.org/10.30525/978-9934-26-225-8-17" TargetMode="External"/><Relationship Id="rId154" Type="http://schemas.openxmlformats.org/officeDocument/2006/relationships/image" Target="media/image11.png"/><Relationship Id="rId361" Type="http://schemas.openxmlformats.org/officeDocument/2006/relationships/hyperlink" Target="https://zakon.rada.gov.ua/go/v0452322-22" TargetMode="External"/><Relationship Id="rId196" Type="http://schemas.openxmlformats.org/officeDocument/2006/relationships/hyperlink" Target="https://nauka.khmnu.edu.ua/wp-content/uploads/dysertatsiia-kiriakidi.pdf" TargetMode="External"/><Relationship Id="rId16" Type="http://schemas.openxmlformats.org/officeDocument/2006/relationships/hyperlink" Target="https://nuou.org.ua/assets/%20dissertations/diser/dis_krasota_16_10_2020.pdf" TargetMode="External"/><Relationship Id="rId221" Type="http://schemas.openxmlformats.org/officeDocument/2006/relationships/hyperlink" Target="https://doi.org/10.33099/2617-1783/2024-50/48-67" TargetMode="External"/><Relationship Id="rId263" Type="http://schemas.openxmlformats.org/officeDocument/2006/relationships/hyperlink" Target="https://www.ukrmilitary.com/2020/01/osvita.html" TargetMode="External"/><Relationship Id="rId319" Type="http://schemas.openxmlformats.org/officeDocument/2006/relationships/hyperlink" Target="https://doi.org/10.30890/2709-1783.2024-32-00-020" TargetMode="External"/><Relationship Id="rId37" Type="http://schemas.openxmlformats.org/officeDocument/2006/relationships/hyperlink" Target="https://orcid.org/0000-%200002-0675-%209603" TargetMode="External"/><Relationship Id="rId58" Type="http://schemas.openxmlformats.org/officeDocument/2006/relationships/hyperlink" Target="http://dx.doi.org/10.5281/zenodo.7966703" TargetMode="External"/><Relationship Id="rId79" Type="http://schemas.openxmlformats.org/officeDocument/2006/relationships/hyperlink" Target="https://doi.org/10.55982/openpraxis.13.4.461" TargetMode="External"/><Relationship Id="rId102" Type="http://schemas.openxmlformats.org/officeDocument/2006/relationships/hyperlink" Target="https://www.uifuture.org/publications/news/25153-liderstvo/v/armii" TargetMode="External"/><Relationship Id="rId123" Type="http://schemas.openxmlformats.org/officeDocument/2006/relationships/hyperlink" Target="https://doi.org/10.33216/2220-6310/2024-110-3-16-27" TargetMode="External"/><Relationship Id="rId144" Type="http://schemas.openxmlformats.org/officeDocument/2006/relationships/hyperlink" Target="https://doi.org/10.24144/2788-6018.2025.04.1.31" TargetMode="External"/><Relationship Id="rId330" Type="http://schemas.openxmlformats.org/officeDocument/2006/relationships/hyperlink" Target="https://doi.org/10.28925/2663-4023.2025.27.7722" TargetMode="External"/><Relationship Id="rId90" Type="http://schemas.openxmlformats.org/officeDocument/2006/relationships/hyperlink" Target="https://doi.org/10.1007/s40979-024-00176-1" TargetMode="External"/><Relationship Id="rId165" Type="http://schemas.openxmlformats.org/officeDocument/2006/relationships/oleObject" Target="embeddings/Microsoft_Visio_2003-2010_Drawing12222.vsd"/><Relationship Id="rId186" Type="http://schemas.openxmlformats.org/officeDocument/2006/relationships/hyperlink" Target="https://zakon.rada.gov.ua/laws/show/z0453-24" TargetMode="External"/><Relationship Id="rId351" Type="http://schemas.openxmlformats.org/officeDocument/2006/relationships/hyperlink" Target="http://znp-vo.nuou.org.ua/article/view/156353" TargetMode="External"/><Relationship Id="rId372" Type="http://schemas.openxmlformats.org/officeDocument/2006/relationships/hyperlink" Target="https://nuou.org.ua/assets/dissertations/autoref/autoref-trakaliuk.pdf" TargetMode="External"/><Relationship Id="rId393" Type="http://schemas.openxmlformats.org/officeDocument/2006/relationships/hyperlink" Target="http://history.org.ua/LiberUA/Book/OUN1943/text.pdf" TargetMode="External"/><Relationship Id="rId211" Type="http://schemas.openxmlformats.org/officeDocument/2006/relationships/hyperlink" Target="https://gicid.unizar.es/wp-content/uploads/Building-Resiliency-Media-Literacy-as-a-Strategic-Defense-Strategy-for-the-Transatlantic.pdf" TargetMode="External"/><Relationship Id="rId232" Type="http://schemas.openxmlformats.org/officeDocument/2006/relationships/hyperlink" Target="https://doi.org/10.33099/2617-1783/2024-50/48-67" TargetMode="External"/><Relationship Id="rId253" Type="http://schemas.openxmlformats.org/officeDocument/2006/relationships/hyperlink" Target="https://mod.gov.ua/news/masshtabuvannya-sistemi-pidgotovki-aviaczijnogo-personalu-u-2025-roczi" TargetMode="External"/><Relationship Id="rId274" Type="http://schemas.openxmlformats.org/officeDocument/2006/relationships/hyperlink" Target="http://doi.org/10.7752/jpes.2024.06165" TargetMode="External"/><Relationship Id="rId295" Type="http://schemas.openxmlformats.org/officeDocument/2006/relationships/image" Target="media/image34.emf"/><Relationship Id="rId309" Type="http://schemas.openxmlformats.org/officeDocument/2006/relationships/image" Target="media/image39.png"/><Relationship Id="rId27" Type="http://schemas.openxmlformats.org/officeDocument/2006/relationships/image" Target="media/image7.png"/><Relationship Id="rId48" Type="http://schemas.openxmlformats.org/officeDocument/2006/relationships/hyperlink" Target="https://doi.org/10.37734/2409-6873-2023-3-11" TargetMode="External"/><Relationship Id="rId69" Type="http://schemas.openxmlformats.org/officeDocument/2006/relationships/hyperlink" Target="https://doi.org/10.18662/rrem/14.4Sup1/656" TargetMode="External"/><Relationship Id="rId113" Type="http://schemas.openxmlformats.org/officeDocument/2006/relationships/hyperlink" Target="http://nbuv.gov.ua/UJRN/vpm_2011_8(1)__64" TargetMode="External"/><Relationship Id="rId134" Type="http://schemas.openxmlformats.org/officeDocument/2006/relationships/hyperlink" Target="https://doi.org/10.2478/bjir-2025-0006" TargetMode="External"/><Relationship Id="rId320" Type="http://schemas.openxmlformats.org/officeDocument/2006/relationships/hyperlink" Target="https://orcid.org/0000-0002-8429-1866" TargetMode="External"/><Relationship Id="rId80" Type="http://schemas.openxmlformats.org/officeDocument/2006/relationships/hyperlink" Target="https://doi.org/10.3389/feduc.2025.1621743" TargetMode="External"/><Relationship Id="rId155" Type="http://schemas.openxmlformats.org/officeDocument/2006/relationships/image" Target="media/image12.png"/><Relationship Id="rId176" Type="http://schemas.openxmlformats.org/officeDocument/2006/relationships/image" Target="media/image25.png"/><Relationship Id="rId197" Type="http://schemas.openxmlformats.org/officeDocument/2006/relationships/hyperlink" Target="https://www.president.gov.ua/documents/6852021-41069" TargetMode="External"/><Relationship Id="rId341" Type="http://schemas.openxmlformats.org/officeDocument/2006/relationships/hyperlink" Target="http://btie.kart.edu.ua/article/view/127879" TargetMode="External"/><Relationship Id="rId362" Type="http://schemas.openxmlformats.org/officeDocument/2006/relationships/hyperlink" Target="https://reposit.uni-sport.edu.ua/bitstreams/68b81341-9122-490c-a5e0-61c27a3b679a/download" TargetMode="External"/><Relationship Id="rId383" Type="http://schemas.openxmlformats.org/officeDocument/2006/relationships/image" Target="media/image47.png"/><Relationship Id="rId201" Type="http://schemas.openxmlformats.org/officeDocument/2006/relationships/hyperlink" Target="https://doi.org/10.1080/15512169.2019.1621180" TargetMode="External"/><Relationship Id="rId222" Type="http://schemas.openxmlformats.org/officeDocument/2006/relationships/hyperlink" Target="https://znp-vo.nuou.org.ua/article/view/320540" TargetMode="External"/><Relationship Id="rId243" Type="http://schemas.openxmlformats.org/officeDocument/2006/relationships/image" Target="media/image28.png"/><Relationship Id="rId264" Type="http://schemas.openxmlformats.org/officeDocument/2006/relationships/hyperlink" Target="https://www.ukrinform.ua/rubric-ato/3787425-u-mezah-programi-deep-za-standartami-nato-projsli-pidgotovku-12-tisac-ukrainskih-vijskovih.html" TargetMode="External"/><Relationship Id="rId285" Type="http://schemas.openxmlformats.org/officeDocument/2006/relationships/image" Target="media/image30.png"/><Relationship Id="rId17" Type="http://schemas.openxmlformats.org/officeDocument/2006/relationships/hyperlink" Target="https://uk.wikipedia.org/wiki/&#1042;&#1110;&#1081;&#1089;&#1100;&#1082;&#1072;_&#1088;&#1072;&#1076;&#1110;&#1072;&#1094;&#1110;&#1081;&#1085;&#1086;&#1075;&#1086;,_&#1093;&#1110;&#1084;&#1110;&#1095;&#1085;&#1086;&#1075;&#1086;_&#1090;&#1072;_&#1073;&#1110;&#1086;&#1083;&#1086;&#1075;&#1110;&#1095;&#1085;&#1086;&#1075;&#1086;_&#1079;&#1072;&#1093;&#1080;&#1089;&#1090;&#1091;_&#1059;&#1082;&#1088;&#1072;&#1111;&#1085;&#1080;" TargetMode="External"/><Relationship Id="rId38" Type="http://schemas.openxmlformats.org/officeDocument/2006/relationships/header" Target="header1.xml"/><Relationship Id="rId59" Type="http://schemas.openxmlformats.org/officeDocument/2006/relationships/hyperlink" Target="http://umo.edu.ua/images/content/nashi_vydanya/metod_upr_osvit/v2_17/&#1063;&#1091;&#1084;&#1072;&#1082;.pdf" TargetMode="External"/><Relationship Id="rId103" Type="http://schemas.openxmlformats.org/officeDocument/2006/relationships/hyperlink" Target="https://doi.org/10.52058/2786-5274-2024-4(32)-928-937" TargetMode="External"/><Relationship Id="rId124" Type="http://schemas.openxmlformats.org/officeDocument/2006/relationships/hyperlink" Target="http://nbuv.gov.ua/UJRN/vpm_2011_8(1)__64" TargetMode="External"/><Relationship Id="rId310" Type="http://schemas.microsoft.com/office/2007/relationships/hdphoto" Target="media/hdphoto8.wdp"/><Relationship Id="rId70" Type="http://schemas.openxmlformats.org/officeDocument/2006/relationships/hyperlink" Target="https://doi.org/10.21432/cjlt28388" TargetMode="External"/><Relationship Id="rId91" Type="http://schemas.openxmlformats.org/officeDocument/2006/relationships/hyperlink" Target="https://doi.org/10.55016/ojs/cpai.v7i3.78123" TargetMode="External"/><Relationship Id="rId145" Type="http://schemas.openxmlformats.org/officeDocument/2006/relationships/hyperlink" Target="https://doi.org/10.62524/msj.2023.1.1.01" TargetMode="External"/><Relationship Id="rId166" Type="http://schemas.openxmlformats.org/officeDocument/2006/relationships/image" Target="media/image21.png"/><Relationship Id="rId187" Type="http://schemas.openxmlformats.org/officeDocument/2006/relationships/hyperlink" Target="https://mod.gov.ua/diyalnist/normativno-pravova-baza/nakaz-ministerstva-oboroni-ukraini-vid-24-06-2024-n-414-pro-zatverdzhennia-rozpodilu-osnovnikh-zavdan-z-podalshogo-rozvitku-viiskovoi-osviti-mizh-ministerstvom-oboroni-ukraini-ta-organami-viiskovogo" TargetMode="External"/><Relationship Id="rId331" Type="http://schemas.openxmlformats.org/officeDocument/2006/relationships/hyperlink" Target="https://doi.org/10.31673/2412-4338.2023.0161734" TargetMode="External"/><Relationship Id="rId352" Type="http://schemas.openxmlformats.org/officeDocument/2006/relationships/hyperlink" Target="http://nbuv.gov.ua/UJRN/socdevsec_2019_9_6_11" TargetMode="External"/><Relationship Id="rId373" Type="http://schemas.openxmlformats.org/officeDocument/2006/relationships/hyperlink" Target="https://dspace.luguniv.edu.ua/xmlui/bitstream/handle/123456789/2797/ped.umovi.pdf" TargetMode="External"/><Relationship Id="rId394" Type="http://schemas.openxmlformats.org/officeDocument/2006/relationships/hyperlink" Target="http://history.org.ua/LiberUA/978-966-02-7436-5/978-966-02-7436-5.pdf" TargetMode="External"/><Relationship Id="rId1" Type="http://schemas.openxmlformats.org/officeDocument/2006/relationships/customXml" Target="../customXml/item1.xml"/><Relationship Id="rId212" Type="http://schemas.openxmlformats.org/officeDocument/2006/relationships/hyperlink" Target="https://library.oapen.org/bitstream/handle/20.500.12657/102490/9781000168570.pdf" TargetMode="External"/><Relationship Id="rId233" Type="http://schemas.openxmlformats.org/officeDocument/2006/relationships/hyperlink" Target="https://znp-vo.nuou.org.ua/article/view/320540" TargetMode="External"/><Relationship Id="rId254" Type="http://schemas.openxmlformats.org/officeDocument/2006/relationships/hyperlink" Target="https://doi.org/10.33099/2617-1783/2021-43/64-78" TargetMode="External"/><Relationship Id="rId28" Type="http://schemas.openxmlformats.org/officeDocument/2006/relationships/hyperlink" Target="https://paxsims.wordpress.com/wp-content/uploads/2023/09/nato-wargaming-handbook-202309.pdf" TargetMode="External"/><Relationship Id="rId49" Type="http://schemas.openxmlformats.org/officeDocument/2006/relationships/hyperlink" Target="https://doi.org/10.32782/philspu/2023.3.26" TargetMode="External"/><Relationship Id="rId114" Type="http://schemas.openxmlformats.org/officeDocument/2006/relationships/hyperlink" Target="https://www.army.mod.uk/media/24335/20210923_army-leadership-doctrine-web_final.pdf" TargetMode="External"/><Relationship Id="rId275" Type="http://schemas.openxmlformats.org/officeDocument/2006/relationships/hyperlink" Target="https://zakon.rada.gov.ua/laws/show/1410-97-%D0%BF" TargetMode="External"/><Relationship Id="rId296" Type="http://schemas.openxmlformats.org/officeDocument/2006/relationships/customXml" Target="ink/ink5.xml"/><Relationship Id="rId300" Type="http://schemas.openxmlformats.org/officeDocument/2006/relationships/image" Target="media/image33.png"/><Relationship Id="rId60" Type="http://schemas.openxmlformats.org/officeDocument/2006/relationships/hyperlink" Target="https://doi.org/10.24139/2312&#8208;5993/2023.04/338&#8208;347" TargetMode="External"/><Relationship Id="rId81" Type="http://schemas.openxmlformats.org/officeDocument/2006/relationships/hyperlink" Target="https://doi.org/10.1016/j.ssaho.2025.101299" TargetMode="External"/><Relationship Id="rId135" Type="http://schemas.openxmlformats.org/officeDocument/2006/relationships/hyperlink" Target="https://kzmi.mil.gov.ua/images/stories/public_info/Doktryna_rozvytku_viysokovoho_liderstva_v_ZSU.pdf" TargetMode="External"/><Relationship Id="rId156" Type="http://schemas.openxmlformats.org/officeDocument/2006/relationships/image" Target="media/image13.png"/><Relationship Id="rId177" Type="http://schemas.openxmlformats.org/officeDocument/2006/relationships/image" Target="media/image26.png"/><Relationship Id="rId198" Type="http://schemas.openxmlformats.org/officeDocument/2006/relationships/hyperlink" Target="https://www.nato.int/en/about-us/official-texts-and-resources/strategic-concepts/nato-2022-strategic-concept" TargetMode="External"/><Relationship Id="rId321" Type="http://schemas.openxmlformats.org/officeDocument/2006/relationships/hyperlink" Target="https://www.nas.gov.ua/storage/editor/files/zvit-nanu-2024-ostatocn-redag.pdf" TargetMode="External"/><Relationship Id="rId342" Type="http://schemas.openxmlformats.org/officeDocument/2006/relationships/hyperlink" Target="https://chelpanov.eeipsy.org/index.php/eeip/issue/view/7/PDF20" TargetMode="External"/><Relationship Id="rId363" Type="http://schemas.openxmlformats.org/officeDocument/2006/relationships/hyperlink" Target="http://www.irbis-nbuv.gov.ua/cgi-bin/irbis_nbuv/cgiirbis_64.exe?I21DBN=LINK&amp;P21DBN=UJRN&amp;Z21ID=&amp;S21REF=10&amp;S21CNR=20&amp;S21STN=1&amp;S21FMT=ASP_meta&amp;C21COM=S&amp;2_S21P03=FILA=&amp;2_S21STR=pippo_2013_4_5" TargetMode="External"/><Relationship Id="rId384" Type="http://schemas.openxmlformats.org/officeDocument/2006/relationships/header" Target="header2.xml"/><Relationship Id="rId202" Type="http://schemas.openxmlformats.org/officeDocument/2006/relationships/hyperlink" Target="https://docs.google.com/forms/d/e/1FAIpQLScEzFpkEaWhma%20NCRuCETjY6lc-xQq8HnTGPAYBUCbLdWu5Lw/viewform" TargetMode="External"/><Relationship Id="rId223" Type="http://schemas.openxmlformats.org/officeDocument/2006/relationships/hyperlink" Target="http://ped-series.kpnu.edu.ua/article/view/296544" TargetMode="External"/><Relationship Id="rId244" Type="http://schemas.openxmlformats.org/officeDocument/2006/relationships/hyperlink" Target="https://doi.org/10.32453/pedzbirnyk.v30i3.1170" TargetMode="External"/><Relationship Id="rId18" Type="http://schemas.openxmlformats.org/officeDocument/2006/relationships/hyperlink" Target="https://nuou.org.ua/assets/dissertations/%20diser/dis_krasota_16_10_2020.pdf" TargetMode="External"/><Relationship Id="rId39" Type="http://schemas.openxmlformats.org/officeDocument/2006/relationships/footer" Target="footer1.xml"/><Relationship Id="rId265" Type="http://schemas.openxmlformats.org/officeDocument/2006/relationships/hyperlink" Target="https://www.ukrinform.ua/rubric-ato/3816702-standarti-nato-bezperervna-osvita-vid-lejtenantiv-do-generaliv.html" TargetMode="External"/><Relationship Id="rId286" Type="http://schemas.openxmlformats.org/officeDocument/2006/relationships/image" Target="media/image31.png"/><Relationship Id="rId50" Type="http://schemas.openxmlformats.org/officeDocument/2006/relationships/hyperlink" Target="https://doi.org/10.32461/2226-3209.2.2023.286871" TargetMode="External"/><Relationship Id="rId104" Type="http://schemas.openxmlformats.org/officeDocument/2006/relationships/hyperlink" Target="https://kzmi.mil.gov.ua/images/stories/public_info/Doktryna_rozvytku_viysokovoho_liderstva_v_ZSU.pdf" TargetMode="External"/><Relationship Id="rId125" Type="http://schemas.openxmlformats.org/officeDocument/2006/relationships/hyperlink" Target="https://doi.org/10.2478/kbo-2025-0007" TargetMode="External"/><Relationship Id="rId146" Type="http://schemas.openxmlformats.org/officeDocument/2006/relationships/hyperlink" Target="http://www.academy.ssu.gov.ua/ua/page/page_1581428857.htm" TargetMode="External"/><Relationship Id="rId167" Type="http://schemas.openxmlformats.org/officeDocument/2006/relationships/image" Target="media/image22.jpeg"/><Relationship Id="rId188" Type="http://schemas.openxmlformats.org/officeDocument/2006/relationships/hyperlink" Target="https://zakon.rada.gov.ua/laws/show/48-2012-%D0%BF" TargetMode="External"/><Relationship Id="rId311" Type="http://schemas.openxmlformats.org/officeDocument/2006/relationships/hyperlink" Target="https://doi.org/10.31812/ed.598" TargetMode="External"/><Relationship Id="rId332" Type="http://schemas.openxmlformats.org/officeDocument/2006/relationships/hyperlink" Target="https://doi.org/10.33099/2618-1614-2023-23-4-29-40" TargetMode="External"/><Relationship Id="rId353" Type="http://schemas.openxmlformats.org/officeDocument/2006/relationships/hyperlink" Target="http://zbirnyk.vaodessa.org.ua/images/zbirnyk_13/%D0%A7.%D0%86%D0%86_%D0%97%D0%9D%D0%9F_113_226-239.pdf" TargetMode="External"/><Relationship Id="rId374" Type="http://schemas.openxmlformats.org/officeDocument/2006/relationships/hyperlink" Target="https://nuou.org.ua/assets/documents/dr-kep-kyrp-25.pdf" TargetMode="External"/><Relationship Id="rId395" Type="http://schemas.openxmlformats.org/officeDocument/2006/relationships/hyperlink" Target="http://litopys.org.ua/pvlyar/yar.htm" TargetMode="External"/><Relationship Id="rId71" Type="http://schemas.openxmlformats.org/officeDocument/2006/relationships/hyperlink" Target="https://doi.org/10.1080/07294360.2024.2339833" TargetMode="External"/><Relationship Id="rId92" Type="http://schemas.openxmlformats.org/officeDocument/2006/relationships/hyperlink" Target="https://doi.org/10.3389/fpsyg.2022.1009305" TargetMode="External"/><Relationship Id="rId213" Type="http://schemas.openxmlformats.org/officeDocument/2006/relationships/hyperlink" Target="https://doi.org/10.1080/15512169.2019.1621180" TargetMode="External"/><Relationship Id="rId234" Type="http://schemas.openxmlformats.org/officeDocument/2006/relationships/hyperlink" Target="http://ped-series.kpnu.edu.ua/article/view/296544" TargetMode="External"/><Relationship Id="rId2" Type="http://schemas.openxmlformats.org/officeDocument/2006/relationships/numbering" Target="numbering.xml"/><Relationship Id="rId29" Type="http://schemas.openxmlformats.org/officeDocument/2006/relationships/hyperlink" Target="https://www.semanticscholar.org/paper/The-Art-of-Wargaming%3A-A-Guide-for-Professionals-and-Perla/f9856747da2bb06c7d25aae20af3e744aede69db" TargetMode="External"/><Relationship Id="rId255" Type="http://schemas.openxmlformats.org/officeDocument/2006/relationships/hyperlink" Target="https://doi.org/10.34069/AI/2024.77.05.4" TargetMode="External"/><Relationship Id="rId276" Type="http://schemas.openxmlformats.org/officeDocument/2006/relationships/hyperlink" Target="https://doi.org/10.33099/2618-1614-2023-23-4-14-22" TargetMode="External"/><Relationship Id="rId297" Type="http://schemas.openxmlformats.org/officeDocument/2006/relationships/image" Target="media/image35.emf"/><Relationship Id="rId40" Type="http://schemas.openxmlformats.org/officeDocument/2006/relationships/hyperlink" Target="http://oaji.net/%20articles/2020/727-1597904202.pdf" TargetMode="External"/><Relationship Id="rId115" Type="http://schemas.openxmlformats.org/officeDocument/2006/relationships/hyperlink" Target="https://doi.org/10.2478/kbo-2025-0007" TargetMode="External"/><Relationship Id="rId136" Type="http://schemas.openxmlformats.org/officeDocument/2006/relationships/hyperlink" Target="https://www.army.mod.uk/media/24335/20210923_army-leadership-doctrine-web_final.pdf" TargetMode="External"/><Relationship Id="rId157" Type="http://schemas.openxmlformats.org/officeDocument/2006/relationships/image" Target="media/image14.png"/><Relationship Id="rId178" Type="http://schemas.openxmlformats.org/officeDocument/2006/relationships/hyperlink" Target="https://mod.gov.ua/diyalnist/normativno-pravova-baza/strategiia-menedzhmentu-sistemi-viiskovoi-osviti" TargetMode="External"/><Relationship Id="rId301" Type="http://schemas.microsoft.com/office/2007/relationships/hdphoto" Target="media/hdphoto5.wdp"/><Relationship Id="rId322" Type="http://schemas.openxmlformats.org/officeDocument/2006/relationships/hyperlink" Target="https://doi.org/10.32702/2307-2105-2021.12.12" TargetMode="External"/><Relationship Id="rId343" Type="http://schemas.openxmlformats.org/officeDocument/2006/relationships/hyperlink" Target="http://znp-vo.nuou.org.ua/article/view/156353" TargetMode="External"/><Relationship Id="rId364" Type="http://schemas.openxmlformats.org/officeDocument/2006/relationships/hyperlink" Target="https://nuou.org.ua/assets/documents/zbirnuk-tez-2020-nni-fk-ta-sot.pdf" TargetMode="External"/><Relationship Id="rId61" Type="http://schemas.openxmlformats.org/officeDocument/2006/relationships/hyperlink" Target="https://doi.org/10.55982/openpraxis.13.4.461" TargetMode="External"/><Relationship Id="rId82" Type="http://schemas.openxmlformats.org/officeDocument/2006/relationships/hyperlink" Target="https://doi.org/10.3390/info16040296" TargetMode="External"/><Relationship Id="rId199" Type="http://schemas.openxmlformats.org/officeDocument/2006/relationships/hyperlink" Target="https://gicid.unizar.es/wp-content/uploads/Building-Resiliency-Media-Literacy-as-a-Strategic-Defense-Strategy-for-the-Transatlantic.pdf" TargetMode="External"/><Relationship Id="rId203" Type="http://schemas.openxmlformats.org/officeDocument/2006/relationships/hyperlink" Target="https://ia801705.us.archive.org/4/items/Various_PDFs%20/NeilPostman-AmusingOurselvesToDeath.pdf" TargetMode="External"/><Relationship Id="rId385" Type="http://schemas.openxmlformats.org/officeDocument/2006/relationships/footer" Target="footer2.xml"/><Relationship Id="rId19" Type="http://schemas.openxmlformats.org/officeDocument/2006/relationships/hyperlink" Target="https://uk.wikipedia.org/wiki/&#1042;&#1110;&#1081;&#1089;&#1100;&#1082;&#1072;_&#1088;&#1072;&#1076;&#1110;&#1072;&#1094;&#1110;&#1081;&#1085;&#1086;&#1075;&#1086;,_&#1093;&#1110;&#1084;&#1110;&#1095;&#1085;&#1086;&#1075;&#1086;_&#1090;&#1072;_&#1073;&#1110;&#1086;&#1083;&#1086;&#1075;&#1110;&#1095;&#1085;&#1086;&#1075;&#1086;_&#1079;&#1072;&#1093;&#1080;&#1089;&#1090;&#1091;_&#1059;&#1082;&#1088;&#1072;&#1111;&#1085;&#1080;" TargetMode="External"/><Relationship Id="rId224" Type="http://schemas.openxmlformats.org/officeDocument/2006/relationships/hyperlink" Target="https://znp-vo.nuou.org.ua/article/view/293485" TargetMode="External"/><Relationship Id="rId245" Type="http://schemas.openxmlformats.org/officeDocument/2006/relationships/hyperlink" Target="https://armyinform.com.ua/2022/10/02/u-kyyevi-stvoryly-unikalnyj-czentr-symulyacziyi-bojovyh-dij" TargetMode="External"/><Relationship Id="rId266" Type="http://schemas.openxmlformats.org/officeDocument/2006/relationships/hyperlink" Target="https://static.rusi.org/359-SR-Ukraine-Preliminary-Lessons-Feb-July-2022-web-final.pdf" TargetMode="External"/><Relationship Id="rId287" Type="http://schemas.microsoft.com/office/2007/relationships/hdphoto" Target="media/hdphoto3.wdp"/><Relationship Id="rId30" Type="http://schemas.openxmlformats.org/officeDocument/2006/relationships/hyperlink" Target="https://digital-commons.usnwc.edu/nwc-review/vol75/iss1/14" TargetMode="External"/><Relationship Id="rId105" Type="http://schemas.openxmlformats.org/officeDocument/2006/relationships/hyperlink" Target="https://doi.org/10.24144/2788-6018.2025.04.1.31" TargetMode="External"/><Relationship Id="rId126" Type="http://schemas.openxmlformats.org/officeDocument/2006/relationships/hyperlink" Target="https://doi.org/10.1002/job.4030150508" TargetMode="External"/><Relationship Id="rId147" Type="http://schemas.openxmlformats.org/officeDocument/2006/relationships/hyperlink" Target="https://orcid.org/0009-0009-7860-7818" TargetMode="External"/><Relationship Id="rId168" Type="http://schemas.openxmlformats.org/officeDocument/2006/relationships/image" Target="media/image23.jpeg"/><Relationship Id="rId312" Type="http://schemas.openxmlformats.org/officeDocument/2006/relationships/hyperlink" Target="https://hups.mil.gov.ua/wp-content/uploads/admission-university/osvita/Bi-SC075-007ENG.pdf" TargetMode="External"/><Relationship Id="rId333" Type="http://schemas.openxmlformats.org/officeDocument/2006/relationships/hyperlink" Target="https://doi.org/10.48550/arXiv.2411.14625" TargetMode="External"/><Relationship Id="rId354" Type="http://schemas.openxmlformats.org/officeDocument/2006/relationships/hyperlink" Target="https://orcid.org/0000-0002-7934-023X" TargetMode="External"/><Relationship Id="rId51" Type="http://schemas.openxmlformats.org/officeDocument/2006/relationships/hyperlink" Target="https://zakon.rada.gov.ua/laws/show/4742-20" TargetMode="External"/><Relationship Id="rId72" Type="http://schemas.openxmlformats.org/officeDocument/2006/relationships/hyperlink" Target="https://doi.org/10.1007/s40979-024-00176-1" TargetMode="External"/><Relationship Id="rId93" Type="http://schemas.openxmlformats.org/officeDocument/2006/relationships/hyperlink" Target="https://academicintegrity.eu/wp/wp-content/uploads/2022/07/Glossary_revised_final.pdf%20" TargetMode="External"/><Relationship Id="rId189" Type="http://schemas.openxmlformats.org/officeDocument/2006/relationships/hyperlink" Target="https://zakon.rada.gov.ua/laws/show/z1285-24" TargetMode="External"/><Relationship Id="rId375" Type="http://schemas.openxmlformats.org/officeDocument/2006/relationships/hyperlink" Target="https://lumenpublishing.com/journals/index.php/rrem/article/view/5307" TargetMode="External"/><Relationship Id="rId396" Type="http://schemas.openxmlformats.org/officeDocument/2006/relationships/hyperlink" Target="https://doi.org/10.36059/978-966-397-270-1-20" TargetMode="External"/><Relationship Id="rId3" Type="http://schemas.openxmlformats.org/officeDocument/2006/relationships/styles" Target="styles.xml"/><Relationship Id="rId214" Type="http://schemas.openxmlformats.org/officeDocument/2006/relationships/hyperlink" Target="https://docs.google.com/forms/d/e/1FAIpQLScEzFpkEa%20WhmaNCRuCETjY6lc-xQq8HnTGPAYBUCbLdWu5Lw/viewform" TargetMode="External"/><Relationship Id="rId235" Type="http://schemas.openxmlformats.org/officeDocument/2006/relationships/hyperlink" Target="https://znp-vo.nuou.org.ua/article/view/293485" TargetMode="External"/><Relationship Id="rId256" Type="http://schemas.openxmlformats.org/officeDocument/2006/relationships/hyperlink" Target="https://zakon.rada.gov.ua/rada/show/v0044322-22" TargetMode="External"/><Relationship Id="rId277" Type="http://schemas.openxmlformats.org/officeDocument/2006/relationships/hyperlink" Target="http://doi.org/10.7752/jpes.2024.06165" TargetMode="External"/><Relationship Id="rId298" Type="http://schemas.openxmlformats.org/officeDocument/2006/relationships/image" Target="media/image32.png"/><Relationship Id="rId116" Type="http://schemas.openxmlformats.org/officeDocument/2006/relationships/hyperlink" Target="https://doi.org/10.1002/job.4030150508" TargetMode="External"/><Relationship Id="rId137" Type="http://schemas.openxmlformats.org/officeDocument/2006/relationships/hyperlink" Target="https://doi.org/10.3389/fpsyg.2024.1401574" TargetMode="External"/><Relationship Id="rId158" Type="http://schemas.openxmlformats.org/officeDocument/2006/relationships/image" Target="media/image15.png"/><Relationship Id="rId302" Type="http://schemas.openxmlformats.org/officeDocument/2006/relationships/image" Target="media/image34.jpeg"/><Relationship Id="rId323" Type="http://schemas.openxmlformats.org/officeDocument/2006/relationships/hyperlink" Target="https://orcid.org/0000-0002-8429-1866" TargetMode="External"/><Relationship Id="rId344" Type="http://schemas.openxmlformats.org/officeDocument/2006/relationships/hyperlink" Target="http://nbuv.gov.ua/UJRN/socdevsec_2019_9_6_11" TargetMode="External"/><Relationship Id="rId20" Type="http://schemas.openxmlformats.org/officeDocument/2006/relationships/hyperlink" Target="https://orcid.org/0000-0002-8132-217X" TargetMode="External"/><Relationship Id="rId41" Type="http://schemas.openxmlformats.org/officeDocument/2006/relationships/hyperlink" Target="https://zakon.rada" TargetMode="External"/><Relationship Id="rId62" Type="http://schemas.openxmlformats.org/officeDocument/2006/relationships/hyperlink" Target="https://doi.org/10.3389/feduc.2025.1621743" TargetMode="External"/><Relationship Id="rId83" Type="http://schemas.openxmlformats.org/officeDocument/2006/relationships/hyperlink" Target="https://doi.org/10.55982/openpraxis.16.1.654" TargetMode="External"/><Relationship Id="rId179" Type="http://schemas.openxmlformats.org/officeDocument/2006/relationships/hyperlink" Target="https://zakon.rada.gov.ua/laws/show/1410-97-%D0%BF" TargetMode="External"/><Relationship Id="rId365" Type="http://schemas.openxmlformats.org/officeDocument/2006/relationships/hyperlink" Target="https://repository.ldufk.edu.ua/items/11124ffe-9f08-4dcf-8ed3-9f8f5a271f19" TargetMode="External"/><Relationship Id="rId386" Type="http://schemas.openxmlformats.org/officeDocument/2006/relationships/footer" Target="footer3.xml"/><Relationship Id="rId190" Type="http://schemas.openxmlformats.org/officeDocument/2006/relationships/hyperlink" Target="https://zakon.rada.gov.ua/rada/show/v0175322-22" TargetMode="External"/><Relationship Id="rId204" Type="http://schemas.openxmlformats.org/officeDocument/2006/relationships/hyperlink" Target="http://balakliya-school2.edu.kh.ua/Files/downloads/&#1055;&#1086;&#1089;&#1110;&#1073;&#1085;&#1080;&#1082;%20&#1087;&#1086;%20%20&#1084;&#1077;&#1076;&#1110;&#1072;&#1086;&#1089;&#1074;&#1110;&#1090;&#1110;.pdf" TargetMode="External"/><Relationship Id="rId225" Type="http://schemas.openxmlformats.org/officeDocument/2006/relationships/hyperlink" Target="https://znp-vo.nuou.org.ua/article/view/259471" TargetMode="External"/><Relationship Id="rId246" Type="http://schemas.openxmlformats.org/officeDocument/2006/relationships/hyperlink" Target="https://www.businessinsider.com/ukraine-drone-schools-always-updating-training-fight-rapidly-changes-2025-12" TargetMode="External"/><Relationship Id="rId267" Type="http://schemas.openxmlformats.org/officeDocument/2006/relationships/hyperlink" Target="https://orcid.org/0000-0001-6929-4236" TargetMode="External"/><Relationship Id="rId288" Type="http://schemas.openxmlformats.org/officeDocument/2006/relationships/customXml" Target="ink/ink1.xml"/><Relationship Id="rId106" Type="http://schemas.openxmlformats.org/officeDocument/2006/relationships/hyperlink" Target="https://doi.org/10.62524/msj.2023.1.1.01" TargetMode="External"/><Relationship Id="rId127" Type="http://schemas.openxmlformats.org/officeDocument/2006/relationships/hyperlink" Target="https://sprotyvg7.com.ua/wp-content/uploads/2023/05/FM-6-22.-%25D0%259B%25D1%2596%25D0%25B4%25D0%25B5%25D1%2580%25D1%2581%25D1%2582%25D0%25B2%25D0%25BE.pdf" TargetMode="External"/><Relationship Id="rId313" Type="http://schemas.openxmlformats.org/officeDocument/2006/relationships/hyperlink" Target="https://doi.org/10.31812/ed.598" TargetMode="External"/><Relationship Id="rId10" Type="http://schemas.openxmlformats.org/officeDocument/2006/relationships/image" Target="media/image1.jpeg"/><Relationship Id="rId31" Type="http://schemas.openxmlformats.org/officeDocument/2006/relationships/hyperlink" Target="https://www.gao.gov/products/gao-23-105351" TargetMode="External"/><Relationship Id="rId52" Type="http://schemas.openxmlformats.org/officeDocument/2006/relationships/hyperlink" Target="https://zakon.rada.gov.ua/laws/show/1556-18" TargetMode="External"/><Relationship Id="rId73" Type="http://schemas.openxmlformats.org/officeDocument/2006/relationships/hyperlink" Target="https://doi.org/10.55016/ojs/cpai.v7i3.78123" TargetMode="External"/><Relationship Id="rId94" Type="http://schemas.openxmlformats.org/officeDocument/2006/relationships/hyperlink" Target="https://wordpress.kpu.ca/authenticassessment/files/2022/05/20019_ICAI-Fundamental-Values_R11.pdf" TargetMode="External"/><Relationship Id="rId148" Type="http://schemas.openxmlformats.org/officeDocument/2006/relationships/hyperlink" Target="https://www.youtube.com/watch?v=3x-JRdREaGo/" TargetMode="External"/><Relationship Id="rId169" Type="http://schemas.openxmlformats.org/officeDocument/2006/relationships/hyperlink" Target="https://orcid.org/0000-0001-6881-560X" TargetMode="External"/><Relationship Id="rId334" Type="http://schemas.openxmlformats.org/officeDocument/2006/relationships/hyperlink" Target="https://doi.org/10.28925/2663-4023.2025.29.898" TargetMode="External"/><Relationship Id="rId355" Type="http://schemas.openxmlformats.org/officeDocument/2006/relationships/hyperlink" Target="https://orcid.org/0009-0005-3993-0664" TargetMode="External"/><Relationship Id="rId376" Type="http://schemas.openxmlformats.org/officeDocument/2006/relationships/hyperlink" Target="https://doi.org/10.18662/rrem/15.1/703" TargetMode="External"/><Relationship Id="rId397"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hyperlink" Target="https://zakon.rada.gov.ua/rada/show/v0637322-23" TargetMode="External"/><Relationship Id="rId215" Type="http://schemas.openxmlformats.org/officeDocument/2006/relationships/hyperlink" Target="https://doi.org/10.1080/10463283.2021.1876983" TargetMode="External"/><Relationship Id="rId236" Type="http://schemas.openxmlformats.org/officeDocument/2006/relationships/hyperlink" Target="https://znp-vo.nuou.org.ua/article/view/259471" TargetMode="External"/><Relationship Id="rId257" Type="http://schemas.openxmlformats.org/officeDocument/2006/relationships/hyperlink" Target="https://zakon.rada.gov.ua/laws/show/n0017525-16/ed20161229" TargetMode="External"/><Relationship Id="rId278" Type="http://schemas.openxmlformats.org/officeDocument/2006/relationships/hyperlink" Target="https://orcid.org/0000-0002-7718-3488" TargetMode="External"/><Relationship Id="rId303" Type="http://schemas.openxmlformats.org/officeDocument/2006/relationships/image" Target="media/image35.png"/><Relationship Id="rId42" Type="http://schemas.openxmlformats.org/officeDocument/2006/relationships/hyperlink" Target="https://zakon.rada.gov.ua/laws/show/2623-14" TargetMode="External"/><Relationship Id="rId84" Type="http://schemas.openxmlformats.org/officeDocument/2006/relationships/hyperlink" Target="https://doi.org/10.1007/s10805-024-09510-1" TargetMode="External"/><Relationship Id="rId138" Type="http://schemas.openxmlformats.org/officeDocument/2006/relationships/hyperlink" Target="https://doi.org/10.33099/2617-6858-2023-72-2-103-112" TargetMode="External"/><Relationship Id="rId345" Type="http://schemas.openxmlformats.org/officeDocument/2006/relationships/hyperlink" Target="http://zbirnyk.vaodessa.org.ua/images/zbirnyk_13/%D0%A7.%D0%86%D0%86_%D0%97%D0%9D%D0%9F_113_226-239.pdf" TargetMode="External"/><Relationship Id="rId387" Type="http://schemas.openxmlformats.org/officeDocument/2006/relationships/hyperlink" Target="https://doi.org/10.33577/2313-5603.40.2023.32-47" TargetMode="External"/><Relationship Id="rId191" Type="http://schemas.openxmlformats.org/officeDocument/2006/relationships/hyperlink" Target="https://zakon.rada.gov.ua/laws/show/z" TargetMode="External"/><Relationship Id="rId205" Type="http://schemas.openxmlformats.org/officeDocument/2006/relationships/hyperlink" Target="http://mediaosvita.org.ua/wp-content/uploads/2016/12/%D0%BA%D0%BE%D0%BD%D1%86%D0%B5%D0%BF%D1%86%D1%96%D1%8F-%D0%BC%D0%B5%D0%B4%D1%96%D0%B0%D0%BE%D1%81%D0%B2%D1%96%D1%82%D0%B8.pdf" TargetMode="External"/><Relationship Id="rId247" Type="http://schemas.openxmlformats.org/officeDocument/2006/relationships/hyperlink" Target="https://www.google.com/search?q=https://zakon.rada.gov.ua/laws/show/94-2015-%25D0%25BF" TargetMode="External"/><Relationship Id="rId107" Type="http://schemas.openxmlformats.org/officeDocument/2006/relationships/hyperlink" Target="http://www.academy.ssu.gov.ua/ua/page/page_1581428857.htm" TargetMode="External"/><Relationship Id="rId289" Type="http://schemas.openxmlformats.org/officeDocument/2006/relationships/image" Target="media/image31.emf"/><Relationship Id="rId11" Type="http://schemas.openxmlformats.org/officeDocument/2006/relationships/image" Target="media/image2.png"/><Relationship Id="rId53" Type="http://schemas.openxmlformats.org/officeDocument/2006/relationships/hyperlink" Target="https://zakon.rada.gov.ua/laws/show/2145-19" TargetMode="External"/><Relationship Id="rId149" Type="http://schemas.openxmlformats.org/officeDocument/2006/relationships/hyperlink" Target="https://orcid.org/0000-0002-2590-9291" TargetMode="External"/><Relationship Id="rId314" Type="http://schemas.openxmlformats.org/officeDocument/2006/relationships/hyperlink" Target="https://hups.mil.gov.ua/wp-content/uploads/admission-university/osvita/Bi-SC075-007ENG.pdf" TargetMode="External"/><Relationship Id="rId356" Type="http://schemas.openxmlformats.org/officeDocument/2006/relationships/image" Target="media/image43.png"/><Relationship Id="rId398" Type="http://schemas.openxmlformats.org/officeDocument/2006/relationships/theme" Target="theme/theme1.xml"/><Relationship Id="rId95" Type="http://schemas.openxmlformats.org/officeDocument/2006/relationships/hyperlink" Target="https://doi.org/10.1186/s41155-025-00367-w" TargetMode="External"/><Relationship Id="rId160" Type="http://schemas.openxmlformats.org/officeDocument/2006/relationships/image" Target="media/image17.png"/><Relationship Id="rId216" Type="http://schemas.openxmlformats.org/officeDocument/2006/relationships/hyperlink" Target="https://orcid.org/0000-0003-3071-0938" TargetMode="External"/><Relationship Id="rId258" Type="http://schemas.openxmlformats.org/officeDocument/2006/relationships/hyperlink" Target="https://connections-qj.org/system/files/21.3.41_Ukraine_PME_in_Ukrainian.pdf" TargetMode="External"/><Relationship Id="rId22" Type="http://schemas.openxmlformats.org/officeDocument/2006/relationships/hyperlink" Target="https://orcid.org/0000-0002-1687-1172" TargetMode="External"/><Relationship Id="rId64" Type="http://schemas.openxmlformats.org/officeDocument/2006/relationships/hyperlink" Target="https://doi.org/10.3390/info16040296" TargetMode="External"/><Relationship Id="rId118" Type="http://schemas.openxmlformats.org/officeDocument/2006/relationships/hyperlink" Target="https://doi.org/10.2478/bjir-2025-0006" TargetMode="External"/><Relationship Id="rId325" Type="http://schemas.openxmlformats.org/officeDocument/2006/relationships/image" Target="media/image40.png"/><Relationship Id="rId367" Type="http://schemas.openxmlformats.org/officeDocument/2006/relationships/hyperlink" Target="https://lib.iitta.gov.ua/id/eprint/2719/" TargetMode="External"/><Relationship Id="rId171" Type="http://schemas.openxmlformats.org/officeDocument/2006/relationships/hyperlink" Target="https://orcid.org/0000-0002-2240-5135" TargetMode="External"/><Relationship Id="rId227" Type="http://schemas.openxmlformats.org/officeDocument/2006/relationships/hyperlink" Target="https://znp-vo.nuou.org.ua/article/view/301257" TargetMode="External"/><Relationship Id="rId269" Type="http://schemas.openxmlformats.org/officeDocument/2006/relationships/hyperlink" Target="https://orcid.org/0000-0002-3933-9912" TargetMode="External"/><Relationship Id="rId33" Type="http://schemas.openxmlformats.org/officeDocument/2006/relationships/hyperlink" Target="https://www.goodreads.com/book/show/52843829-wargaming-handbook" TargetMode="External"/><Relationship Id="rId129" Type="http://schemas.openxmlformats.org/officeDocument/2006/relationships/hyperlink" Target="http://test.scripts.psu.edu/faculty/s/e/seh25/DeRueNahrgangWellmanHumphrey2011.pdf" TargetMode="External"/><Relationship Id="rId280" Type="http://schemas.openxmlformats.org/officeDocument/2006/relationships/hyperlink" Target="https://visnyk.nuou.org.ua/" TargetMode="External"/><Relationship Id="rId336" Type="http://schemas.openxmlformats.org/officeDocument/2006/relationships/hyperlink" Target="https://doi.org/10.31673/2412-4338.2023.0161734" TargetMode="External"/><Relationship Id="rId75" Type="http://schemas.openxmlformats.org/officeDocument/2006/relationships/hyperlink" Target="https://academicintegrity.eu/wp/wp-content/uploads/2022/07/Glossary_revised_final.pdf%20" TargetMode="External"/><Relationship Id="rId140" Type="http://schemas.openxmlformats.org/officeDocument/2006/relationships/hyperlink" Target="https://doi.org/10.3390/admsci14040026" TargetMode="External"/><Relationship Id="rId182" Type="http://schemas.openxmlformats.org/officeDocument/2006/relationships/hyperlink" Target="https://nuou.org.ua/assets/files/kvp/kvp-manevr-2023.pdf" TargetMode="External"/><Relationship Id="rId378" Type="http://schemas.openxmlformats.org/officeDocument/2006/relationships/hyperlink" Target="https://orcid.org/0000-0001-9758-4273" TargetMode="External"/><Relationship Id="rId6" Type="http://schemas.openxmlformats.org/officeDocument/2006/relationships/footnotes" Target="footnotes.xml"/><Relationship Id="rId238" Type="http://schemas.openxmlformats.org/officeDocument/2006/relationships/hyperlink" Target="https://znp-vo.nuou.org.ua/article/view/301257" TargetMode="External"/><Relationship Id="rId291" Type="http://schemas.openxmlformats.org/officeDocument/2006/relationships/image" Target="media/image32.emf"/><Relationship Id="rId305" Type="http://schemas.openxmlformats.org/officeDocument/2006/relationships/image" Target="media/image37.png"/><Relationship Id="rId347" Type="http://schemas.openxmlformats.org/officeDocument/2006/relationships/hyperlink" Target="http://nbuv.gov.ua/UJRN/apdyo_2011_2_29" TargetMode="External"/><Relationship Id="rId44" Type="http://schemas.openxmlformats.org/officeDocument/2006/relationships/image" Target="media/image8.png"/><Relationship Id="rId86" Type="http://schemas.openxmlformats.org/officeDocument/2006/relationships/hyperlink" Target="https://doi.org/10.1080/2331186X.2023.2289307" TargetMode="External"/><Relationship Id="rId151" Type="http://schemas.openxmlformats.org/officeDocument/2006/relationships/hyperlink" Target="https://orcid.org/" TargetMode="External"/><Relationship Id="rId389" Type="http://schemas.openxmlformats.org/officeDocument/2006/relationships/hyperlink" Target="https://ipiend.gov.ua/wp-content/uploads/2020/10/antropolohichnyi_kod_book2.pdf" TargetMode="External"/><Relationship Id="rId193" Type="http://schemas.openxmlformats.org/officeDocument/2006/relationships/hyperlink" Target="https://ia801705.us.archive.org/%204/items/Various_" TargetMode="External"/><Relationship Id="rId207" Type="http://schemas.openxmlformats.org/officeDocument/2006/relationships/hyperlink" Target="https://doi.org/10.51706/2707-3076-2021-4-4" TargetMode="External"/><Relationship Id="rId249" Type="http://schemas.openxmlformats.org/officeDocument/2006/relationships/hyperlink" Target="http://dx.doi.org/10.5281/zenodo.7739419" TargetMode="External"/><Relationship Id="rId13" Type="http://schemas.openxmlformats.org/officeDocument/2006/relationships/hyperlink" Target="https://orcid.org/0000-0001-8141-1407" TargetMode="External"/><Relationship Id="rId109" Type="http://schemas.openxmlformats.org/officeDocument/2006/relationships/hyperlink" Target="https://doi.org/10.33099/2617-6858-2018-50-2-51-58" TargetMode="External"/><Relationship Id="rId260" Type="http://schemas.openxmlformats.org/officeDocument/2006/relationships/hyperlink" Target="https://doi.org/10.33099/2617-1783/2025-51/196-210" TargetMode="External"/><Relationship Id="rId316" Type="http://schemas.openxmlformats.org/officeDocument/2006/relationships/hyperlink" Target="https://lib.iitta.gov.ua/id/eprint/7653/1/%D0%9F%D0%A0%D0%9E%D0%91%D0%9B%D0%95%D0%9C%D0%98%20%D0%9E%D0%A6%D0%86%D0%9D%D0%AE%D0%92%D0%90%D0%9D%D0%9D%D0%AF%20%D0%9E%D0%92%D0%A7%D0%90%D0%A0%D0%A3%D0%9A.pdf" TargetMode="External"/><Relationship Id="rId55" Type="http://schemas.openxmlformats.org/officeDocument/2006/relationships/hyperlink" Target="https://doi.org/10.52058/2786-5274-2022-2(4)-368-376" TargetMode="External"/><Relationship Id="rId97" Type="http://schemas.openxmlformats.org/officeDocument/2006/relationships/hyperlink" Target="https://orcid.org/0000-0002-8376-9688" TargetMode="External"/><Relationship Id="rId120" Type="http://schemas.openxmlformats.org/officeDocument/2006/relationships/hyperlink" Target="https://doi.org/10.5281/zenodo.13152053" TargetMode="External"/><Relationship Id="rId358" Type="http://schemas.openxmlformats.org/officeDocument/2006/relationships/hyperlink" Target="http://library.uipa.edu.ua/images/data/monografies/%20ryuhanova_2010.pdf" TargetMode="External"/><Relationship Id="rId162" Type="http://schemas.openxmlformats.org/officeDocument/2006/relationships/image" Target="media/image19.emf"/><Relationship Id="rId218" Type="http://schemas.openxmlformats.org/officeDocument/2006/relationships/image" Target="media/image27.png"/><Relationship Id="rId271" Type="http://schemas.openxmlformats.org/officeDocument/2006/relationships/hyperlink" Target="https://mod.gov.ua/diyalnist/normativno-pravova-baza/kodeks-dobrochesnoi-povedinki-ta-profesiinoi-etiki-viiskovikh-posadovikh-osib-derzhavnikh-sluzhbovtsiv-ta-inshikh-osib-upovnovazhenikh-na-vikonannia-funktsii-derzhavi-v-ministerstvi-oboroni-ukraini-ta" TargetMode="External"/><Relationship Id="rId24" Type="http://schemas.openxmlformats.org/officeDocument/2006/relationships/image" Target="media/image4.png"/><Relationship Id="rId66" Type="http://schemas.openxmlformats.org/officeDocument/2006/relationships/hyperlink" Target="https://doi.org/10.1007/s10805-024-09510-1" TargetMode="External"/><Relationship Id="rId131" Type="http://schemas.openxmlformats.org/officeDocument/2006/relationships/hyperlink" Target="https://www.uifuture.org/publications/news/25153-liderstvo/v/armii" TargetMode="External"/><Relationship Id="rId327" Type="http://schemas.openxmlformats.org/officeDocument/2006/relationships/image" Target="media/image42.png"/><Relationship Id="rId369" Type="http://schemas.openxmlformats.org/officeDocument/2006/relationships/hyperlink" Target="https://repository.ldufk.edu.ua/items/26b891ba-27c4-4ab5-8854-49629b006f76" TargetMode="External"/><Relationship Id="rId173" Type="http://schemas.openxmlformats.org/officeDocument/2006/relationships/hyperlink" Target="https://orcid.org/0009-0007-8437-9765" TargetMode="External"/><Relationship Id="rId229" Type="http://schemas.openxmlformats.org/officeDocument/2006/relationships/hyperlink" Target="https://znp-vo.nuou.org.ua/article/view/352250" TargetMode="External"/><Relationship Id="rId380" Type="http://schemas.openxmlformats.org/officeDocument/2006/relationships/hyperlink" Target="https://orcid.org/0000-0003-3691-662X" TargetMode="External"/><Relationship Id="rId240" Type="http://schemas.openxmlformats.org/officeDocument/2006/relationships/hyperlink" Target="https://znp-vo.nuou.org.ua/article/view/352250" TargetMode="External"/><Relationship Id="rId35" Type="http://schemas.openxmlformats.org/officeDocument/2006/relationships/hyperlink" Target="https://orcid.org/0009-0006-7952-4801" TargetMode="External"/><Relationship Id="rId77" Type="http://schemas.openxmlformats.org/officeDocument/2006/relationships/hyperlink" Target="https://doi.org/10.1186/s41155-025-00367-w" TargetMode="External"/><Relationship Id="rId100" Type="http://schemas.openxmlformats.org/officeDocument/2006/relationships/hyperlink" Target="https://sprotyvg7.com.ua/wp-content/uploads/2023/05/FM-6-22.-%25D0%259B%25D1%2596%25D0%25B4%25D0%25B5%25D1%2580%25D1%2581%25D1%2582%25D0%25B2%25D0%25BE.pdf" TargetMode="External"/><Relationship Id="rId282" Type="http://schemas.openxmlformats.org/officeDocument/2006/relationships/hyperlink" Target="https://mir.dspu.edu.ua/" TargetMode="External"/><Relationship Id="rId338" Type="http://schemas.openxmlformats.org/officeDocument/2006/relationships/hyperlink" Target="https://zakon.rada.gov.ua/laws/show/1208-2018-%D0%BF" TargetMode="External"/><Relationship Id="rId8" Type="http://schemas.openxmlformats.org/officeDocument/2006/relationships/hyperlink" Target="http://nuou.org.ua/" TargetMode="External"/><Relationship Id="rId142" Type="http://schemas.openxmlformats.org/officeDocument/2006/relationships/hyperlink" Target="https://doi.org/10.30525/978-9934-26-225-8-17" TargetMode="External"/><Relationship Id="rId184" Type="http://schemas.openxmlformats.org/officeDocument/2006/relationships/hyperlink" Target="http://nbuv.gov.ua/UJRN/isp_2014_7_9" TargetMode="External"/><Relationship Id="rId391" Type="http://schemas.openxmlformats.org/officeDocument/2006/relationships/hyperlink" Target="http://ipzn.org.ua/wp-content/uploads/2016/01/Materialy-XV-naukovo-praktychnoyi-konferentsiyi-14-travnya-2015-roku.pdf" TargetMode="External"/><Relationship Id="rId251" Type="http://schemas.openxmlformats.org/officeDocument/2006/relationships/hyperlink" Target="https://doi.org/10.24195/2617-6688-2025-3-15" TargetMode="External"/><Relationship Id="rId46" Type="http://schemas.openxmlformats.org/officeDocument/2006/relationships/hyperlink" Target="https://doi.org/10.36887/2415-8453-2024-3-1" TargetMode="External"/><Relationship Id="rId293" Type="http://schemas.openxmlformats.org/officeDocument/2006/relationships/image" Target="media/image33.emf"/><Relationship Id="rId307" Type="http://schemas.openxmlformats.org/officeDocument/2006/relationships/image" Target="media/image38.png"/><Relationship Id="rId349" Type="http://schemas.openxmlformats.org/officeDocument/2006/relationships/hyperlink" Target="http://btie.kart.edu.ua/article/view/127879" TargetMode="External"/><Relationship Id="rId88" Type="http://schemas.openxmlformats.org/officeDocument/2006/relationships/hyperlink" Target="https://doi.org/10.21432/cjlt28388" TargetMode="External"/><Relationship Id="rId111" Type="http://schemas.openxmlformats.org/officeDocument/2006/relationships/hyperlink" Target="https://doi.org/10.33405/2409-7470/2021/1/37/237822" TargetMode="External"/><Relationship Id="rId153" Type="http://schemas.openxmlformats.org/officeDocument/2006/relationships/image" Target="media/image10.png"/><Relationship Id="rId195" Type="http://schemas.openxmlformats.org/officeDocument/2006/relationships/hyperlink" Target="https://doi.org/10.15421/342475" TargetMode="External"/><Relationship Id="rId209" Type="http://schemas.openxmlformats.org/officeDocument/2006/relationships/hyperlink" Target="https://www.president.gov.ua/documents/6852021-41069" TargetMode="External"/><Relationship Id="rId360" Type="http://schemas.openxmlformats.org/officeDocument/2006/relationships/hyperlink" Target="https://www.researchgate.net/profile/Vitaliy-Snytyuk/publication/324015476_Ekspertni_tehnologii_prijnatta_risen/links/5ab9212e45851515f59ff027/Ekspertni-tehnologii-prijnatta-risen.pdf" TargetMode="External"/><Relationship Id="rId220" Type="http://schemas.openxmlformats.org/officeDocument/2006/relationships/hyperlink" Target="https://vaodesa.mil.gov.ua/sylabusy-osvitnikh-komponentiv/" TargetMode="External"/><Relationship Id="rId15" Type="http://schemas.openxmlformats.org/officeDocument/2006/relationships/chart" Target="charts/chart1.xml"/><Relationship Id="rId57" Type="http://schemas.openxmlformats.org/officeDocument/2006/relationships/hyperlink" Target="https://doi.org/10.24919/2308-4863/71-3-14" TargetMode="External"/><Relationship Id="rId262" Type="http://schemas.openxmlformats.org/officeDocument/2006/relationships/hyperlink" Target="https://doi.org/10.47750/jett.2022.13.01.027" TargetMode="External"/><Relationship Id="rId318" Type="http://schemas.openxmlformats.org/officeDocument/2006/relationships/hyperlink" Target="https://doi.org/10.31812/educdim.5430" TargetMode="External"/><Relationship Id="rId99" Type="http://schemas.openxmlformats.org/officeDocument/2006/relationships/hyperlink" Target="https://doi.org/10.33216/2220-6310/2024-110-3-16-27" TargetMode="External"/><Relationship Id="rId122" Type="http://schemas.openxmlformats.org/officeDocument/2006/relationships/hyperlink" Target="http://test.scripts.psu.edu/faculty/s/e/seh25/DeRueNahrgangWellmanHumphrey2011.pdf" TargetMode="External"/><Relationship Id="rId164" Type="http://schemas.openxmlformats.org/officeDocument/2006/relationships/image" Target="media/image20.emf"/><Relationship Id="rId371" Type="http://schemas.openxmlformats.org/officeDocument/2006/relationships/hyperlink" Target="https://zakon.rada.gov.ua/go/1089-2020-%D0%BF" TargetMode="External"/><Relationship Id="rId26" Type="http://schemas.openxmlformats.org/officeDocument/2006/relationships/image" Target="media/image6.png"/><Relationship Id="rId231" Type="http://schemas.openxmlformats.org/officeDocument/2006/relationships/hyperlink" Target="https://vaodesa.mil.gov.ua/sylabusy-osvitnikh-komponentiv/" TargetMode="External"/><Relationship Id="rId273" Type="http://schemas.openxmlformats.org/officeDocument/2006/relationships/hyperlink" Target="https://zakon.rada.gov.ua/laws/show/1410-97-%D0%BF" TargetMode="External"/><Relationship Id="rId329" Type="http://schemas.openxmlformats.org/officeDocument/2006/relationships/hyperlink" Target="https://doi.org/10.28925/2663-4023.2025.29.898" TargetMode="External"/><Relationship Id="rId68" Type="http://schemas.openxmlformats.org/officeDocument/2006/relationships/hyperlink" Target="https://doi.org/10.1080/2331186X.2023.2289307" TargetMode="External"/><Relationship Id="rId133" Type="http://schemas.openxmlformats.org/officeDocument/2006/relationships/hyperlink" Target="https://doi.org/10.33099/2617-6858-2018-50-2-51-58" TargetMode="External"/><Relationship Id="rId175" Type="http://schemas.openxmlformats.org/officeDocument/2006/relationships/hyperlink" Target="https://zakon.rada.gov.ua/laws/show/48-2012-%D0%BF" TargetMode="External"/><Relationship Id="rId340" Type="http://schemas.openxmlformats.org/officeDocument/2006/relationships/hyperlink" Target="https://paperssds.eu/index.php/%20JSPSDS/article/%20view/20/18" TargetMode="External"/><Relationship Id="rId200" Type="http://schemas.openxmlformats.org/officeDocument/2006/relationships/hyperlink" Target="https://library.oapen.org/bitstream/handle/20.500.12657/102490/%209781000168570.%20pdf" TargetMode="External"/><Relationship Id="rId382" Type="http://schemas.openxmlformats.org/officeDocument/2006/relationships/image" Target="media/image46.png"/><Relationship Id="rId242" Type="http://schemas.openxmlformats.org/officeDocument/2006/relationships/hyperlink" Target="https://orcid.org/0009-0000-9445-4959" TargetMode="External"/><Relationship Id="rId284" Type="http://schemas.microsoft.com/office/2007/relationships/hdphoto" Target="media/hdphoto2.wdp"/></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1050;&#1085;&#1080;&#1075;&#1072;1"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1"/>
        <c:ser>
          <c:idx val="0"/>
          <c:order val="0"/>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BDCE-45B3-A6D8-3CE317BA70C3}"/>
              </c:ext>
            </c:extLst>
          </c:dPt>
          <c:dPt>
            <c:idx val="1"/>
            <c:invertIfNegative val="0"/>
            <c:bubble3D val="0"/>
            <c:spPr>
              <a:solidFill>
                <a:schemeClr val="accent2"/>
              </a:solidFill>
              <a:ln>
                <a:noFill/>
              </a:ln>
              <a:effectLst/>
            </c:spPr>
            <c:extLst>
              <c:ext xmlns:c16="http://schemas.microsoft.com/office/drawing/2014/chart" uri="{C3380CC4-5D6E-409C-BE32-E72D297353CC}">
                <c16:uniqueId val="{00000003-BDCE-45B3-A6D8-3CE317BA70C3}"/>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BDCE-45B3-A6D8-3CE317BA70C3}"/>
              </c:ext>
            </c:extLst>
          </c:dPt>
          <c:dPt>
            <c:idx val="3"/>
            <c:invertIfNegative val="0"/>
            <c:bubble3D val="0"/>
            <c:spPr>
              <a:solidFill>
                <a:schemeClr val="accent4"/>
              </a:solidFill>
              <a:ln>
                <a:noFill/>
              </a:ln>
              <a:effectLst/>
            </c:spPr>
            <c:extLst>
              <c:ext xmlns:c16="http://schemas.microsoft.com/office/drawing/2014/chart" uri="{C3380CC4-5D6E-409C-BE32-E72D297353CC}">
                <c16:uniqueId val="{00000007-BDCE-45B3-A6D8-3CE317BA70C3}"/>
              </c:ext>
            </c:extLst>
          </c:dPt>
          <c:dLbls>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Аркуш1!$C$2:$F$2</c:f>
              <c:strCache>
                <c:ptCount val="4"/>
                <c:pt idx="0">
                  <c:v>США</c:v>
                </c:pt>
                <c:pt idx="1">
                  <c:v>Польща</c:v>
                </c:pt>
                <c:pt idx="2">
                  <c:v>Німеччина</c:v>
                </c:pt>
                <c:pt idx="3">
                  <c:v>РФ</c:v>
                </c:pt>
              </c:strCache>
            </c:strRef>
          </c:cat>
          <c:val>
            <c:numRef>
              <c:f>Аркуш1!$C$3:$F$3</c:f>
              <c:numCache>
                <c:formatCode>General</c:formatCode>
                <c:ptCount val="4"/>
                <c:pt idx="0">
                  <c:v>10.1</c:v>
                </c:pt>
                <c:pt idx="1">
                  <c:v>7.2</c:v>
                </c:pt>
                <c:pt idx="2">
                  <c:v>7.1</c:v>
                </c:pt>
                <c:pt idx="3">
                  <c:v>3.2</c:v>
                </c:pt>
              </c:numCache>
            </c:numRef>
          </c:val>
          <c:extLst>
            <c:ext xmlns:c16="http://schemas.microsoft.com/office/drawing/2014/chart" uri="{C3380CC4-5D6E-409C-BE32-E72D297353CC}">
              <c16:uniqueId val="{00000008-BDCE-45B3-A6D8-3CE317BA70C3}"/>
            </c:ext>
          </c:extLst>
        </c:ser>
        <c:dLbls>
          <c:showLegendKey val="0"/>
          <c:showVal val="0"/>
          <c:showCatName val="0"/>
          <c:showSerName val="0"/>
          <c:showPercent val="0"/>
          <c:showBubbleSize val="0"/>
        </c:dLbls>
        <c:gapWidth val="219"/>
        <c:overlap val="-27"/>
        <c:axId val="74295168"/>
        <c:axId val="74296704"/>
      </c:barChart>
      <c:catAx>
        <c:axId val="74295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74296704"/>
        <c:crosses val="autoZero"/>
        <c:auto val="1"/>
        <c:lblAlgn val="ctr"/>
        <c:lblOffset val="100"/>
        <c:noMultiLvlLbl val="0"/>
      </c:catAx>
      <c:valAx>
        <c:axId val="74296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74295168"/>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uk-UA"/>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0.01</cdr:x>
      <cdr:y>0.01806</cdr:y>
    </cdr:from>
    <cdr:to>
      <cdr:x>0.06667</cdr:x>
      <cdr:y>0.1125</cdr:y>
    </cdr:to>
    <cdr:sp macro="" textlink="">
      <cdr:nvSpPr>
        <cdr:cNvPr id="2" name="TextBox 1"/>
        <cdr:cNvSpPr txBox="1"/>
      </cdr:nvSpPr>
      <cdr:spPr>
        <a:xfrm xmlns:a="http://schemas.openxmlformats.org/drawingml/2006/main">
          <a:off x="45720" y="49530"/>
          <a:ext cx="259080" cy="259080"/>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uk-UA" sz="1100"/>
            <a:t>%</a:t>
          </a:r>
        </a:p>
      </cdr:txBody>
    </cdr:sp>
  </cdr:relSizeAnchor>
</c:userShape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19T11:42:11.030"/>
    </inkml:context>
    <inkml:brush xml:id="br0">
      <inkml:brushProperty name="width" value="0.035" units="cm"/>
      <inkml:brushProperty name="height" value="0.035" units="cm"/>
      <inkml:brushProperty name="color" value="#E71224"/>
    </inkml:brush>
  </inkml:definitions>
  <inkml:trace contextRef="#ctx0" brushRef="#br0">1 142 24575,'0'-3'0,"0"1"0,1 0 0,-1-1 0,0 1 0,1 0 0,0 0 0,-1-1 0,1 1 0,0 0 0,0 0 0,1 0 0,-1 0 0,0 0 0,0 0 0,1 1 0,0-1 0,2-2 0,38-24 0,-37 25 0,0 1 0,0-1 0,-1 0 0,1 0 0,-1-1 0,1 0 0,-1 1 0,0-1 0,0-1 0,3-4 0,-3 2 0,10-16 0,-7 23 0,-3 17 0,-4-1 66,0 1 0,-1-1-1,-1 0 1,-5 21 0,-4 46-1760,11-66-5132</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19T11:41:49.037"/>
    </inkml:context>
    <inkml:brush xml:id="br0">
      <inkml:brushProperty name="width" value="0.035" units="cm"/>
      <inkml:brushProperty name="height" value="0.035" units="cm"/>
      <inkml:brushProperty name="color" value="#E71224"/>
    </inkml:brush>
  </inkml:definitions>
  <inkml:trace contextRef="#ctx0" brushRef="#br0">0 548 24184,'1117'-548'0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19T11:41:53.895"/>
    </inkml:context>
    <inkml:brush xml:id="br0">
      <inkml:brushProperty name="width" value="0.035" units="cm"/>
      <inkml:brushProperty name="height" value="0.035" units="cm"/>
      <inkml:brushProperty name="color" value="#E71224"/>
    </inkml:brush>
  </inkml:definitions>
  <inkml:trace contextRef="#ctx0" brushRef="#br0">0 199 24575,'4'0'0,"4"0"0,1-4 0,2 0 0,0-4 0,1 0 0,2 1 0,2-1 0,2 0 0,1 1 0,1 3 0,0 1 0,1 2 0,0 1 0,-1 0 0,-3 0-8191</inkml:trace>
  <inkml:trace contextRef="#ctx0" brushRef="#br0" timeOffset="2581.75">0 199 24575,'4'0'0,"0"-4"0,1-4 0,2-1 0,0-2 0,2 1 0,0-2 0,2 1 0,2 3 0,-1-1 0,-2-2 0,0 0 0,-1 0 0,-3-3 0,-2-2 0,-1-2 0,-2-1 0,-1 2-8191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19T11:42:32.542"/>
    </inkml:context>
    <inkml:brush xml:id="br0">
      <inkml:brushProperty name="width" value="0.035" units="cm"/>
      <inkml:brushProperty name="height" value="0.035" units="cm"/>
      <inkml:brushProperty name="color" value="#E71224"/>
    </inkml:brush>
  </inkml:definitions>
  <inkml:trace contextRef="#ctx0" brushRef="#br0">1 84 24575,'4'-1'0,"1"0"0,-1 0 0,0-1 0,1 0 0,-1 1 0,0-2 0,0 1 0,0 0 0,-1-1 0,1 0 0,0 0 0,-1 0 0,0 0 0,4-5 0,-2 3 0,0 0 0,0 1 0,0 0 0,0 0 0,0 0 0,12-5 0,-13 7 0,0 0 0,0 1 0,1 0 0,-1 0 0,0 0 0,1 0 0,-1 0 0,1 1 0,-1 0 0,1 0 0,-1 0 0,1 1 0,-1-1 0,1 1 0,-1 0 0,0 1 0,0-1 0,5 2 0,-4 1 0,-1-1 0,0 0 0,0 1 0,-1 0 0,1 0 0,-1 0 0,1 0 0,-1 0 0,0 1 0,-1-1 0,1 1 0,-1 0 0,0 0 0,2 9 0,-2-10 0,-1-1 0,1 1 0,-1 0 0,0 0 0,-1 0 0,1 0 0,-1 0 0,0 1 0,0-1 0,0 0 0,0 0 0,-1 0 0,1 0 0,-1 0 0,0 0 0,-2 5 0,1-6 0,0-1 0,0 1 0,0-1 0,0 0 0,0 0 0,-1 0 0,1 0 0,-1 0 0,1 0 0,-1-1 0,0 1 0,0-1 0,0 1 0,1-1 0,-1 0 0,0 0 0,0-1 0,-1 1 0,1-1 0,0 1 0,0-1 0,-4 0 0,0 0 0,0 0 0,0 1 0,-1 0 0,1 1 0,0-1 0,0 1 0,0 1 0,-7 3 0,11-5 0,1 1 0,-1 0 0,1 0 0,0 1 0,0-1 0,0 0 0,0 1 0,0-1 0,0 1 0,0 0 0,1-1 0,0 1 0,-1 0 0,1 0 0,0 0 0,1 0 0,-1 0 0,0 0 0,1 0 0,-1 1 0,1 4 0,0-6 0,0 6 0,0 0 0,-1 1 0,-1-1 0,1 0 0,-1 0 0,0 0 0,-5 10 0,13-23 0,1 1 0,0-1 0,0 2 0,0-1 0,1 1 0,8-3 0,-10 5 0,1 0 0,-1 1 0,1 0 0,-1 0 0,0 0 0,1 1 0,-1 0 0,1 0 0,-1 0 0,0 1 0,0 0 0,0 0 0,7 5 0,-4-4 0,-1 0 0,1 0 0,-1-1 0,1 1 0,17 0 0,-25-3 12,0 0 0,1 0 0,-1 0 1,1 0-1,-1 0 0,0 0 0,1-1 0,-1 1 0,0 0 0,1-1 0,-1 1 0,0-1 0,0 0 0,1 1 0,-1-1 0,0 0 1,0 0-1,0 0 0,0 0 0,0 0 0,0 0 0,0 0 0,0 0 0,1-2 0,8-33-444,-6 17-803,0 5-5591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19T11:42:16.817"/>
    </inkml:context>
    <inkml:brush xml:id="br0">
      <inkml:brushProperty name="width" value="0.035" units="cm"/>
      <inkml:brushProperty name="height" value="0.035" units="cm"/>
      <inkml:brushProperty name="color" value="#E71224"/>
    </inkml:brush>
  </inkml:definitions>
  <inkml:trace contextRef="#ctx0" brushRef="#br0">40 98 24575,'52'-10'0,"-4"0"0,184 10 0,25-1 0,-178-8 0,-34 3 0,48 0 0,1320 7-1365,-1386-1-5461</inkml:trace>
  <inkml:trace contextRef="#ctx0" brushRef="#br0" timeOffset="2936.09">61 98 24575,'3'0'0,"5"0"0,5 0 0,3 0 0,2 0 0,-1 3 0,-1 2 0,1-1 0,1 3 0,0 0 0,-2 3 0,-1-1 0,-3-2-8191</inkml:trace>
  <inkml:trace contextRef="#ctx0" brushRef="#br0" timeOffset="5766.71">0 58 24575,'4'0'0,"4"0"0,4 0 0,4 0 0,3 0 0,1 0 0,0 0 0,2 0 0,-1 0 0,0 0 0,-4-3 0,-1-2 0,0 1 0,-3-3 0,-3-4 0,-4-3 0,-2 1-8191</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E4EED0-99A4-4D44-BB57-BBFE1DD4D7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2791</TotalTime>
  <Pages>307</Pages>
  <Words>129200</Words>
  <Characters>736444</Characters>
  <Application>Microsoft Office Word</Application>
  <DocSecurity>0</DocSecurity>
  <Lines>6137</Lines>
  <Paragraphs>1727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863917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Vitaliy Rakhmanov</cp:lastModifiedBy>
  <cp:revision>162</cp:revision>
  <cp:lastPrinted>2026-05-25T09:51:00Z</cp:lastPrinted>
  <dcterms:created xsi:type="dcterms:W3CDTF">2026-05-19T08:04:00Z</dcterms:created>
  <dcterms:modified xsi:type="dcterms:W3CDTF">2026-05-28T11:20:00Z</dcterms:modified>
</cp:coreProperties>
</file>